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黑体" w:hAnsi="黑体" w:eastAsia="黑体"/>
          <w:color w:val="000000"/>
          <w:sz w:val="72"/>
          <w:szCs w:val="72"/>
        </w:rPr>
      </w:pPr>
    </w:p>
    <w:p>
      <w:pPr>
        <w:adjustRightInd w:val="0"/>
        <w:snapToGrid w:val="0"/>
        <w:spacing w:line="360" w:lineRule="auto"/>
        <w:jc w:val="center"/>
        <w:outlineLvl w:val="0"/>
        <w:rPr>
          <w:rFonts w:ascii="黑体" w:hAnsi="黑体" w:eastAsia="黑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p>
    <w:p>
      <w:pPr>
        <w:adjustRightInd w:val="0"/>
        <w:snapToGrid w:val="0"/>
        <w:spacing w:line="360" w:lineRule="auto"/>
        <w:jc w:val="center"/>
        <w:outlineLvl w:val="0"/>
        <w:rPr>
          <w:rFonts w:ascii="方正小标宋简体" w:hAnsi="宋体" w:eastAsia="方正小标宋简体"/>
          <w:color w:val="000000"/>
          <w:sz w:val="72"/>
          <w:szCs w:val="72"/>
        </w:rPr>
      </w:pPr>
      <w:bookmarkStart w:id="0" w:name="_Toc15378442"/>
      <w:bookmarkStart w:id="1" w:name="_Toc15377426"/>
      <w:bookmarkStart w:id="2" w:name="_Toc15396476"/>
      <w:bookmarkStart w:id="3" w:name="_Toc15377194"/>
      <w:bookmarkStart w:id="4" w:name="_Toc15306268"/>
      <w:bookmarkStart w:id="5" w:name="_Toc15396598"/>
      <w:r>
        <w:rPr>
          <w:rFonts w:hint="eastAsia" w:ascii="方正小标宋简体" w:hAnsi="宋体" w:eastAsia="方正小标宋简体"/>
          <w:color w:val="000000"/>
          <w:sz w:val="72"/>
          <w:szCs w:val="72"/>
        </w:rPr>
        <w:t>四川省攀枝花市民政局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0"/>
      <w:bookmarkEnd w:id="1"/>
      <w:bookmarkEnd w:id="2"/>
      <w:bookmarkEnd w:id="3"/>
      <w:bookmarkEnd w:id="4"/>
      <w:bookmarkEnd w:id="5"/>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8"/>
      </w:pPr>
      <w:r>
        <w:rPr>
          <w:rFonts w:hint="eastAsia"/>
        </w:rPr>
        <w:t>公开时间：</w:t>
      </w:r>
      <w:r>
        <w:t>2021</w:t>
      </w:r>
      <w:r>
        <w:rPr>
          <w:rFonts w:hint="eastAsia"/>
        </w:rPr>
        <w:t>年</w:t>
      </w:r>
      <w:r>
        <w:rPr>
          <w:rFonts w:hint="eastAsia"/>
          <w:lang w:val="en-US" w:eastAsia="zh-CN"/>
        </w:rPr>
        <w:t>9</w:t>
      </w:r>
      <w:r>
        <w:rPr>
          <w:rFonts w:hint="eastAsia"/>
        </w:rPr>
        <w:t>月</w:t>
      </w:r>
      <w:r>
        <w:rPr>
          <w:rFonts w:hint="eastAsia"/>
          <w:lang w:val="en-US" w:eastAsia="zh-CN"/>
        </w:rPr>
        <w:t>6</w:t>
      </w:r>
      <w:r>
        <w:rPr>
          <w:rFonts w:hint="eastAsia"/>
        </w:rPr>
        <w:t>日</w:t>
      </w:r>
    </w:p>
    <w:p/>
    <w:p>
      <w:pPr>
        <w:pStyle w:val="9"/>
        <w:adjustRightInd w:val="0"/>
        <w:snapToGrid w:val="0"/>
        <w:spacing w:line="440" w:lineRule="exact"/>
        <w:jc w:val="left"/>
        <w:rPr>
          <w:sz w:val="24"/>
        </w:rPr>
      </w:pPr>
      <w:r>
        <w:rPr>
          <w:rFonts w:hint="eastAsia"/>
          <w:sz w:val="24"/>
        </w:rPr>
        <w:t>第一部分 部门概况-------</w:t>
      </w:r>
      <w:r>
        <w:rPr>
          <w:rFonts w:hint="eastAsia"/>
          <w:sz w:val="24"/>
          <w:lang w:val="en-US" w:eastAsia="zh-CN"/>
        </w:rPr>
        <w:t>-------</w:t>
      </w:r>
      <w:r>
        <w:rPr>
          <w:rFonts w:hint="eastAsia"/>
          <w:sz w:val="24"/>
        </w:rPr>
        <w:t>-----------------------------------------------------4</w:t>
      </w:r>
    </w:p>
    <w:p>
      <w:pPr>
        <w:pStyle w:val="9"/>
        <w:adjustRightInd w:val="0"/>
        <w:snapToGrid w:val="0"/>
        <w:spacing w:line="440" w:lineRule="exact"/>
        <w:jc w:val="left"/>
        <w:rPr>
          <w:rFonts w:ascii="仿宋" w:hAnsi="仿宋" w:eastAsia="仿宋"/>
          <w:sz w:val="24"/>
        </w:rPr>
      </w:pPr>
      <w:r>
        <w:rPr>
          <w:rFonts w:hint="eastAsia"/>
          <w:sz w:val="24"/>
        </w:rPr>
        <w:t>一、基本职能及主要工作------------------------------------------------------------4</w:t>
      </w:r>
    </w:p>
    <w:p>
      <w:pPr>
        <w:pStyle w:val="9"/>
        <w:adjustRightInd w:val="0"/>
        <w:snapToGrid w:val="0"/>
        <w:spacing w:line="440" w:lineRule="exact"/>
        <w:jc w:val="left"/>
        <w:rPr>
          <w:rFonts w:ascii="仿宋" w:hAnsi="仿宋"/>
          <w:sz w:val="24"/>
        </w:rPr>
      </w:pPr>
      <w:r>
        <w:rPr>
          <w:rFonts w:hint="eastAsia"/>
          <w:sz w:val="24"/>
        </w:rPr>
        <w:t>二、机构设置--------------------------------------------------------------------------12</w:t>
      </w:r>
    </w:p>
    <w:p>
      <w:pPr>
        <w:pStyle w:val="9"/>
        <w:adjustRightInd w:val="0"/>
        <w:snapToGrid w:val="0"/>
        <w:spacing w:line="440" w:lineRule="exact"/>
        <w:jc w:val="left"/>
        <w:rPr>
          <w:sz w:val="24"/>
        </w:rPr>
      </w:pPr>
      <w:r>
        <w:rPr>
          <w:rFonts w:hint="eastAsia"/>
          <w:sz w:val="24"/>
        </w:rPr>
        <w:t>第二部分度部门决算情况说明-----------</w:t>
      </w:r>
      <w:r>
        <w:rPr>
          <w:rFonts w:hint="eastAsia"/>
          <w:sz w:val="24"/>
          <w:lang w:val="en-US" w:eastAsia="zh-CN"/>
        </w:rPr>
        <w:t>--</w:t>
      </w:r>
      <w:r>
        <w:rPr>
          <w:rFonts w:hint="eastAsia"/>
          <w:sz w:val="24"/>
        </w:rPr>
        <w:t>----------------------------------------14</w:t>
      </w:r>
    </w:p>
    <w:p>
      <w:pPr>
        <w:pStyle w:val="9"/>
        <w:adjustRightInd w:val="0"/>
        <w:snapToGrid w:val="0"/>
        <w:spacing w:line="440" w:lineRule="exact"/>
        <w:jc w:val="left"/>
        <w:rPr>
          <w:rFonts w:ascii="仿宋" w:hAnsi="仿宋" w:eastAsia="仿宋"/>
          <w:sz w:val="24"/>
        </w:rPr>
      </w:pPr>
      <w:r>
        <w:rPr>
          <w:rFonts w:hint="eastAsia"/>
          <w:sz w:val="24"/>
        </w:rPr>
        <w:t>一、收入支出决算总体情况说明---------------------------------------------------14</w:t>
      </w:r>
    </w:p>
    <w:p>
      <w:pPr>
        <w:pStyle w:val="9"/>
        <w:adjustRightInd w:val="0"/>
        <w:snapToGrid w:val="0"/>
        <w:spacing w:line="440" w:lineRule="exact"/>
        <w:jc w:val="left"/>
        <w:rPr>
          <w:rFonts w:ascii="仿宋" w:hAnsi="仿宋" w:eastAsia="仿宋"/>
          <w:sz w:val="24"/>
        </w:rPr>
      </w:pPr>
      <w:r>
        <w:rPr>
          <w:rFonts w:hint="eastAsia"/>
          <w:sz w:val="24"/>
        </w:rPr>
        <w:t>二、收入决算情况说明---------------------------------------------------------------14</w:t>
      </w:r>
    </w:p>
    <w:p>
      <w:pPr>
        <w:pStyle w:val="9"/>
        <w:adjustRightInd w:val="0"/>
        <w:snapToGrid w:val="0"/>
        <w:spacing w:line="440" w:lineRule="exact"/>
        <w:jc w:val="left"/>
        <w:rPr>
          <w:rFonts w:ascii="仿宋" w:hAnsi="仿宋" w:eastAsia="仿宋"/>
          <w:sz w:val="24"/>
        </w:rPr>
      </w:pPr>
      <w:r>
        <w:rPr>
          <w:rFonts w:hint="eastAsia"/>
          <w:sz w:val="24"/>
        </w:rPr>
        <w:t>三、支出决算情况说明---------------------------------------------------------------15</w:t>
      </w:r>
    </w:p>
    <w:p>
      <w:pPr>
        <w:pStyle w:val="9"/>
        <w:adjustRightInd w:val="0"/>
        <w:snapToGrid w:val="0"/>
        <w:spacing w:line="440" w:lineRule="exact"/>
        <w:jc w:val="left"/>
        <w:rPr>
          <w:rFonts w:ascii="仿宋" w:hAnsi="仿宋" w:eastAsia="仿宋"/>
          <w:sz w:val="24"/>
        </w:rPr>
      </w:pPr>
      <w:r>
        <w:rPr>
          <w:rFonts w:hint="eastAsia"/>
          <w:sz w:val="24"/>
        </w:rPr>
        <w:t>四、财政拨款收入支出决算总体情况说明---------------------------------------16</w:t>
      </w:r>
    </w:p>
    <w:p>
      <w:pPr>
        <w:pStyle w:val="9"/>
        <w:adjustRightInd w:val="0"/>
        <w:snapToGrid w:val="0"/>
        <w:spacing w:line="440" w:lineRule="exact"/>
        <w:jc w:val="left"/>
        <w:rPr>
          <w:rFonts w:ascii="仿宋" w:hAnsi="仿宋" w:eastAsia="仿宋"/>
          <w:sz w:val="24"/>
        </w:rPr>
      </w:pPr>
      <w:r>
        <w:rPr>
          <w:rFonts w:hint="eastAsia"/>
          <w:sz w:val="24"/>
        </w:rPr>
        <w:t>五、一般公共预算财政拨款支出决算情况说明---------------------------------17</w:t>
      </w:r>
    </w:p>
    <w:p>
      <w:pPr>
        <w:pStyle w:val="9"/>
        <w:adjustRightInd w:val="0"/>
        <w:snapToGrid w:val="0"/>
        <w:spacing w:line="440" w:lineRule="exact"/>
        <w:jc w:val="left"/>
        <w:rPr>
          <w:rFonts w:ascii="仿宋" w:hAnsi="仿宋"/>
          <w:sz w:val="24"/>
        </w:rPr>
      </w:pPr>
      <w:r>
        <w:rPr>
          <w:rFonts w:hint="eastAsia"/>
          <w:sz w:val="24"/>
        </w:rPr>
        <w:t>六、一般公共预算财政拨款基本支出决算情况说明---------------------------21</w:t>
      </w:r>
    </w:p>
    <w:p>
      <w:pPr>
        <w:pStyle w:val="9"/>
        <w:adjustRightInd w:val="0"/>
        <w:snapToGrid w:val="0"/>
        <w:spacing w:line="440" w:lineRule="exact"/>
        <w:jc w:val="left"/>
        <w:rPr>
          <w:rFonts w:ascii="仿宋" w:hAnsi="仿宋"/>
          <w:sz w:val="24"/>
        </w:rPr>
      </w:pPr>
      <w:r>
        <w:rPr>
          <w:rFonts w:hint="eastAsia"/>
          <w:sz w:val="24"/>
        </w:rPr>
        <w:t>七、</w:t>
      </w:r>
      <w:r>
        <w:rPr>
          <w:sz w:val="24"/>
        </w:rPr>
        <w:t>“</w:t>
      </w:r>
      <w:r>
        <w:rPr>
          <w:rFonts w:hint="eastAsia"/>
          <w:sz w:val="24"/>
        </w:rPr>
        <w:t>三公”经费财政拨款支出决算情况说明-----------------------------------21</w:t>
      </w:r>
    </w:p>
    <w:p>
      <w:pPr>
        <w:pStyle w:val="9"/>
        <w:adjustRightInd w:val="0"/>
        <w:snapToGrid w:val="0"/>
        <w:spacing w:line="440" w:lineRule="exact"/>
        <w:jc w:val="left"/>
        <w:rPr>
          <w:rFonts w:ascii="仿宋" w:hAnsi="仿宋"/>
          <w:sz w:val="24"/>
        </w:rPr>
      </w:pPr>
      <w:r>
        <w:rPr>
          <w:rFonts w:hint="eastAsia"/>
          <w:sz w:val="24"/>
        </w:rPr>
        <w:t>八、政府性基金预算支出决算情况说明------------------------------------------23</w:t>
      </w:r>
    </w:p>
    <w:p>
      <w:pPr>
        <w:pStyle w:val="9"/>
        <w:adjustRightInd w:val="0"/>
        <w:snapToGrid w:val="0"/>
        <w:spacing w:line="440" w:lineRule="exact"/>
        <w:jc w:val="left"/>
        <w:rPr>
          <w:sz w:val="24"/>
        </w:rPr>
      </w:pPr>
      <w:r>
        <w:rPr>
          <w:rFonts w:hint="eastAsia"/>
          <w:sz w:val="24"/>
        </w:rPr>
        <w:t>九、国有资本经营预算支出决算情况说明---------------------------------------23</w:t>
      </w:r>
    </w:p>
    <w:p>
      <w:pPr>
        <w:pStyle w:val="9"/>
        <w:adjustRightInd w:val="0"/>
        <w:snapToGrid w:val="0"/>
        <w:spacing w:line="440" w:lineRule="exact"/>
        <w:jc w:val="left"/>
        <w:rPr>
          <w:sz w:val="24"/>
        </w:rPr>
      </w:pPr>
      <w:r>
        <w:rPr>
          <w:rFonts w:hint="eastAsia"/>
          <w:sz w:val="24"/>
        </w:rPr>
        <w:t>十、其他重要事项的情况说明------------------------------------------------------23</w:t>
      </w:r>
    </w:p>
    <w:p>
      <w:pPr>
        <w:pStyle w:val="9"/>
        <w:adjustRightInd w:val="0"/>
        <w:snapToGrid w:val="0"/>
        <w:spacing w:line="440" w:lineRule="exact"/>
        <w:ind w:left="0" w:leftChars="0"/>
        <w:jc w:val="left"/>
        <w:rPr>
          <w:sz w:val="24"/>
        </w:rPr>
      </w:pPr>
      <w:r>
        <w:rPr>
          <w:rFonts w:hint="eastAsia"/>
          <w:sz w:val="24"/>
        </w:rPr>
        <w:t>第三部分 名词解释-------------------------------------------------------------------------32</w:t>
      </w:r>
    </w:p>
    <w:p>
      <w:pPr>
        <w:pStyle w:val="9"/>
        <w:adjustRightInd w:val="0"/>
        <w:snapToGrid w:val="0"/>
        <w:spacing w:line="440" w:lineRule="exact"/>
        <w:ind w:left="0" w:leftChars="0"/>
        <w:jc w:val="left"/>
        <w:rPr>
          <w:sz w:val="24"/>
        </w:rPr>
      </w:pPr>
      <w:r>
        <w:rPr>
          <w:rFonts w:hint="eastAsia"/>
          <w:sz w:val="24"/>
        </w:rPr>
        <w:t>第四部分 附件-------------------------------------------------------------------------------35</w:t>
      </w:r>
    </w:p>
    <w:p>
      <w:pPr>
        <w:pStyle w:val="9"/>
        <w:adjustRightInd w:val="0"/>
        <w:snapToGrid w:val="0"/>
        <w:spacing w:line="440" w:lineRule="exact"/>
        <w:jc w:val="left"/>
        <w:rPr>
          <w:rFonts w:ascii="仿宋" w:hAnsi="仿宋"/>
          <w:sz w:val="24"/>
        </w:rPr>
      </w:pPr>
      <w:r>
        <w:rPr>
          <w:rFonts w:hint="eastAsia"/>
          <w:sz w:val="24"/>
        </w:rPr>
        <w:t>附件</w:t>
      </w:r>
      <w:r>
        <w:rPr>
          <w:sz w:val="24"/>
        </w:rPr>
        <w:t>1</w:t>
      </w:r>
      <w:r>
        <w:rPr>
          <w:rFonts w:hint="eastAsia"/>
          <w:sz w:val="24"/>
        </w:rPr>
        <w:t>-------------------------------------------------------------------------------------35</w:t>
      </w:r>
    </w:p>
    <w:p>
      <w:pPr>
        <w:pStyle w:val="9"/>
        <w:adjustRightInd w:val="0"/>
        <w:snapToGrid w:val="0"/>
        <w:spacing w:line="440" w:lineRule="exact"/>
        <w:jc w:val="left"/>
        <w:rPr>
          <w:rFonts w:ascii="仿宋" w:hAnsi="仿宋"/>
          <w:sz w:val="24"/>
        </w:rPr>
      </w:pPr>
      <w:r>
        <w:rPr>
          <w:rFonts w:hint="eastAsia"/>
          <w:sz w:val="24"/>
        </w:rPr>
        <w:t>附件</w:t>
      </w:r>
      <w:r>
        <w:rPr>
          <w:sz w:val="24"/>
        </w:rPr>
        <w:t>2</w:t>
      </w:r>
      <w:r>
        <w:rPr>
          <w:rFonts w:hint="eastAsia"/>
          <w:sz w:val="24"/>
        </w:rPr>
        <w:t>-------------------------------------------------------------------------------------44</w:t>
      </w:r>
    </w:p>
    <w:p>
      <w:pPr>
        <w:pStyle w:val="9"/>
        <w:adjustRightInd w:val="0"/>
        <w:snapToGrid w:val="0"/>
        <w:spacing w:line="440" w:lineRule="exact"/>
        <w:ind w:left="0" w:leftChars="0"/>
        <w:jc w:val="left"/>
        <w:rPr>
          <w:rFonts w:hint="eastAsia" w:eastAsia="微软雅黑"/>
          <w:sz w:val="24"/>
          <w:lang w:val="en-US" w:eastAsia="zh-CN"/>
        </w:rPr>
      </w:pPr>
      <w:r>
        <w:rPr>
          <w:rFonts w:hint="eastAsia"/>
          <w:sz w:val="24"/>
        </w:rPr>
        <w:t>第五部分 附表-------------------------------------------------------------------------------5</w:t>
      </w:r>
      <w:r>
        <w:rPr>
          <w:rFonts w:hint="eastAsia"/>
          <w:sz w:val="24"/>
          <w:lang w:val="en-US" w:eastAsia="zh-CN"/>
        </w:rPr>
        <w:t>2</w:t>
      </w:r>
    </w:p>
    <w:p>
      <w:pPr>
        <w:pStyle w:val="9"/>
        <w:adjustRightInd w:val="0"/>
        <w:snapToGrid w:val="0"/>
        <w:spacing w:line="440" w:lineRule="exact"/>
        <w:jc w:val="left"/>
        <w:rPr>
          <w:sz w:val="24"/>
        </w:rPr>
      </w:pPr>
      <w:r>
        <w:rPr>
          <w:rFonts w:hint="eastAsia"/>
          <w:sz w:val="24"/>
        </w:rPr>
        <w:t>一、收入支出决算总表---------------------------------------------------------------52</w:t>
      </w:r>
    </w:p>
    <w:p>
      <w:pPr>
        <w:pStyle w:val="9"/>
        <w:adjustRightInd w:val="0"/>
        <w:snapToGrid w:val="0"/>
        <w:spacing w:line="440" w:lineRule="exact"/>
        <w:jc w:val="left"/>
        <w:rPr>
          <w:sz w:val="24"/>
        </w:rPr>
      </w:pPr>
      <w:r>
        <w:rPr>
          <w:rFonts w:hint="eastAsia"/>
          <w:sz w:val="24"/>
        </w:rPr>
        <w:t>二、收入决算表------------------------------------------------------------------------52</w:t>
      </w:r>
    </w:p>
    <w:p>
      <w:pPr>
        <w:pStyle w:val="9"/>
        <w:adjustRightInd w:val="0"/>
        <w:snapToGrid w:val="0"/>
        <w:spacing w:line="440" w:lineRule="exact"/>
        <w:jc w:val="left"/>
        <w:rPr>
          <w:sz w:val="24"/>
        </w:rPr>
      </w:pPr>
      <w:r>
        <w:rPr>
          <w:rFonts w:hint="eastAsia"/>
          <w:sz w:val="24"/>
        </w:rPr>
        <w:t>三、支出决算表------------------------------------------------------------------------52</w:t>
      </w:r>
    </w:p>
    <w:p>
      <w:pPr>
        <w:pStyle w:val="9"/>
        <w:adjustRightInd w:val="0"/>
        <w:snapToGrid w:val="0"/>
        <w:spacing w:line="440" w:lineRule="exact"/>
        <w:jc w:val="left"/>
        <w:rPr>
          <w:sz w:val="24"/>
        </w:rPr>
      </w:pPr>
      <w:r>
        <w:rPr>
          <w:rFonts w:hint="eastAsia"/>
          <w:sz w:val="24"/>
        </w:rPr>
        <w:t>四、财政拨款收入支出决算总表---------------------------------------------------52</w:t>
      </w:r>
    </w:p>
    <w:p>
      <w:pPr>
        <w:pStyle w:val="9"/>
        <w:adjustRightInd w:val="0"/>
        <w:snapToGrid w:val="0"/>
        <w:spacing w:line="440" w:lineRule="exact"/>
        <w:jc w:val="left"/>
        <w:rPr>
          <w:sz w:val="24"/>
        </w:rPr>
      </w:pPr>
      <w:r>
        <w:rPr>
          <w:rFonts w:hint="eastAsia"/>
          <w:sz w:val="24"/>
        </w:rPr>
        <w:t>五、财政拨款支出决算明细表------------------------------------------------------47</w:t>
      </w:r>
    </w:p>
    <w:p>
      <w:pPr>
        <w:pStyle w:val="9"/>
        <w:adjustRightInd w:val="0"/>
        <w:snapToGrid w:val="0"/>
        <w:spacing w:line="440" w:lineRule="exact"/>
        <w:jc w:val="left"/>
        <w:rPr>
          <w:sz w:val="24"/>
        </w:rPr>
      </w:pPr>
      <w:r>
        <w:rPr>
          <w:rFonts w:hint="eastAsia"/>
          <w:sz w:val="24"/>
        </w:rPr>
        <w:t>六、一般公共预算财政拨款支出决算表------------------------------------------47</w:t>
      </w:r>
    </w:p>
    <w:p>
      <w:pPr>
        <w:pStyle w:val="9"/>
        <w:adjustRightInd w:val="0"/>
        <w:snapToGrid w:val="0"/>
        <w:spacing w:line="440" w:lineRule="exact"/>
        <w:jc w:val="left"/>
        <w:rPr>
          <w:sz w:val="24"/>
        </w:rPr>
      </w:pPr>
    </w:p>
    <w:p>
      <w:pPr>
        <w:pStyle w:val="9"/>
        <w:adjustRightInd w:val="0"/>
        <w:snapToGrid w:val="0"/>
        <w:spacing w:line="440" w:lineRule="exact"/>
        <w:jc w:val="left"/>
        <w:rPr>
          <w:sz w:val="24"/>
        </w:rPr>
      </w:pPr>
      <w:r>
        <w:rPr>
          <w:rFonts w:hint="eastAsia"/>
          <w:sz w:val="24"/>
        </w:rPr>
        <w:t>七、一般公共预算财政拨款支出决算明细表-------------------------------------47</w:t>
      </w:r>
    </w:p>
    <w:p>
      <w:pPr>
        <w:pStyle w:val="9"/>
        <w:adjustRightInd w:val="0"/>
        <w:snapToGrid w:val="0"/>
        <w:spacing w:line="440" w:lineRule="exact"/>
        <w:jc w:val="left"/>
        <w:rPr>
          <w:sz w:val="24"/>
        </w:rPr>
      </w:pPr>
      <w:r>
        <w:rPr>
          <w:rFonts w:hint="eastAsia"/>
          <w:sz w:val="24"/>
        </w:rPr>
        <w:t>八、一般公共预算财政拨款基本支出决算表-------------------------------------47</w:t>
      </w:r>
    </w:p>
    <w:p>
      <w:pPr>
        <w:pStyle w:val="9"/>
        <w:adjustRightInd w:val="0"/>
        <w:snapToGrid w:val="0"/>
        <w:spacing w:line="440" w:lineRule="exact"/>
        <w:jc w:val="left"/>
        <w:rPr>
          <w:sz w:val="24"/>
        </w:rPr>
      </w:pPr>
      <w:r>
        <w:rPr>
          <w:rFonts w:hint="eastAsia"/>
          <w:sz w:val="24"/>
        </w:rPr>
        <w:t>九、一般公共预算财政拨款项目支出决算表-------------------------------------47</w:t>
      </w:r>
    </w:p>
    <w:p>
      <w:pPr>
        <w:pStyle w:val="9"/>
        <w:adjustRightInd w:val="0"/>
        <w:snapToGrid w:val="0"/>
        <w:spacing w:line="440" w:lineRule="exact"/>
        <w:jc w:val="left"/>
        <w:rPr>
          <w:sz w:val="24"/>
        </w:rPr>
      </w:pPr>
      <w:r>
        <w:rPr>
          <w:rFonts w:hint="eastAsia"/>
          <w:sz w:val="24"/>
        </w:rPr>
        <w:t>十、一般公共预算财政拨款“三公”经费支出决算表-------------------------47</w:t>
      </w:r>
    </w:p>
    <w:p>
      <w:pPr>
        <w:pStyle w:val="9"/>
        <w:adjustRightInd w:val="0"/>
        <w:snapToGrid w:val="0"/>
        <w:spacing w:line="440" w:lineRule="exact"/>
        <w:jc w:val="left"/>
        <w:rPr>
          <w:sz w:val="24"/>
        </w:rPr>
      </w:pPr>
      <w:r>
        <w:rPr>
          <w:rFonts w:hint="eastAsia"/>
          <w:sz w:val="24"/>
        </w:rPr>
        <w:t>十一、政府性基金预算财政拨款收入支出决算表-------------------------------47</w:t>
      </w:r>
    </w:p>
    <w:p>
      <w:pPr>
        <w:pStyle w:val="9"/>
        <w:adjustRightInd w:val="0"/>
        <w:snapToGrid w:val="0"/>
        <w:spacing w:line="440" w:lineRule="exact"/>
        <w:jc w:val="left"/>
        <w:rPr>
          <w:sz w:val="24"/>
        </w:rPr>
      </w:pPr>
      <w:r>
        <w:rPr>
          <w:rFonts w:hint="eastAsia"/>
          <w:sz w:val="24"/>
        </w:rPr>
        <w:t>十二、政府性基金预算财政拨款“三公”经费支出决算表-------------------47</w:t>
      </w:r>
    </w:p>
    <w:p>
      <w:pPr>
        <w:pStyle w:val="9"/>
        <w:adjustRightInd w:val="0"/>
        <w:snapToGrid w:val="0"/>
        <w:spacing w:line="440" w:lineRule="exact"/>
        <w:jc w:val="left"/>
        <w:rPr>
          <w:sz w:val="24"/>
        </w:rPr>
      </w:pPr>
      <w:r>
        <w:rPr>
          <w:rFonts w:hint="eastAsia"/>
          <w:sz w:val="24"/>
        </w:rPr>
        <w:t>十三、国有资本经营预算财政拨款收入支出决算表----------------------------47</w:t>
      </w:r>
    </w:p>
    <w:p>
      <w:pPr>
        <w:pStyle w:val="9"/>
        <w:adjustRightInd w:val="0"/>
        <w:snapToGrid w:val="0"/>
        <w:spacing w:line="440" w:lineRule="exact"/>
        <w:jc w:val="left"/>
        <w:rPr>
          <w:sz w:val="24"/>
        </w:rPr>
      </w:pPr>
      <w:r>
        <w:rPr>
          <w:rFonts w:hint="eastAsia"/>
          <w:sz w:val="24"/>
        </w:rPr>
        <w:t>十四、国有资本经营预算财政拨款支出决算表----------------------------------47</w:t>
      </w:r>
    </w:p>
    <w:p>
      <w:pPr>
        <w:pStyle w:val="9"/>
        <w:adjustRightInd w:val="0"/>
        <w:snapToGrid w:val="0"/>
        <w:spacing w:line="440" w:lineRule="exact"/>
        <w:jc w:val="left"/>
        <w:rPr>
          <w:sz w:val="24"/>
        </w:rPr>
      </w:pPr>
    </w:p>
    <w:p>
      <w:pPr>
        <w:widowControl/>
        <w:spacing w:line="440" w:lineRule="exact"/>
        <w:jc w:val="left"/>
        <w:rPr>
          <w:rFonts w:ascii="仿宋" w:hAnsi="仿宋" w:eastAsia="仿宋"/>
          <w:bCs/>
          <w:kern w:val="44"/>
          <w:sz w:val="24"/>
        </w:rPr>
      </w:pPr>
      <w:bookmarkStart w:id="6" w:name="_Toc15396599"/>
      <w:bookmarkStart w:id="7" w:name="_Toc15377196"/>
      <w:r>
        <w:rPr>
          <w:rFonts w:ascii="仿宋" w:hAnsi="仿宋" w:eastAsia="仿宋"/>
          <w:b/>
          <w:sz w:val="24"/>
        </w:rPr>
        <w:br w:type="page"/>
      </w:r>
    </w:p>
    <w:p>
      <w:pPr>
        <w:pStyle w:val="2"/>
        <w:jc w:val="center"/>
        <w:rPr>
          <w:rStyle w:val="13"/>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3"/>
          <w:rFonts w:hint="eastAsia" w:ascii="黑体" w:hAnsi="黑体" w:eastAsia="黑体"/>
          <w:b w:val="0"/>
          <w:bCs w:val="0"/>
        </w:rPr>
        <w:t>部门概况</w:t>
      </w:r>
      <w:bookmarkEnd w:id="6"/>
      <w:bookmarkEnd w:id="7"/>
    </w:p>
    <w:p>
      <w:pPr>
        <w:widowControl/>
        <w:jc w:val="left"/>
        <w:rPr>
          <w:rFonts w:ascii="黑体" w:eastAsia="黑体"/>
          <w:color w:val="000000"/>
          <w:sz w:val="32"/>
          <w:szCs w:val="32"/>
        </w:rPr>
      </w:pPr>
    </w:p>
    <w:p>
      <w:pPr>
        <w:pStyle w:val="3"/>
        <w:numPr>
          <w:ilvl w:val="0"/>
          <w:numId w:val="1"/>
        </w:numPr>
        <w:spacing w:line="600" w:lineRule="exact"/>
        <w:ind w:firstLine="640" w:firstLineChars="200"/>
        <w:rPr>
          <w:rStyle w:val="14"/>
          <w:rFonts w:ascii="黑体" w:hAnsi="黑体" w:eastAsia="黑体"/>
          <w:b w:val="0"/>
          <w:bCs w:val="0"/>
        </w:rPr>
      </w:pPr>
      <w:bookmarkStart w:id="8" w:name="_Toc15377197"/>
      <w:bookmarkStart w:id="9" w:name="_Toc15396600"/>
      <w:r>
        <w:rPr>
          <w:rFonts w:hint="eastAsia" w:ascii="黑体" w:hAnsi="黑体" w:eastAsia="黑体"/>
          <w:b w:val="0"/>
          <w:color w:val="000000"/>
        </w:rPr>
        <w:t>基</w:t>
      </w:r>
      <w:r>
        <w:rPr>
          <w:rStyle w:val="14"/>
          <w:rFonts w:hint="eastAsia" w:ascii="黑体" w:hAnsi="黑体" w:eastAsia="黑体"/>
          <w:b w:val="0"/>
          <w:bCs w:val="0"/>
        </w:rPr>
        <w:t>本职能及主要工作</w:t>
      </w:r>
      <w:bookmarkEnd w:id="8"/>
      <w:bookmarkEnd w:id="9"/>
      <w:bookmarkStart w:id="10" w:name="_Toc15377198"/>
      <w:bookmarkStart w:id="11" w:name="_Toc15378445"/>
    </w:p>
    <w:p>
      <w:pPr>
        <w:widowControl/>
        <w:adjustRightInd w:val="0"/>
        <w:snapToGrid w:val="0"/>
        <w:spacing w:after="200" w:line="600" w:lineRule="exact"/>
        <w:ind w:firstLine="640" w:firstLineChars="200"/>
        <w:rPr>
          <w:rFonts w:ascii="仿宋_GB2312" w:hAnsi="Tahoma" w:eastAsia="仿宋_GB2312"/>
          <w:kern w:val="0"/>
          <w:sz w:val="32"/>
          <w:szCs w:val="32"/>
        </w:rPr>
      </w:pPr>
      <w:r>
        <w:rPr>
          <w:rFonts w:hint="eastAsia" w:ascii="仿宋_GB2312" w:hAnsi="Tahoma" w:eastAsia="仿宋_GB2312"/>
          <w:kern w:val="0"/>
          <w:sz w:val="32"/>
          <w:szCs w:val="32"/>
        </w:rPr>
        <w:t>（一）主要职能。</w:t>
      </w:r>
      <w:bookmarkEnd w:id="10"/>
      <w:bookmarkEnd w:id="11"/>
      <w:bookmarkStart w:id="12" w:name="_Toc15378446"/>
      <w:bookmarkStart w:id="13" w:name="_Toc15377199"/>
    </w:p>
    <w:p>
      <w:pPr>
        <w:widowControl/>
        <w:adjustRightInd w:val="0"/>
        <w:snapToGrid w:val="0"/>
        <w:spacing w:after="200" w:line="600" w:lineRule="exact"/>
        <w:ind w:firstLine="640" w:firstLineChars="200"/>
        <w:rPr>
          <w:rFonts w:ascii="仿宋_GB2312" w:hAnsi="仿宋" w:eastAsia="仿宋_GB2312"/>
          <w:sz w:val="32"/>
          <w:szCs w:val="32"/>
        </w:rPr>
      </w:pPr>
      <w:r>
        <w:rPr>
          <w:rFonts w:hint="eastAsia" w:ascii="仿宋_GB2312" w:eastAsia="仿宋_GB2312"/>
          <w:sz w:val="32"/>
          <w:szCs w:val="32"/>
        </w:rPr>
        <w:t>（1）</w:t>
      </w:r>
      <w:r>
        <w:rPr>
          <w:rFonts w:hint="eastAsia" w:ascii="仿宋_GB2312" w:hAnsi="仿宋" w:eastAsia="仿宋_GB2312"/>
          <w:sz w:val="32"/>
          <w:szCs w:val="32"/>
        </w:rPr>
        <w:t>贯彻执行党和国家有关民政工作的方针政策和</w:t>
      </w:r>
      <w:r>
        <w:rPr>
          <w:rFonts w:ascii="仿宋_GB2312" w:hAnsi="仿宋" w:eastAsia="仿宋_GB2312"/>
          <w:sz w:val="32"/>
          <w:szCs w:val="32"/>
        </w:rPr>
        <w:t>法律法规，拟订全市民政事业</w:t>
      </w:r>
      <w:r>
        <w:rPr>
          <w:rFonts w:hint="eastAsia" w:ascii="仿宋_GB2312" w:hAnsi="Tahoma" w:eastAsia="仿宋_GB2312"/>
          <w:kern w:val="0"/>
          <w:sz w:val="32"/>
          <w:szCs w:val="32"/>
        </w:rPr>
        <w:t>发展</w:t>
      </w:r>
      <w:r>
        <w:rPr>
          <w:rFonts w:ascii="仿宋_GB2312" w:hAnsi="仿宋" w:eastAsia="仿宋_GB2312"/>
          <w:sz w:val="32"/>
          <w:szCs w:val="32"/>
        </w:rPr>
        <w:t xml:space="preserve">规划、政策、标准并组织实施。 </w:t>
      </w:r>
    </w:p>
    <w:p>
      <w:pPr>
        <w:spacing w:line="600" w:lineRule="exact"/>
        <w:ind w:firstLine="640" w:firstLineChars="200"/>
        <w:rPr>
          <w:rFonts w:ascii="仿宋_GB2312" w:hAnsi="仿宋" w:eastAsia="仿宋_GB2312"/>
          <w:sz w:val="32"/>
          <w:szCs w:val="32"/>
        </w:rPr>
      </w:pPr>
      <w:r>
        <w:rPr>
          <w:rFonts w:hint="eastAsia" w:ascii="仿宋_GB2312" w:eastAsia="仿宋_GB2312"/>
          <w:sz w:val="32"/>
          <w:szCs w:val="32"/>
        </w:rPr>
        <w:t>（2）</w:t>
      </w:r>
      <w:r>
        <w:rPr>
          <w:rFonts w:ascii="仿宋_GB2312" w:hAnsi="仿宋" w:eastAsia="仿宋_GB2312"/>
          <w:sz w:val="32"/>
          <w:szCs w:val="32"/>
        </w:rPr>
        <w:t xml:space="preserve">拟订社会团体、社会服务机构等社会组织登记和监督管理办法并组织实施，按照管理权限依法对社会组织进行登记管理和执法监督。 </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（3）</w:t>
      </w:r>
      <w:r>
        <w:rPr>
          <w:rFonts w:ascii="仿宋_GB2312" w:hAnsi="仿宋" w:eastAsia="仿宋_GB2312"/>
          <w:sz w:val="32"/>
          <w:szCs w:val="32"/>
        </w:rPr>
        <w:t xml:space="preserve">牵头拟订社会救助规划、政策、标准，统筹推进社会救助体系建设，负责城乡居民最低生活保障、特困人员救助供养、临时救助、生活无着流浪乞讨人员救助工作。 </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（4）</w:t>
      </w:r>
      <w:r>
        <w:rPr>
          <w:rFonts w:ascii="仿宋_GB2312" w:hAnsi="仿宋" w:eastAsia="仿宋_GB2312"/>
          <w:sz w:val="32"/>
          <w:szCs w:val="32"/>
        </w:rPr>
        <w:t>拟订城乡基层群众自治建设和社区治理政策</w:t>
      </w:r>
      <w:r>
        <w:rPr>
          <w:rFonts w:hint="eastAsia" w:ascii="仿宋_GB2312" w:hAnsi="仿宋" w:eastAsia="仿宋_GB2312"/>
          <w:sz w:val="32"/>
          <w:szCs w:val="32"/>
        </w:rPr>
        <w:t>，</w:t>
      </w:r>
      <w:r>
        <w:rPr>
          <w:rFonts w:ascii="仿宋_GB2312" w:hAnsi="仿宋" w:eastAsia="仿宋_GB2312"/>
          <w:sz w:val="32"/>
          <w:szCs w:val="32"/>
        </w:rPr>
        <w:t xml:space="preserve">指导城乡社区治理体系、服务体系和治理能力建设，提出加强和改进城乡基层政权建设的建议，推动基层民主政治建设。 </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（5）</w:t>
      </w:r>
      <w:r>
        <w:rPr>
          <w:rFonts w:ascii="仿宋_GB2312" w:hAnsi="仿宋" w:eastAsia="仿宋_GB2312"/>
          <w:sz w:val="32"/>
          <w:szCs w:val="32"/>
        </w:rPr>
        <w:t xml:space="preserve">拟订行政区划管理政策和行政区域界线、地名管理办法，负责县（区）、乡（镇）行政区划设立、命名、撤销、变更和政府驻地迁移审核报批工作，组织并指导全市行政区域界线的勘定和管理工作。调处行政区域边界争议，负责全市地名管理工作。 </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（6）</w:t>
      </w:r>
      <w:r>
        <w:rPr>
          <w:rFonts w:ascii="仿宋_GB2312" w:hAnsi="仿宋" w:eastAsia="仿宋_GB2312"/>
          <w:sz w:val="32"/>
          <w:szCs w:val="32"/>
        </w:rPr>
        <w:t xml:space="preserve">组织实施婚姻管理政策，推进婚俗改革。 </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（7）</w:t>
      </w:r>
      <w:r>
        <w:rPr>
          <w:rFonts w:ascii="仿宋_GB2312" w:hAnsi="仿宋" w:eastAsia="仿宋_GB2312"/>
          <w:sz w:val="32"/>
          <w:szCs w:val="32"/>
        </w:rPr>
        <w:t xml:space="preserve">拟订殡葬管理政策、服务规范并组织实施，负责殡葬管理工作，推进殡葬改革。 </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（8）</w:t>
      </w:r>
      <w:r>
        <w:rPr>
          <w:rFonts w:ascii="仿宋_GB2312" w:hAnsi="仿宋" w:eastAsia="仿宋_GB2312"/>
          <w:sz w:val="32"/>
          <w:szCs w:val="32"/>
        </w:rPr>
        <w:t xml:space="preserve">拟订社会福利事业发展规划、政策、标准，拟订社会福利机构管理办法并指导实施，拟订残疾人权益保护政策并监督实施。负责康复辅助器具行业管理，统筹推进残疾人福利制度建设和康复辅助器具产业发展。 </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（9）</w:t>
      </w:r>
      <w:r>
        <w:rPr>
          <w:rFonts w:ascii="仿宋_GB2312" w:hAnsi="仿宋" w:eastAsia="仿宋_GB2312"/>
          <w:sz w:val="32"/>
          <w:szCs w:val="32"/>
        </w:rPr>
        <w:t>统筹推进、督促指导、监督管理养老服务工作，拟订养老服务体系建设规划、政策、标准并组织实施，</w:t>
      </w:r>
      <w:r>
        <w:rPr>
          <w:rFonts w:hint="eastAsia" w:ascii="仿宋_GB2312" w:hAnsi="仿宋" w:eastAsia="仿宋_GB2312"/>
          <w:sz w:val="32"/>
          <w:szCs w:val="32"/>
        </w:rPr>
        <w:t>承担</w:t>
      </w:r>
      <w:r>
        <w:rPr>
          <w:rFonts w:ascii="仿宋_GB2312" w:hAnsi="仿宋" w:eastAsia="仿宋_GB2312"/>
          <w:sz w:val="32"/>
          <w:szCs w:val="32"/>
        </w:rPr>
        <w:t xml:space="preserve">老年人福利和特殊困难老年人救助工作，协调推进农村留守老年人关爱服务工作，承担城乡老年社会组织管理工作。 </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（10）</w:t>
      </w:r>
      <w:r>
        <w:rPr>
          <w:rFonts w:ascii="仿宋_GB2312" w:hAnsi="仿宋" w:eastAsia="仿宋_GB2312"/>
          <w:sz w:val="32"/>
          <w:szCs w:val="32"/>
        </w:rPr>
        <w:t xml:space="preserve">拟订儿童福利、孤弃儿童保障、儿童收养、儿童救助保护政策和标准并组织实施，健全农村留守儿童关爱服务体系和困境儿童保障制度。 </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（11）</w:t>
      </w:r>
      <w:r>
        <w:rPr>
          <w:rFonts w:ascii="仿宋_GB2312" w:hAnsi="仿宋" w:eastAsia="仿宋_GB2312"/>
          <w:sz w:val="32"/>
          <w:szCs w:val="32"/>
        </w:rPr>
        <w:t>组织拟订促进慈善事业发展政策，指导社会</w:t>
      </w:r>
      <w:r>
        <w:rPr>
          <w:rFonts w:hint="eastAsia" w:ascii="仿宋_GB2312" w:hAnsi="仿宋" w:eastAsia="仿宋_GB2312"/>
          <w:sz w:val="32"/>
          <w:szCs w:val="32"/>
        </w:rPr>
        <w:t>捐赠</w:t>
      </w:r>
      <w:r>
        <w:rPr>
          <w:rFonts w:ascii="仿宋_GB2312" w:hAnsi="仿宋" w:eastAsia="仿宋_GB2312"/>
          <w:sz w:val="32"/>
          <w:szCs w:val="32"/>
        </w:rPr>
        <w:t xml:space="preserve">工作。指导福利彩票销售工作，管理本级福利彩票公益金，监督全市福利彩票公益金的管理、使用。 </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（12）</w:t>
      </w:r>
      <w:r>
        <w:rPr>
          <w:rFonts w:ascii="仿宋_GB2312" w:hAnsi="仿宋" w:eastAsia="仿宋_GB2312"/>
          <w:sz w:val="32"/>
          <w:szCs w:val="32"/>
        </w:rPr>
        <w:t xml:space="preserve">拟订社会工作、志愿服务政策和标准，会同有关部门推进社会工作人才队伍建设和相关志愿者队伍建设。 </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（13）</w:t>
      </w:r>
      <w:r>
        <w:rPr>
          <w:rFonts w:ascii="仿宋_GB2312" w:hAnsi="仿宋" w:eastAsia="仿宋_GB2312"/>
          <w:sz w:val="32"/>
          <w:szCs w:val="32"/>
        </w:rPr>
        <w:t xml:space="preserve">依法依规负责康复辅助器具行业和社会福利、养老服务、殡葬服务、救助管理机构安全生产监督管理工作。负责职责范围内的职业健康、生态环境保护、审批服务便民化等工作。 </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（14）</w:t>
      </w:r>
      <w:r>
        <w:rPr>
          <w:rFonts w:ascii="仿宋_GB2312" w:hAnsi="仿宋" w:eastAsia="仿宋_GB2312"/>
          <w:sz w:val="32"/>
          <w:szCs w:val="32"/>
        </w:rPr>
        <w:t xml:space="preserve">完成市委、市政府交办的其他任务。 </w:t>
      </w:r>
    </w:p>
    <w:p>
      <w:pPr>
        <w:pStyle w:val="4"/>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12"/>
      <w:bookmarkEnd w:id="13"/>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1.强化政治引领，为民政事业发展提供政治保证</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深入推进</w:t>
      </w:r>
      <w:r>
        <w:rPr>
          <w:rFonts w:hint="eastAsia" w:ascii="仿宋_GB2312" w:hAnsi="仿宋" w:eastAsia="仿宋_GB2312"/>
          <w:sz w:val="32"/>
          <w:szCs w:val="32"/>
        </w:rPr>
        <w:t>“</w:t>
      </w:r>
      <w:r>
        <w:rPr>
          <w:rFonts w:ascii="仿宋_GB2312" w:hAnsi="仿宋" w:eastAsia="仿宋_GB2312"/>
          <w:sz w:val="32"/>
          <w:szCs w:val="32"/>
        </w:rPr>
        <w:t>不忘初心、牢记使命”常态化制度化建设，以“守纪律、提效能、强执行、做表率”活动为契机，纵深推进全市民政系统全面从严治党、党风廉政建设、行风政风建设，努力营造风清气正的政治生态。认真学习贯彻落实《党委（党组）落实全面从严治党主体责任规定》，加强所属支部日常的监督管理，确保党的领导体现到民政工作的各领域、各方面、各环节、全过程。用活 “学习强国”等平台，适时推送党建信息、理论文章，打造流动学习阵地，筑牢干部职工意识形态思想防线。强力推进民政系统党风廉政建设和反腐败工作。制定党风廉政班子、党组书记、班子成员三级责任清单，开展机关科室和事业单位廉政风险点排查工作。压实支部党建责任，推进党支部规范化、标准化建设，夯实基层党组织基础。疫情期间，民政干部职工下沉社区志愿服务时长累计达到813小时，捐款1.5万余元，关爱服务疫情防治一线医务工作者老人205人，让党旗在抗疫一线高高飘扬。</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围绕服务中心大局，扎实推进各项重点工作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1</w:t>
      </w:r>
      <w:r>
        <w:rPr>
          <w:rFonts w:hint="eastAsia" w:ascii="仿宋_GB2312" w:hAnsi="仿宋" w:eastAsia="仿宋_GB2312"/>
          <w:sz w:val="32"/>
          <w:szCs w:val="32"/>
        </w:rPr>
        <w:t>）</w:t>
      </w:r>
      <w:r>
        <w:rPr>
          <w:rFonts w:ascii="仿宋_GB2312" w:hAnsi="仿宋" w:eastAsia="仿宋_GB2312"/>
          <w:sz w:val="32"/>
          <w:szCs w:val="32"/>
        </w:rPr>
        <w:t>聚焦脱贫攻坚，兜牢民生之底。全面落实民生保障政策，实施社会救助兜底脱贫行动，把建档立卡贫困人口、脱贫后返贫人口、新增贫困人口、未参加失业保险农民工中符合条件的人员全部纳入农村低保。对未脱贫建档立卡贫困户中的重度残疾人、重病患者, 参照单人户纳入农村低保，家庭不再进行经济状况核对。核算低保家庭收入时扣减必要的就业成本，家庭人均收入超过当地低保标准后给予原则上不超过12个月的渐退期。调整出台我市城乡低保标准，将城市居民最低生活保障标准由560 元/月提高为610 元/月，农村居民最低生活保障标准由 370 元/月提高为410 元/月，困难群众保障水平稳步提升。截至11月，全市共保障城乡低保对象13833户27548人，农村低保较上年度</w:t>
      </w:r>
      <w:r>
        <w:rPr>
          <w:rFonts w:hint="eastAsia" w:ascii="仿宋_GB2312" w:hAnsi="仿宋" w:eastAsia="仿宋_GB2312"/>
          <w:sz w:val="32"/>
          <w:szCs w:val="32"/>
        </w:rPr>
        <w:t>同比</w:t>
      </w:r>
      <w:r>
        <w:rPr>
          <w:rFonts w:ascii="仿宋_GB2312" w:hAnsi="仿宋" w:eastAsia="仿宋_GB2312"/>
          <w:sz w:val="32"/>
          <w:szCs w:val="32"/>
        </w:rPr>
        <w:t>增长87.09%，累计支出10476.61万元。供养城乡特困人员2969人，累计支出2546.78万元。实施临时救助3624人次支出434.38万元，救助流浪乞讨人员1115人次。向城乡低保人员、特困人员、孤儿、事实无人抚养儿童发放价格临时补贴1170.52万元。保障孤儿166人（含成年在读孤儿30人）、艾滋病病毒感染儿童9人、事实无人抚养儿童98人、重度残疾儿童331人，发放各类保障资金331.87万元。为</w:t>
      </w:r>
      <w:r>
        <w:rPr>
          <w:rFonts w:hint="eastAsia" w:ascii="仿宋_GB2312" w:hAnsi="仿宋" w:eastAsia="仿宋_GB2312"/>
          <w:sz w:val="32"/>
          <w:szCs w:val="32"/>
        </w:rPr>
        <w:t>5118</w:t>
      </w:r>
      <w:r>
        <w:rPr>
          <w:rFonts w:ascii="仿宋_GB2312" w:hAnsi="仿宋" w:eastAsia="仿宋_GB2312"/>
          <w:sz w:val="32"/>
          <w:szCs w:val="32"/>
        </w:rPr>
        <w:t>名困难残疾人发放生活补贴</w:t>
      </w:r>
      <w:r>
        <w:rPr>
          <w:rFonts w:hint="eastAsia" w:ascii="仿宋_GB2312" w:hAnsi="仿宋" w:eastAsia="仿宋_GB2312"/>
          <w:sz w:val="32"/>
          <w:szCs w:val="32"/>
        </w:rPr>
        <w:t>557.66</w:t>
      </w:r>
      <w:r>
        <w:rPr>
          <w:rFonts w:ascii="仿宋_GB2312" w:hAnsi="仿宋" w:eastAsia="仿宋_GB2312"/>
          <w:sz w:val="32"/>
          <w:szCs w:val="32"/>
        </w:rPr>
        <w:t>万元，为</w:t>
      </w:r>
      <w:r>
        <w:rPr>
          <w:rFonts w:hint="eastAsia" w:ascii="仿宋_GB2312" w:hAnsi="仿宋" w:eastAsia="仿宋_GB2312"/>
          <w:sz w:val="32"/>
          <w:szCs w:val="32"/>
        </w:rPr>
        <w:t>9971</w:t>
      </w:r>
      <w:r>
        <w:rPr>
          <w:rFonts w:ascii="仿宋_GB2312" w:hAnsi="仿宋" w:eastAsia="仿宋_GB2312"/>
          <w:sz w:val="32"/>
          <w:szCs w:val="32"/>
        </w:rPr>
        <w:t>名重度残疾人发放护理补贴</w:t>
      </w:r>
      <w:r>
        <w:rPr>
          <w:rFonts w:hint="eastAsia" w:ascii="仿宋_GB2312" w:hAnsi="仿宋" w:eastAsia="仿宋_GB2312"/>
          <w:sz w:val="32"/>
          <w:szCs w:val="32"/>
        </w:rPr>
        <w:t>728.711</w:t>
      </w:r>
      <w:r>
        <w:rPr>
          <w:rFonts w:ascii="仿宋_GB2312" w:hAnsi="仿宋" w:eastAsia="仿宋_GB2312"/>
          <w:sz w:val="32"/>
          <w:szCs w:val="32"/>
        </w:rPr>
        <w:t>万元。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聚焦疫情防控，充分履行民政职能。新冠肺炎疫情期间，发动社会组织90家、社会工作者4034人次、志愿者13.5万人次共抗疫情，市慈善会作为全市应对新型冠状病毒感染肺炎疫情唯一的接受社会捐赠单位，以公开透明和行动能力为生命线，筹集400余万元善款和39.5万件物品，依法依规使用资金371.79万元、物资29.8万件，有效缓解全市疫情防控物资紧缺困难。组织开展受疫情影响困难家庭走访慰问活动，由四大班子主要领导带队，36名市领导共关怀慰问109户困难家庭，市民政局集中走访困难群众120</w:t>
      </w:r>
      <w:r>
        <w:rPr>
          <w:rFonts w:hint="eastAsia" w:ascii="仿宋_GB2312" w:hAnsi="仿宋" w:eastAsia="仿宋_GB2312"/>
          <w:sz w:val="32"/>
          <w:szCs w:val="32"/>
        </w:rPr>
        <w:t>户</w:t>
      </w:r>
      <w:r>
        <w:rPr>
          <w:rFonts w:ascii="仿宋_GB2312" w:hAnsi="仿宋" w:eastAsia="仿宋_GB2312"/>
          <w:sz w:val="32"/>
          <w:szCs w:val="32"/>
        </w:rPr>
        <w:t>，发放慰问金和慰问物资合计19.7万元。着眼民政服务对象生命安全，严格落实防控措施，建立驻点派驻协防制度，拉网式排查安全隐患，精准施策、科学防控。“一老一小”机构封闭管理，严防死守；救助管理、婚姻登记、殡葬服务机构严控聚集，防范交叉感染。截至目前，全市民政服务场所“零感染”。全面落实疫情防控一线城乡社区工作者关心关爱措施，按照“分区分级分任务分时段”的原则，科学合理确定补助标准，全市共对参加疫情防控的社区（村）“两委”成员、社区（村）专职工作人员等6533人发放补助金728.77万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聚焦重大改革，“合村、并组、优化社区”任务圆满完成。全市共减少村（社区）146个。其中，减少村119个，减幅34%，完成省定任务的161%；减少社区27个，减幅20%。全市减少村民小组705个，减幅30%；减少居民小组187个，减幅19%。调整后，全市共有村（社区）336个（村230个、社区106个）；村（居）民小组2443个（村民小组1621个，居民小组822个）。建制村平均面积由21平方公里提高到32平方公里，平均人口由1538人提高到2334人，两项指标增幅约52%；社区平均面积由2.17平方公里提高到2.77平方公里，平均人口由5162人提高到6602人，两项指标增幅约28%；村常职干部职数由平均4职增加到4.7职；村组干部基本报酬大幅提升。实现村组规模调大、布局调优、实力调强、服务调好、队伍调活、机制调新的预期目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聚焦森林草原防灭火，狠抓祭祀用火管理。出台清明期间防火灭火和安全生产十项举措，印发《攀枝花市民政局关于在殡葬服务场所全面禁燃禁放的通告》，严格执行禁燃禁放规定，实行墓区网格化管理，排查整治火险隐患，设置防火隔离带，更新补齐覆盖全墓区的消防设备，逢人必检、逢车必查，禁止火源进入墓区。将线上绿色祭奠和线下实地祭扫相结合，错峰限流，全市公墓祭扫实现“零燃放”。全面强化野外祭祀用火管控，积极劝阻携带火源入山祭祀行为，开展森林防火宣传活动，发放绿色文明祭祀宣传海报1万余张，张贴宣传标语80余幅，制作展板30余块，推送短信20余万条，设置固化宣传标语21块。</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聚焦试点示范，居家和社区养老工作顺利推进。推动出台《攀枝花市政府办公室关于推进攀枝花市养老服务发展的实施意见》（攀办发〔2020〕80号），印发《养老护理员就业和岗位补贴办法》。成立“攀枝花市养老服务机构标准化建设指导小组”，加快全市养老机构标准化建设进程。全年共下达资金3946万元，开展56个养老服务项目建设，确定3所照护失能特困供养人员敬老院改造升级点位，建设3个社区养老服务综合体。向2.61万80周岁以上老人发放高龄津贴约1390.7万元。截至目前，全市共有养老机构62家，其中公办养老机构29家，实现城乡全覆盖，民办养老机构33家，较2015年增长32家，实现从无到有，跨越式发展。全市每千名老年人拥有床位数40张，较2015年增长33%，全市养老服务呈现“组合化”“全龄化”“标准化”“多样化”“智慧化”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紧扣年度目标任务，推动民政事业发展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1</w:t>
      </w:r>
      <w:r>
        <w:rPr>
          <w:rFonts w:hint="eastAsia" w:ascii="仿宋_GB2312" w:hAnsi="仿宋" w:eastAsia="仿宋_GB2312"/>
          <w:sz w:val="32"/>
          <w:szCs w:val="32"/>
        </w:rPr>
        <w:t>）</w:t>
      </w:r>
      <w:r>
        <w:rPr>
          <w:rFonts w:ascii="仿宋_GB2312" w:hAnsi="仿宋" w:eastAsia="仿宋_GB2312"/>
          <w:sz w:val="32"/>
          <w:szCs w:val="32"/>
        </w:rPr>
        <w:t>基层社会治理持续发展。一是完成乡镇行政区划调整改革涉改乡镇（街道）区划代码的变更、机构设置、人大选举、界线勘定等，被撤乡镇（街道）便民服务不减、公共服务设施不减、基础设施投入不减、财政转移支付不减，群众当期利益不受损、长远利益有增进。二是将市域社会治理与城乡基层治理相互融合，不断完善共建共治共享的社会治理新格局。成功申报东区东华街道和阳城社区等6个社区为全省城乡社区治理试点单位，争取试点资金420万元；杨家坪等4个社区为省级社区综合服务设施“补短板”达标工程项目，争取资金共160万元。指导东区制定资金管理办法，采取“532”的先行预拨和进度配套的方式加强资金保障和项目管理，确保资金的高效安全使用。已初步打造出“党建红+公安蓝”、“E+360”慧享阳城微治理、“一核两心三站”基层治理模式、三线文化阵地建设等社区治理精品示范品牌20余个。申报社会工作服务站省级建设试点1个，社会工作服务项目1个，争取省级福彩公益金20万元。三是推进城市道路名称优化。为传承“三线” 记忆，大力推广“英雄攀枝花、阳光康养地”的城市形象，彰显我市在新时期踊跃投身成渝地区双城经济圈建设的信心和决心，对我市部分城市道路名称进行优化调整，优化调整“三线大道”“科创路” “三线大道北段”等道路名称。四是社会组织管理平稳运行。放宽因疫情影响审批事项办理管理标准，到期顺延补办。全年共办理市级社会组织行政许可48件、公共服务事项78件，重大事项备案48件，延长6家社会组织筹备期。联合出台加强行业协会商会收费治理及全面落实支持复工复产的优惠政策。目前，全市依法登记社会组织864家。其中，社会团体520家，民办非企业单位344家。完善社会组织第二综合党委组织架构，增强党对社会组织的领导；引导社会组织参与脱贫攻坚，8家社会组织投入资金354.9万元，实施脱贫攻坚项目16个。全面推开行业协会商会脱钩，累计完成全市106家行业协会商会与行政机关在机构、职能、资产财务、人员管理、党建外事等5个事项的脱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基本民生保障提质增效。一是全面落实民生惠民补贴。截至11月，为3342名逝者家庭享受减免或补贴基本丧葬服务费用311.46万元。将困难残疾人生活补贴标准提高到100元/人</w:t>
      </w:r>
      <w:r>
        <w:rPr>
          <w:rFonts w:ascii="仿宋_GB2312" w:hAnsi="仿宋" w:eastAsia="仿宋_GB2312"/>
          <w:sz w:val="32"/>
          <w:szCs w:val="32"/>
          <w:cs/>
        </w:rPr>
        <w:t>•</w:t>
      </w:r>
      <w:r>
        <w:rPr>
          <w:rFonts w:ascii="仿宋_GB2312" w:hAnsi="仿宋" w:eastAsia="仿宋_GB2312"/>
          <w:sz w:val="32"/>
          <w:szCs w:val="32"/>
        </w:rPr>
        <w:t>月，下拨省级财政残疾人两补资金400万元。二是全面落实各类困难儿童生活保障政策，开展“欢庆六</w:t>
      </w:r>
      <w:r>
        <w:rPr>
          <w:rFonts w:ascii="仿宋_GB2312" w:hAnsi="仿宋" w:eastAsia="仿宋_GB2312"/>
          <w:sz w:val="32"/>
          <w:szCs w:val="32"/>
          <w:cs/>
        </w:rPr>
        <w:t>•</w:t>
      </w:r>
      <w:r>
        <w:rPr>
          <w:rFonts w:ascii="仿宋_GB2312" w:hAnsi="仿宋" w:eastAsia="仿宋_GB2312"/>
          <w:sz w:val="32"/>
          <w:szCs w:val="32"/>
        </w:rPr>
        <w:t>一放飞梦想”“守护儿童托起希望”“百镇千村</w:t>
      </w:r>
      <w:r>
        <w:rPr>
          <w:rFonts w:ascii="仿宋_GB2312" w:hAnsi="仿宋" w:eastAsia="仿宋_GB2312"/>
          <w:sz w:val="32"/>
          <w:szCs w:val="32"/>
          <w:cs/>
        </w:rPr>
        <w:t>•</w:t>
      </w:r>
      <w:r>
        <w:rPr>
          <w:rFonts w:ascii="仿宋_GB2312" w:hAnsi="仿宋" w:eastAsia="仿宋_GB2312"/>
          <w:sz w:val="32"/>
          <w:szCs w:val="32"/>
        </w:rPr>
        <w:t>助爱牵手”及儿童关爱保护政策宣讲进村（居）等儿童节专题活动，多样化关爱儿童。开展“在同一片蓝天下——2020年度民政慈善助学”活动，资助本市贫困学生285名，对口资助木里贫困学生20名，发放助学资金116.7万元。。三是抓好专项社会事务服务。开展《婚姻法》颁布实施70周年宣传活动，共张贴宣传海报600份，发放宣传单10000余份，悬挂横幅18条，现场宣传8次。四是开展公益性康复辅助器具租赁服务。今年5月我市首个康复辅具社区租赁站在西区清香坪街道杨家坪社区建成并投入使用。主要开展康复辅具科普宣传、展示体验服务，为辖区老年人、残疾人、伤病人等使用需求者提供短期租借服务。市民政局安排资金56万元用于购置助行器、洗澡坐便椅、手动轮椅车、拐杖等基本型康复辅助器具，为困难老人、残疾儿童等特殊群体免费提供康复辅助器具租赁服务。</w:t>
      </w:r>
    </w:p>
    <w:p>
      <w:pPr>
        <w:spacing w:line="560" w:lineRule="exact"/>
        <w:ind w:firstLine="640" w:firstLineChars="200"/>
        <w:rPr>
          <w:rFonts w:ascii="仿宋" w:hAnsi="仿宋" w:eastAsia="仿宋"/>
          <w:bCs/>
          <w:color w:val="000000"/>
          <w:sz w:val="32"/>
          <w:szCs w:val="32"/>
        </w:rPr>
      </w:pPr>
      <w:r>
        <w:rPr>
          <w:rFonts w:hint="eastAsia" w:ascii="仿宋_GB2312" w:hAnsi="仿宋" w:eastAsia="仿宋_GB2312"/>
          <w:sz w:val="32"/>
          <w:szCs w:val="32"/>
        </w:rPr>
        <w:t>（3）</w:t>
      </w:r>
      <w:r>
        <w:rPr>
          <w:rFonts w:ascii="仿宋_GB2312" w:hAnsi="仿宋" w:eastAsia="仿宋_GB2312"/>
          <w:sz w:val="32"/>
          <w:szCs w:val="32"/>
        </w:rPr>
        <w:t>综合性事务稳步推进。深化“放管服”改革。优化审批程序，对市级社会组织的成立、变更、注销等审批业务，实施“四川政务服务网”或QQ、微信等网上申报；将市级社会组织法定代表人离任审计和注销清算报告审计费用纳入财政预算，定期向国家税务总局攀枝花市税务局提供爱心社会组织捐赠信息，协助、配合税务部门落实税费减免事宜，努力为社会组织减轻负担。有序推进扫黑除恶工作。建立完善村规民约、居民公约“红黑榜”制度。充分发挥村规民约、居民公约、红白理事会在基层治理中的积极作用，整治不良习俗。推广协商议事形式，推进基层协商议事制度法、规范化建设。</w:t>
      </w:r>
    </w:p>
    <w:p>
      <w:pPr>
        <w:pStyle w:val="3"/>
        <w:rPr>
          <w:rStyle w:val="14"/>
          <w:b w:val="0"/>
          <w:bCs w:val="0"/>
        </w:rPr>
      </w:pPr>
      <w:bookmarkStart w:id="14" w:name="_Toc15396601"/>
      <w:bookmarkStart w:id="15" w:name="_Toc15377200"/>
      <w:r>
        <w:rPr>
          <w:rFonts w:hint="eastAsia" w:ascii="黑体" w:eastAsia="黑体"/>
          <w:b w:val="0"/>
          <w:color w:val="000000"/>
        </w:rPr>
        <w:t>二、</w:t>
      </w:r>
      <w:r>
        <w:rPr>
          <w:rFonts w:hint="eastAsia" w:ascii="黑体" w:hAnsi="黑体" w:eastAsia="黑体"/>
          <w:b w:val="0"/>
          <w:color w:val="000000"/>
        </w:rPr>
        <w:t>机</w:t>
      </w:r>
      <w:r>
        <w:rPr>
          <w:rStyle w:val="14"/>
          <w:rFonts w:hint="eastAsia" w:ascii="黑体" w:hAnsi="黑体" w:eastAsia="黑体"/>
          <w:b w:val="0"/>
          <w:bCs w:val="0"/>
        </w:rPr>
        <w:t>构设置</w:t>
      </w:r>
      <w:bookmarkEnd w:id="14"/>
      <w:bookmarkEnd w:id="15"/>
    </w:p>
    <w:p>
      <w:pPr>
        <w:pStyle w:val="4"/>
        <w:adjustRightInd w:val="0"/>
        <w:snapToGrid w:val="0"/>
        <w:spacing w:before="93" w:line="560" w:lineRule="exact"/>
        <w:ind w:firstLine="672" w:firstLineChars="210"/>
      </w:pPr>
      <w:r>
        <w:rPr>
          <w:rFonts w:hint="eastAsia"/>
          <w:color w:val="000000"/>
          <w:sz w:val="32"/>
          <w:szCs w:val="32"/>
        </w:rPr>
        <w:t>攀枝花市民政局下属二级单位5个，其中行政单位0个，参照公务员法管理的事业单位</w:t>
      </w:r>
      <w:r>
        <w:rPr>
          <w:rFonts w:hint="eastAsia"/>
          <w:bCs/>
          <w:color w:val="000000"/>
          <w:sz w:val="32"/>
          <w:szCs w:val="32"/>
        </w:rPr>
        <w:t>0</w:t>
      </w:r>
      <w:r>
        <w:rPr>
          <w:rFonts w:hint="eastAsia"/>
          <w:color w:val="000000"/>
          <w:sz w:val="32"/>
          <w:szCs w:val="32"/>
        </w:rPr>
        <w:t>个，其他事业单位5个。</w:t>
      </w:r>
    </w:p>
    <w:p>
      <w:pPr>
        <w:pStyle w:val="4"/>
        <w:adjustRightInd w:val="0"/>
        <w:snapToGrid w:val="0"/>
        <w:spacing w:before="93" w:line="56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纳入攀枝花市民政局2019年度部门决算编制范围的二级预算单位包括：</w:t>
      </w:r>
    </w:p>
    <w:p>
      <w:pPr>
        <w:pStyle w:val="4"/>
        <w:adjustRightInd w:val="0"/>
        <w:snapToGrid w:val="0"/>
        <w:spacing w:before="93"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1.攀枝花市社会福利院</w:t>
      </w:r>
    </w:p>
    <w:p>
      <w:pPr>
        <w:pStyle w:val="4"/>
        <w:adjustRightInd w:val="0"/>
        <w:snapToGrid w:val="0"/>
        <w:spacing w:before="93"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2.攀枝花市儿童福利院</w:t>
      </w:r>
    </w:p>
    <w:p>
      <w:pPr>
        <w:pStyle w:val="4"/>
        <w:adjustRightInd w:val="0"/>
        <w:snapToGrid w:val="0"/>
        <w:spacing w:before="93"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3.攀枝花市救助管理站</w:t>
      </w:r>
    </w:p>
    <w:p>
      <w:pPr>
        <w:pStyle w:val="4"/>
        <w:adjustRightInd w:val="0"/>
        <w:snapToGrid w:val="0"/>
        <w:spacing w:before="93"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4.攀枝花市殡仪馆</w:t>
      </w: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pStyle w:val="2"/>
        <w:ind w:right="440"/>
        <w:jc w:val="right"/>
      </w:pPr>
      <w:bookmarkStart w:id="16" w:name="_Toc15377204"/>
      <w:bookmarkStart w:id="17" w:name="_Toc15396602"/>
      <w:r>
        <w:rPr>
          <w:rFonts w:hint="eastAsia" w:ascii="黑体" w:hAnsi="黑体" w:eastAsia="黑体"/>
          <w:b w:val="0"/>
          <w:color w:val="000000"/>
        </w:rPr>
        <w:t>第二部分</w:t>
      </w:r>
      <w:r>
        <w:rPr>
          <w:rFonts w:ascii="黑体" w:hAnsi="黑体" w:eastAsia="黑体"/>
          <w:color w:val="000000"/>
        </w:rPr>
        <w:t xml:space="preserve"> </w:t>
      </w:r>
      <w:r>
        <w:rPr>
          <w:rStyle w:val="13"/>
          <w:rFonts w:ascii="黑体" w:hAnsi="黑体" w:eastAsia="黑体"/>
          <w:b w:val="0"/>
          <w:bCs w:val="0"/>
        </w:rPr>
        <w:t>2020</w:t>
      </w:r>
      <w:r>
        <w:rPr>
          <w:rStyle w:val="13"/>
          <w:rFonts w:hint="eastAsia" w:ascii="黑体" w:hAnsi="黑体" w:eastAsia="黑体"/>
          <w:b w:val="0"/>
          <w:bCs w:val="0"/>
        </w:rPr>
        <w:t>年度部门决算情况说明</w:t>
      </w:r>
      <w:bookmarkEnd w:id="16"/>
      <w:bookmarkEnd w:id="17"/>
    </w:p>
    <w:p>
      <w:pPr>
        <w:pStyle w:val="15"/>
        <w:numPr>
          <w:ilvl w:val="0"/>
          <w:numId w:val="2"/>
        </w:numPr>
        <w:spacing w:line="600" w:lineRule="exact"/>
        <w:ind w:firstLineChars="0"/>
        <w:outlineLvl w:val="1"/>
        <w:rPr>
          <w:rStyle w:val="14"/>
          <w:rFonts w:ascii="黑体" w:hAnsi="黑体" w:eastAsia="黑体"/>
          <w:b w:val="0"/>
        </w:rPr>
      </w:pPr>
      <w:bookmarkStart w:id="18" w:name="_Toc15377205"/>
      <w:bookmarkStart w:id="19" w:name="_Toc15396603"/>
      <w:r>
        <w:rPr>
          <w:rFonts w:hint="eastAsia" w:ascii="黑体" w:hAnsi="黑体" w:eastAsia="黑体"/>
          <w:color w:val="000000"/>
          <w:sz w:val="32"/>
          <w:szCs w:val="32"/>
        </w:rPr>
        <w:t>收</w:t>
      </w:r>
      <w:r>
        <w:rPr>
          <w:rStyle w:val="14"/>
          <w:rFonts w:hint="eastAsia" w:ascii="黑体" w:hAnsi="黑体" w:eastAsia="黑体"/>
          <w:b w:val="0"/>
        </w:rPr>
        <w:t>入支出决算总体情况说明</w:t>
      </w:r>
      <w:bookmarkEnd w:id="18"/>
      <w:bookmarkEnd w:id="19"/>
    </w:p>
    <w:p>
      <w:pPr>
        <w:spacing w:line="600" w:lineRule="exact"/>
        <w:ind w:firstLine="640" w:firstLineChars="200"/>
        <w:rPr>
          <w:rFonts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年度收、支总计3178.67万元，年初结转结余1199.5万元，与</w:t>
      </w:r>
      <w:r>
        <w:rPr>
          <w:rFonts w:ascii="仿宋" w:hAnsi="仿宋" w:eastAsia="仿宋"/>
          <w:color w:val="000000"/>
          <w:sz w:val="32"/>
          <w:szCs w:val="32"/>
        </w:rPr>
        <w:t>2019</w:t>
      </w:r>
      <w:r>
        <w:rPr>
          <w:rFonts w:hint="eastAsia" w:ascii="仿宋" w:hAnsi="仿宋" w:eastAsia="仿宋"/>
          <w:color w:val="000000"/>
          <w:sz w:val="32"/>
          <w:szCs w:val="32"/>
        </w:rPr>
        <w:t>年相比，</w:t>
      </w:r>
      <w:r>
        <w:rPr>
          <w:rFonts w:hint="eastAsia" w:eastAsia="仿宋"/>
          <w:color w:val="000000"/>
          <w:sz w:val="32"/>
          <w:szCs w:val="32"/>
        </w:rPr>
        <w:t>收入减少720.58万元，下降38.1%；支出增加680.38万元，增加51.27</w:t>
      </w:r>
      <w:r>
        <w:rPr>
          <w:rFonts w:eastAsia="仿宋"/>
          <w:color w:val="000000"/>
          <w:sz w:val="32"/>
          <w:szCs w:val="32"/>
        </w:rPr>
        <w:t>%</w:t>
      </w:r>
      <w:r>
        <w:rPr>
          <w:rFonts w:hint="eastAsia" w:eastAsia="仿宋"/>
          <w:color w:val="000000"/>
          <w:sz w:val="32"/>
          <w:szCs w:val="32"/>
        </w:rPr>
        <w:t>。主要变动原因是机构改革，人员划减，下属事业单位减少，相应收入减少，而2019年结转项目于2020年完工，项目支出增加。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widowControl/>
        <w:jc w:val="left"/>
        <w:rPr>
          <w:rFonts w:ascii="仿宋_GB2312" w:eastAsia="仿宋_GB2312"/>
          <w:color w:val="000000"/>
          <w:sz w:val="32"/>
          <w:szCs w:val="32"/>
        </w:rPr>
      </w:pPr>
    </w:p>
    <w:p>
      <w:r>
        <w:rPr>
          <w:rFonts w:hint="eastAsia"/>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15"/>
        <w:numPr>
          <w:ilvl w:val="0"/>
          <w:numId w:val="2"/>
        </w:numPr>
        <w:spacing w:line="600" w:lineRule="exact"/>
        <w:ind w:firstLineChars="0"/>
        <w:outlineLvl w:val="1"/>
        <w:rPr>
          <w:rStyle w:val="14"/>
          <w:rFonts w:ascii="黑体" w:hAnsi="黑体" w:eastAsia="黑体"/>
          <w:b w:val="0"/>
        </w:rPr>
      </w:pPr>
      <w:bookmarkStart w:id="20" w:name="_Toc15396604"/>
      <w:bookmarkStart w:id="21" w:name="_Toc15377206"/>
      <w:r>
        <w:rPr>
          <w:rFonts w:hint="eastAsia" w:ascii="黑体" w:hAnsi="黑体" w:eastAsia="黑体"/>
          <w:color w:val="000000"/>
          <w:sz w:val="32"/>
          <w:szCs w:val="32"/>
        </w:rPr>
        <w:t>收</w:t>
      </w:r>
      <w:r>
        <w:rPr>
          <w:rStyle w:val="14"/>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年本年收入合计1170.96万元，其中：一般公共预算财政拨款收入969.62万元，占82.81</w:t>
      </w:r>
      <w:r>
        <w:rPr>
          <w:rFonts w:ascii="仿宋" w:hAnsi="仿宋" w:eastAsia="仿宋"/>
          <w:color w:val="000000"/>
          <w:sz w:val="32"/>
          <w:szCs w:val="32"/>
        </w:rPr>
        <w:t>%</w:t>
      </w:r>
      <w:r>
        <w:rPr>
          <w:rFonts w:hint="eastAsia" w:ascii="仿宋" w:hAnsi="仿宋" w:eastAsia="仿宋"/>
          <w:color w:val="000000"/>
          <w:sz w:val="32"/>
          <w:szCs w:val="32"/>
        </w:rPr>
        <w:t>；政府性基金预算财政拨款收入200.38万元，占17.11</w:t>
      </w:r>
      <w:r>
        <w:rPr>
          <w:rFonts w:ascii="仿宋" w:hAnsi="仿宋" w:eastAsia="仿宋"/>
          <w:color w:val="000000"/>
          <w:sz w:val="32"/>
          <w:szCs w:val="32"/>
        </w:rPr>
        <w:t>%</w:t>
      </w:r>
      <w:r>
        <w:rPr>
          <w:rFonts w:hint="eastAsia" w:ascii="仿宋" w:hAnsi="仿宋" w:eastAsia="仿宋"/>
          <w:color w:val="000000"/>
          <w:sz w:val="32"/>
          <w:szCs w:val="32"/>
        </w:rPr>
        <w:t>；其他收入0.96万元，占0.08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widowControl/>
        <w:jc w:val="left"/>
        <w:rPr>
          <w:rFonts w:ascii="宋体" w:hAnsi="宋体" w:eastAsia="宋体" w:cs="宋体"/>
          <w:kern w:val="0"/>
          <w:sz w:val="24"/>
          <w:lang w:bidi="ar"/>
        </w:rPr>
      </w:pPr>
    </w:p>
    <w:p>
      <w:pPr>
        <w:widowControl/>
        <w:jc w:val="left"/>
        <w:rPr>
          <w:rFonts w:ascii="宋体" w:hAnsi="宋体" w:eastAsia="宋体" w:cs="宋体"/>
          <w:kern w:val="0"/>
          <w:sz w:val="24"/>
          <w:lang w:bidi="ar"/>
        </w:rPr>
      </w:pPr>
      <w:r>
        <w:rPr>
          <w:rFonts w:hint="eastAsia" w:ascii="宋体" w:hAnsi="宋体" w:eastAsia="宋体" w:cs="宋体"/>
          <w:kern w:val="0"/>
          <w:sz w:val="24"/>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15"/>
        <w:numPr>
          <w:ilvl w:val="0"/>
          <w:numId w:val="2"/>
        </w:numPr>
        <w:spacing w:line="600" w:lineRule="exact"/>
        <w:ind w:firstLineChars="0"/>
        <w:outlineLvl w:val="1"/>
        <w:rPr>
          <w:rStyle w:val="14"/>
          <w:rFonts w:ascii="黑体" w:hAnsi="黑体" w:eastAsia="黑体"/>
          <w:b w:val="0"/>
        </w:rPr>
      </w:pPr>
      <w:bookmarkStart w:id="22" w:name="_Toc15377207"/>
      <w:bookmarkStart w:id="23" w:name="_Toc15396605"/>
      <w:r>
        <w:rPr>
          <w:rFonts w:hint="eastAsia" w:ascii="黑体" w:hAnsi="黑体" w:eastAsia="黑体"/>
          <w:color w:val="000000"/>
          <w:sz w:val="32"/>
          <w:szCs w:val="32"/>
        </w:rPr>
        <w:t>支</w:t>
      </w:r>
      <w:r>
        <w:rPr>
          <w:rStyle w:val="14"/>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color w:val="000000"/>
          <w:sz w:val="32"/>
          <w:szCs w:val="32"/>
          <w:shd w:val="pct10" w:color="auto" w:fill="FFFFFF"/>
        </w:rPr>
      </w:pPr>
      <w:r>
        <w:rPr>
          <w:rFonts w:ascii="仿宋" w:hAnsi="仿宋" w:eastAsia="仿宋"/>
          <w:color w:val="000000"/>
          <w:sz w:val="32"/>
          <w:szCs w:val="32"/>
        </w:rPr>
        <w:t>2020</w:t>
      </w:r>
      <w:r>
        <w:rPr>
          <w:rFonts w:hint="eastAsia" w:ascii="仿宋" w:hAnsi="仿宋" w:eastAsia="仿宋"/>
          <w:color w:val="000000"/>
          <w:sz w:val="32"/>
          <w:szCs w:val="32"/>
        </w:rPr>
        <w:t>年本年支出合计2007.71万元，其中：基本支出742.6万元，占36.99</w:t>
      </w:r>
      <w:r>
        <w:rPr>
          <w:rFonts w:ascii="仿宋" w:hAnsi="仿宋" w:eastAsia="仿宋"/>
          <w:color w:val="000000"/>
          <w:sz w:val="32"/>
          <w:szCs w:val="32"/>
        </w:rPr>
        <w:t>%</w:t>
      </w:r>
      <w:r>
        <w:rPr>
          <w:rFonts w:hint="eastAsia" w:ascii="仿宋" w:hAnsi="仿宋" w:eastAsia="仿宋"/>
          <w:color w:val="000000"/>
          <w:sz w:val="32"/>
          <w:szCs w:val="32"/>
        </w:rPr>
        <w:t>；项目支出1265.11万元，占63.01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widowControl/>
        <w:jc w:val="left"/>
        <w:rPr>
          <w:rFonts w:ascii="宋体" w:hAnsi="宋体" w:eastAsia="宋体" w:cs="宋体"/>
          <w:kern w:val="0"/>
          <w:sz w:val="24"/>
          <w:lang w:bidi="ar"/>
        </w:rPr>
      </w:pPr>
    </w:p>
    <w:p>
      <w:pPr>
        <w:widowControl/>
        <w:jc w:val="left"/>
        <w:rPr>
          <w:rFonts w:ascii="宋体" w:hAnsi="宋体" w:eastAsia="宋体" w:cs="宋体"/>
          <w:kern w:val="0"/>
          <w:sz w:val="24"/>
          <w:lang w:bidi="ar"/>
        </w:rPr>
      </w:pPr>
      <w:r>
        <w:rPr>
          <w:rFonts w:hint="eastAsia" w:ascii="宋体" w:hAnsi="宋体" w:eastAsia="宋体" w:cs="宋体"/>
          <w:kern w:val="0"/>
          <w:sz w:val="24"/>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outlineLvl w:val="1"/>
        <w:rPr>
          <w:rStyle w:val="14"/>
          <w:rFonts w:ascii="黑体" w:hAnsi="黑体" w:eastAsia="黑体"/>
          <w:b w:val="0"/>
        </w:rPr>
      </w:pPr>
      <w:bookmarkStart w:id="24" w:name="_Toc15377208"/>
      <w:bookmarkStart w:id="25" w:name="_Toc15396606"/>
      <w:r>
        <w:rPr>
          <w:rFonts w:hint="eastAsia" w:ascii="黑体" w:hAnsi="黑体" w:eastAsia="黑体"/>
          <w:color w:val="000000"/>
          <w:sz w:val="32"/>
          <w:szCs w:val="32"/>
        </w:rPr>
        <w:t>四、财</w:t>
      </w:r>
      <w:r>
        <w:rPr>
          <w:rStyle w:val="14"/>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年财政拨款收、支总计3176.73万元。与</w:t>
      </w:r>
      <w:r>
        <w:rPr>
          <w:rFonts w:ascii="仿宋" w:hAnsi="仿宋" w:eastAsia="仿宋"/>
          <w:color w:val="000000"/>
          <w:sz w:val="32"/>
          <w:szCs w:val="32"/>
        </w:rPr>
        <w:t>2019</w:t>
      </w:r>
      <w:r>
        <w:rPr>
          <w:rFonts w:hint="eastAsia" w:ascii="仿宋" w:hAnsi="仿宋" w:eastAsia="仿宋"/>
          <w:color w:val="000000"/>
          <w:sz w:val="32"/>
          <w:szCs w:val="32"/>
        </w:rPr>
        <w:t>年相比，</w:t>
      </w:r>
      <w:r>
        <w:rPr>
          <w:rFonts w:hint="eastAsia" w:eastAsia="仿宋"/>
          <w:color w:val="000000"/>
          <w:sz w:val="32"/>
          <w:szCs w:val="32"/>
        </w:rPr>
        <w:t>财政拨款收入减少709.65万元，下降37.52</w:t>
      </w:r>
      <w:r>
        <w:rPr>
          <w:rFonts w:eastAsia="仿宋"/>
          <w:color w:val="000000"/>
          <w:sz w:val="32"/>
          <w:szCs w:val="32"/>
        </w:rPr>
        <w:t>%</w:t>
      </w:r>
      <w:r>
        <w:rPr>
          <w:rFonts w:hint="eastAsia" w:eastAsia="仿宋"/>
          <w:color w:val="000000"/>
          <w:sz w:val="32"/>
          <w:szCs w:val="32"/>
        </w:rPr>
        <w:t>；支出增加679.51万元，增加51.19</w:t>
      </w:r>
      <w:r>
        <w:rPr>
          <w:rFonts w:eastAsia="仿宋"/>
          <w:color w:val="000000"/>
          <w:sz w:val="32"/>
          <w:szCs w:val="32"/>
        </w:rPr>
        <w:t>%</w:t>
      </w:r>
      <w:r>
        <w:rPr>
          <w:rFonts w:hint="eastAsia" w:eastAsia="仿宋"/>
          <w:color w:val="000000"/>
          <w:sz w:val="32"/>
          <w:szCs w:val="32"/>
        </w:rPr>
        <w:t>。主要变动原因是机构改革，人员划减，下属事业单位减少，相应收入减少，而2019年结转项目于2020年完工，项目支出增加。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widowControl/>
        <w:jc w:val="left"/>
        <w:rPr>
          <w:rFonts w:ascii="宋体" w:hAnsi="宋体" w:eastAsia="宋体" w:cs="宋体"/>
          <w:kern w:val="0"/>
          <w:sz w:val="24"/>
          <w:lang w:bidi="ar"/>
        </w:rPr>
      </w:pPr>
    </w:p>
    <w:p>
      <w:pPr>
        <w:widowControl/>
        <w:jc w:val="left"/>
        <w:rPr>
          <w:rFonts w:ascii="宋体" w:hAnsi="宋体" w:eastAsia="宋体" w:cs="宋体"/>
          <w:kern w:val="0"/>
          <w:sz w:val="24"/>
          <w:lang w:bidi="ar"/>
        </w:rPr>
      </w:pPr>
      <w:r>
        <w:rPr>
          <w:rFonts w:hint="eastAsia" w:ascii="宋体" w:hAnsi="宋体" w:eastAsia="宋体" w:cs="宋体"/>
          <w:kern w:val="0"/>
          <w:sz w:val="24"/>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jc w:val="left"/>
        <w:rPr>
          <w:rFonts w:ascii="宋体" w:hAnsi="宋体" w:eastAsia="宋体" w:cs="宋体"/>
          <w:kern w:val="0"/>
          <w:sz w:val="24"/>
          <w:lang w:bidi="ar"/>
        </w:rPr>
      </w:pPr>
    </w:p>
    <w:p>
      <w:pPr>
        <w:spacing w:line="600" w:lineRule="exact"/>
        <w:ind w:firstLine="640" w:firstLineChars="200"/>
        <w:outlineLvl w:val="1"/>
        <w:rPr>
          <w:rStyle w:val="14"/>
          <w:rFonts w:ascii="黑体" w:hAnsi="黑体" w:eastAsia="黑体"/>
          <w:b w:val="0"/>
        </w:rPr>
      </w:pPr>
      <w:bookmarkStart w:id="26" w:name="_Toc15377209"/>
      <w:bookmarkStart w:id="2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4"/>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color w:val="000000"/>
          <w:sz w:val="32"/>
          <w:szCs w:val="32"/>
        </w:rPr>
      </w:pPr>
      <w:bookmarkStart w:id="28" w:name="_Toc15377210"/>
      <w:r>
        <w:rPr>
          <w:rFonts w:hint="eastAsia" w:ascii="仿宋" w:hAnsi="仿宋" w:eastAsia="仿宋"/>
          <w:b/>
          <w:color w:val="000000"/>
          <w:sz w:val="32"/>
          <w:szCs w:val="32"/>
        </w:rPr>
        <w:t>（一）一般公共预算财政拨款支出决算总体情况</w:t>
      </w:r>
      <w:bookmarkEnd w:id="2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年一般公共预算财政拨款支出1351.97万元，占本年支出合计的67.37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年相比，一般公共预算财政拨款增加114.78万元，增长9.28</w:t>
      </w:r>
      <w:r>
        <w:rPr>
          <w:rFonts w:ascii="仿宋" w:hAnsi="仿宋" w:eastAsia="仿宋"/>
          <w:color w:val="000000"/>
          <w:sz w:val="32"/>
          <w:szCs w:val="32"/>
        </w:rPr>
        <w:t>%</w:t>
      </w:r>
      <w:r>
        <w:rPr>
          <w:rFonts w:hint="eastAsia" w:ascii="仿宋" w:hAnsi="仿宋" w:eastAsia="仿宋"/>
          <w:color w:val="000000"/>
          <w:sz w:val="32"/>
          <w:szCs w:val="32"/>
        </w:rPr>
        <w:t>。主要变动原因是2020年一般公共预算拨款项目支出增加。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r>
        <w:rPr>
          <w:rFonts w:hint="eastAsia"/>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3" w:firstLineChars="200"/>
        <w:outlineLvl w:val="2"/>
        <w:rPr>
          <w:rFonts w:ascii="仿宋" w:hAnsi="仿宋" w:eastAsia="仿宋"/>
          <w:b/>
          <w:color w:val="000000"/>
          <w:sz w:val="32"/>
          <w:szCs w:val="32"/>
        </w:rPr>
      </w:pPr>
      <w:bookmarkStart w:id="29" w:name="_Toc15377211"/>
      <w:r>
        <w:rPr>
          <w:rFonts w:hint="eastAsia" w:ascii="仿宋" w:hAnsi="仿宋" w:eastAsia="仿宋"/>
          <w:b/>
          <w:color w:val="000000"/>
          <w:sz w:val="32"/>
          <w:szCs w:val="32"/>
        </w:rPr>
        <w:t>（二）一般公共预算财政拨款支出决算结构情况</w:t>
      </w:r>
      <w:bookmarkEnd w:id="2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年一般公共预算财政拨款支出1351.97万元，主要用于以下方面</w:t>
      </w:r>
      <w:r>
        <w:rPr>
          <w:rFonts w:ascii="仿宋" w:hAnsi="仿宋" w:eastAsia="仿宋"/>
          <w:color w:val="000000"/>
          <w:sz w:val="32"/>
          <w:szCs w:val="32"/>
        </w:rPr>
        <w:t>:</w:t>
      </w:r>
      <w:r>
        <w:rPr>
          <w:rFonts w:hint="eastAsia" w:ascii="仿宋" w:hAnsi="仿宋" w:eastAsia="仿宋"/>
          <w:b/>
          <w:bCs/>
          <w:color w:val="000000"/>
          <w:sz w:val="32"/>
          <w:szCs w:val="32"/>
        </w:rPr>
        <w:t>一般公共服务</w:t>
      </w:r>
      <w:r>
        <w:rPr>
          <w:rFonts w:hint="eastAsia" w:ascii="仿宋" w:hAnsi="仿宋" w:eastAsia="仿宋"/>
          <w:color w:val="000000"/>
          <w:sz w:val="32"/>
          <w:szCs w:val="32"/>
        </w:rPr>
        <w:t>支出4.47万元，占0.33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w:t>
      </w:r>
      <w:r>
        <w:rPr>
          <w:rFonts w:hint="eastAsia" w:ascii="仿宋" w:hAnsi="仿宋" w:eastAsia="仿宋"/>
          <w:color w:val="000000"/>
          <w:sz w:val="32"/>
          <w:szCs w:val="32"/>
        </w:rPr>
        <w:t>支出1298.33万元，占96.03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w:t>
      </w:r>
      <w:r>
        <w:rPr>
          <w:rFonts w:hint="eastAsia" w:ascii="仿宋" w:hAnsi="仿宋" w:eastAsia="仿宋"/>
          <w:color w:val="000000"/>
          <w:sz w:val="32"/>
          <w:szCs w:val="32"/>
        </w:rPr>
        <w:t>支出49.17万元，占3.64</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widowControl/>
        <w:jc w:val="left"/>
        <w:rPr>
          <w:rFonts w:ascii="宋体" w:hAnsi="宋体" w:eastAsia="宋体" w:cs="宋体"/>
          <w:kern w:val="0"/>
          <w:sz w:val="24"/>
          <w:lang w:bidi="ar"/>
        </w:rPr>
      </w:pPr>
    </w:p>
    <w:p>
      <w:pPr>
        <w:widowControl/>
        <w:jc w:val="left"/>
        <w:rPr>
          <w:rFonts w:ascii="宋体" w:hAnsi="宋体" w:eastAsia="宋体" w:cs="宋体"/>
          <w:kern w:val="0"/>
          <w:sz w:val="24"/>
          <w:lang w:bidi="ar"/>
        </w:rPr>
      </w:pPr>
      <w:r>
        <w:rPr>
          <w:rFonts w:hint="eastAsia" w:ascii="宋体" w:hAnsi="宋体" w:eastAsia="宋体" w:cs="宋体"/>
          <w:kern w:val="0"/>
          <w:sz w:val="24"/>
        </w:rPr>
        <w:drawing>
          <wp:inline distT="0" distB="0" distL="114300" distR="114300">
            <wp:extent cx="5080000" cy="3810000"/>
            <wp:effectExtent l="4445" t="4445" r="20955"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3" w:firstLineChars="200"/>
        <w:outlineLvl w:val="2"/>
        <w:rPr>
          <w:rFonts w:ascii="仿宋" w:hAnsi="仿宋" w:eastAsia="仿宋"/>
          <w:b/>
          <w:color w:val="000000"/>
          <w:sz w:val="32"/>
          <w:szCs w:val="32"/>
        </w:rPr>
      </w:pPr>
      <w:bookmarkStart w:id="30" w:name="_Toc15377212"/>
      <w:r>
        <w:rPr>
          <w:rFonts w:hint="eastAsia" w:ascii="仿宋" w:hAnsi="仿宋" w:eastAsia="仿宋"/>
          <w:b/>
          <w:color w:val="000000"/>
          <w:sz w:val="32"/>
          <w:szCs w:val="32"/>
        </w:rPr>
        <w:t>（三）一般公共预算财政拨款支出决算具体情况</w:t>
      </w:r>
      <w:bookmarkEnd w:id="30"/>
    </w:p>
    <w:p>
      <w:pPr>
        <w:spacing w:line="600" w:lineRule="exact"/>
        <w:ind w:firstLine="643" w:firstLineChars="200"/>
        <w:outlineLvl w:val="2"/>
        <w:rPr>
          <w:rFonts w:ascii="仿宋" w:hAnsi="仿宋" w:eastAsia="仿宋"/>
          <w:color w:val="FF0000"/>
          <w:sz w:val="32"/>
          <w:szCs w:val="32"/>
        </w:rPr>
      </w:pPr>
      <w:bookmarkStart w:id="31" w:name="_Toc15377213"/>
      <w:bookmarkStart w:id="32" w:name="_Toc15378460"/>
      <w:bookmarkStart w:id="33" w:name="_Toc153774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年一般公共预算支出决算数为1351.97万元</w:t>
      </w:r>
      <w:r>
        <w:rPr>
          <w:rFonts w:hint="eastAsia" w:ascii="仿宋" w:hAnsi="仿宋" w:eastAsia="仿宋"/>
          <w:color w:val="000000"/>
          <w:sz w:val="32"/>
          <w:szCs w:val="32"/>
        </w:rPr>
        <w:t>，</w:t>
      </w:r>
      <w:r>
        <w:rPr>
          <w:rFonts w:hint="eastAsia" w:ascii="仿宋" w:hAnsi="仿宋" w:eastAsia="仿宋"/>
          <w:b/>
          <w:bCs/>
          <w:color w:val="000000"/>
          <w:sz w:val="32"/>
          <w:szCs w:val="32"/>
        </w:rPr>
        <w:t>一般公共预算拨款收入为969.62万元，年初一般公共预算结转结余502.7万元，</w:t>
      </w:r>
      <w:r>
        <w:rPr>
          <w:rStyle w:val="12"/>
          <w:rFonts w:hint="eastAsia" w:ascii="仿宋" w:hAnsi="仿宋" w:eastAsia="仿宋"/>
          <w:bCs/>
          <w:color w:val="000000"/>
          <w:sz w:val="32"/>
          <w:szCs w:val="32"/>
        </w:rPr>
        <w:t>完成预算91.92</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。其中：</w:t>
      </w:r>
      <w:bookmarkEnd w:id="31"/>
      <w:bookmarkEnd w:id="32"/>
      <w:bookmarkEnd w:id="33"/>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1.</w:t>
      </w:r>
      <w:r>
        <w:rPr>
          <w:rStyle w:val="12"/>
          <w:rFonts w:hint="eastAsia" w:ascii="仿宋" w:hAnsi="仿宋" w:eastAsia="仿宋"/>
          <w:bCs/>
          <w:color w:val="000000"/>
          <w:sz w:val="32"/>
          <w:szCs w:val="32"/>
        </w:rPr>
        <w:t>一般公共服务（类）人力资源事务（款）其他人力资源事务支出（项）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w:t>
      </w:r>
      <w:r>
        <w:rPr>
          <w:rStyle w:val="12"/>
          <w:rFonts w:hint="eastAsia" w:eastAsia="仿宋"/>
          <w:b w:val="0"/>
          <w:bCs/>
          <w:color w:val="000000"/>
          <w:sz w:val="32"/>
          <w:szCs w:val="32"/>
        </w:rPr>
        <w:t>2.18</w:t>
      </w:r>
      <w:r>
        <w:rPr>
          <w:rStyle w:val="12"/>
          <w:rFonts w:hint="eastAsia" w:ascii="仿宋" w:hAnsi="仿宋" w:eastAsia="仿宋"/>
          <w:b w:val="0"/>
          <w:bCs/>
          <w:color w:val="000000"/>
          <w:sz w:val="32"/>
          <w:szCs w:val="32"/>
        </w:rPr>
        <w:t>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2.</w:t>
      </w:r>
      <w:r>
        <w:rPr>
          <w:rStyle w:val="12"/>
          <w:rFonts w:hint="eastAsia" w:ascii="仿宋" w:hAnsi="仿宋" w:eastAsia="仿宋"/>
          <w:bCs/>
          <w:color w:val="000000"/>
          <w:sz w:val="32"/>
          <w:szCs w:val="32"/>
        </w:rPr>
        <w:t>一般公共服务（类）人力资源事务（款）其他组织事务支出（项）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w:t>
      </w:r>
      <w:r>
        <w:rPr>
          <w:rStyle w:val="12"/>
          <w:rFonts w:hint="eastAsia" w:eastAsia="仿宋"/>
          <w:b w:val="0"/>
          <w:bCs/>
          <w:color w:val="000000"/>
          <w:sz w:val="32"/>
          <w:szCs w:val="32"/>
        </w:rPr>
        <w:t>2.29</w:t>
      </w:r>
      <w:r>
        <w:rPr>
          <w:rStyle w:val="12"/>
          <w:rFonts w:hint="eastAsia" w:ascii="仿宋" w:hAnsi="仿宋" w:eastAsia="仿宋"/>
          <w:b w:val="0"/>
          <w:bCs/>
          <w:color w:val="000000"/>
          <w:sz w:val="32"/>
          <w:szCs w:val="32"/>
        </w:rPr>
        <w:t>万元，完成预算100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eastAsia="仿宋"/>
          <w:b/>
          <w:color w:val="000000"/>
          <w:sz w:val="32"/>
          <w:szCs w:val="32"/>
        </w:rPr>
      </w:pPr>
      <w:r>
        <w:rPr>
          <w:rStyle w:val="12"/>
          <w:rFonts w:eastAsia="仿宋"/>
          <w:bCs/>
          <w:color w:val="000000"/>
          <w:sz w:val="32"/>
          <w:szCs w:val="32"/>
        </w:rPr>
        <w:t>3.</w:t>
      </w:r>
      <w:r>
        <w:rPr>
          <w:rStyle w:val="12"/>
          <w:rFonts w:hint="eastAsia" w:eastAsia="仿宋"/>
          <w:bCs/>
          <w:color w:val="000000"/>
          <w:sz w:val="32"/>
          <w:szCs w:val="32"/>
        </w:rPr>
        <w:t>社会保障和就业（类）民政管理事务（款）行政运行（项）</w:t>
      </w:r>
      <w:r>
        <w:rPr>
          <w:rStyle w:val="12"/>
          <w:rFonts w:eastAsia="仿宋"/>
          <w:bCs/>
          <w:color w:val="000000"/>
          <w:sz w:val="32"/>
          <w:szCs w:val="32"/>
        </w:rPr>
        <w:t>:</w:t>
      </w:r>
      <w:r>
        <w:rPr>
          <w:rStyle w:val="12"/>
          <w:rFonts w:hint="eastAsia" w:eastAsia="仿宋"/>
          <w:b w:val="0"/>
          <w:bCs/>
          <w:color w:val="000000"/>
          <w:sz w:val="32"/>
          <w:szCs w:val="32"/>
        </w:rPr>
        <w:t>支出决算为487.61万元，完成预算100</w:t>
      </w:r>
      <w:r>
        <w:rPr>
          <w:rStyle w:val="12"/>
          <w:rFonts w:eastAsia="仿宋"/>
          <w:b w:val="0"/>
          <w:bCs/>
          <w:color w:val="000000"/>
          <w:sz w:val="32"/>
          <w:szCs w:val="32"/>
        </w:rPr>
        <w:t>%</w:t>
      </w:r>
      <w:r>
        <w:rPr>
          <w:rStyle w:val="12"/>
          <w:rFonts w:hint="eastAsia" w:eastAsia="仿宋"/>
          <w:b w:val="0"/>
          <w:bCs/>
          <w:color w:val="000000"/>
          <w:sz w:val="32"/>
          <w:szCs w:val="32"/>
        </w:rPr>
        <w:t>。</w:t>
      </w:r>
    </w:p>
    <w:p>
      <w:pPr>
        <w:spacing w:line="600" w:lineRule="exact"/>
        <w:ind w:firstLine="643" w:firstLineChars="200"/>
        <w:rPr>
          <w:rFonts w:eastAsia="仿宋"/>
          <w:b/>
          <w:color w:val="000000"/>
          <w:sz w:val="32"/>
          <w:szCs w:val="32"/>
        </w:rPr>
      </w:pPr>
      <w:r>
        <w:rPr>
          <w:rStyle w:val="12"/>
          <w:rFonts w:hint="eastAsia" w:eastAsia="仿宋"/>
          <w:bCs/>
          <w:color w:val="000000"/>
          <w:sz w:val="32"/>
          <w:szCs w:val="32"/>
        </w:rPr>
        <w:t>4</w:t>
      </w:r>
      <w:r>
        <w:rPr>
          <w:rStyle w:val="12"/>
          <w:rFonts w:eastAsia="仿宋"/>
          <w:bCs/>
          <w:color w:val="000000"/>
          <w:sz w:val="32"/>
          <w:szCs w:val="32"/>
        </w:rPr>
        <w:t>.</w:t>
      </w:r>
      <w:r>
        <w:rPr>
          <w:rStyle w:val="12"/>
          <w:rFonts w:hint="eastAsia" w:eastAsia="仿宋"/>
          <w:bCs/>
          <w:color w:val="000000"/>
          <w:sz w:val="32"/>
          <w:szCs w:val="32"/>
        </w:rPr>
        <w:t>社会保障和就业（类）民政管理事务（款）一般行政管理事务（项）</w:t>
      </w:r>
      <w:r>
        <w:rPr>
          <w:rStyle w:val="12"/>
          <w:rFonts w:eastAsia="仿宋"/>
          <w:bCs/>
          <w:color w:val="000000"/>
          <w:sz w:val="32"/>
          <w:szCs w:val="32"/>
        </w:rPr>
        <w:t>:</w:t>
      </w:r>
      <w:r>
        <w:rPr>
          <w:rStyle w:val="12"/>
          <w:rFonts w:hint="eastAsia" w:eastAsia="仿宋"/>
          <w:b w:val="0"/>
          <w:bCs/>
          <w:color w:val="000000"/>
          <w:sz w:val="32"/>
          <w:szCs w:val="32"/>
        </w:rPr>
        <w:t>支出决算为3.92万元，完成预算69.5</w:t>
      </w:r>
      <w:r>
        <w:rPr>
          <w:rStyle w:val="12"/>
          <w:rFonts w:eastAsia="仿宋"/>
          <w:b w:val="0"/>
          <w:bCs/>
          <w:color w:val="000000"/>
          <w:sz w:val="32"/>
          <w:szCs w:val="32"/>
        </w:rPr>
        <w:t>%</w:t>
      </w:r>
      <w:r>
        <w:rPr>
          <w:rStyle w:val="12"/>
          <w:rFonts w:hint="eastAsia" w:eastAsia="仿宋"/>
          <w:b w:val="0"/>
          <w:bCs/>
          <w:color w:val="000000"/>
          <w:sz w:val="32"/>
          <w:szCs w:val="32"/>
        </w:rPr>
        <w:t>，决算数小于预算数的主要原因是社区公共服务综合信息平台运行维护费于2021年结算。</w:t>
      </w:r>
    </w:p>
    <w:p>
      <w:pPr>
        <w:spacing w:line="600" w:lineRule="exact"/>
        <w:ind w:firstLine="643" w:firstLineChars="200"/>
        <w:rPr>
          <w:rStyle w:val="12"/>
          <w:rFonts w:eastAsia="仿宋"/>
          <w:b w:val="0"/>
          <w:bCs/>
          <w:color w:val="000000"/>
          <w:sz w:val="32"/>
          <w:szCs w:val="32"/>
        </w:rPr>
      </w:pPr>
      <w:r>
        <w:rPr>
          <w:rStyle w:val="12"/>
          <w:rFonts w:hint="eastAsia" w:eastAsia="仿宋"/>
          <w:bCs/>
          <w:color w:val="000000"/>
          <w:sz w:val="32"/>
          <w:szCs w:val="32"/>
        </w:rPr>
        <w:t>5</w:t>
      </w:r>
      <w:r>
        <w:rPr>
          <w:rStyle w:val="12"/>
          <w:rFonts w:eastAsia="仿宋"/>
          <w:bCs/>
          <w:color w:val="000000"/>
          <w:sz w:val="32"/>
          <w:szCs w:val="32"/>
        </w:rPr>
        <w:t>.</w:t>
      </w:r>
      <w:r>
        <w:rPr>
          <w:rStyle w:val="12"/>
          <w:rFonts w:hint="eastAsia" w:eastAsia="仿宋"/>
          <w:bCs/>
          <w:color w:val="000000"/>
          <w:sz w:val="32"/>
          <w:szCs w:val="32"/>
        </w:rPr>
        <w:t>社会保障和就业（类）民政管理事务（款）行政区划和地名管理（项）</w:t>
      </w:r>
      <w:r>
        <w:rPr>
          <w:rStyle w:val="12"/>
          <w:rFonts w:eastAsia="仿宋"/>
          <w:bCs/>
          <w:color w:val="000000"/>
          <w:sz w:val="32"/>
          <w:szCs w:val="32"/>
        </w:rPr>
        <w:t>:</w:t>
      </w:r>
      <w:r>
        <w:rPr>
          <w:rStyle w:val="12"/>
          <w:rFonts w:hint="eastAsia" w:eastAsia="仿宋"/>
          <w:b w:val="0"/>
          <w:bCs/>
          <w:color w:val="000000"/>
          <w:sz w:val="32"/>
          <w:szCs w:val="32"/>
        </w:rPr>
        <w:t>支出决算为42.26万元，完成预算82.46</w:t>
      </w:r>
      <w:r>
        <w:rPr>
          <w:rStyle w:val="12"/>
          <w:rFonts w:eastAsia="仿宋"/>
          <w:b w:val="0"/>
          <w:bCs/>
          <w:color w:val="000000"/>
          <w:sz w:val="32"/>
          <w:szCs w:val="32"/>
        </w:rPr>
        <w:t>%</w:t>
      </w:r>
      <w:r>
        <w:rPr>
          <w:rStyle w:val="12"/>
          <w:rFonts w:hint="eastAsia" w:eastAsia="仿宋"/>
          <w:b w:val="0"/>
          <w:bCs/>
          <w:color w:val="000000"/>
          <w:sz w:val="32"/>
          <w:szCs w:val="32"/>
        </w:rPr>
        <w:t>，决算数小于预算数的主要原因是村级建制调整改革和“两城”道路命名经费剩余部分按计划于2021年使用。</w:t>
      </w:r>
    </w:p>
    <w:p>
      <w:pPr>
        <w:spacing w:line="600" w:lineRule="exact"/>
        <w:ind w:firstLine="643" w:firstLineChars="200"/>
        <w:rPr>
          <w:rFonts w:eastAsia="仿宋"/>
          <w:b/>
          <w:color w:val="000000"/>
          <w:sz w:val="32"/>
          <w:szCs w:val="32"/>
        </w:rPr>
      </w:pPr>
      <w:r>
        <w:rPr>
          <w:rStyle w:val="12"/>
          <w:rFonts w:hint="eastAsia" w:eastAsia="仿宋"/>
          <w:bCs/>
          <w:color w:val="000000"/>
          <w:sz w:val="32"/>
          <w:szCs w:val="32"/>
        </w:rPr>
        <w:t>6</w:t>
      </w:r>
      <w:r>
        <w:rPr>
          <w:rStyle w:val="12"/>
          <w:rFonts w:eastAsia="仿宋"/>
          <w:bCs/>
          <w:color w:val="000000"/>
          <w:sz w:val="32"/>
          <w:szCs w:val="32"/>
        </w:rPr>
        <w:t>.</w:t>
      </w:r>
      <w:r>
        <w:rPr>
          <w:rStyle w:val="12"/>
          <w:rFonts w:hint="eastAsia" w:eastAsia="仿宋"/>
          <w:bCs/>
          <w:color w:val="000000"/>
          <w:sz w:val="32"/>
          <w:szCs w:val="32"/>
        </w:rPr>
        <w:t>社会保障和就业（类）民政管理事务（款）其他民政管理事务支出（项）</w:t>
      </w:r>
      <w:r>
        <w:rPr>
          <w:rStyle w:val="12"/>
          <w:rFonts w:eastAsia="仿宋"/>
          <w:bCs/>
          <w:color w:val="000000"/>
          <w:sz w:val="32"/>
          <w:szCs w:val="32"/>
        </w:rPr>
        <w:t>:</w:t>
      </w:r>
      <w:r>
        <w:rPr>
          <w:rStyle w:val="12"/>
          <w:rFonts w:hint="eastAsia" w:eastAsia="仿宋"/>
          <w:b w:val="0"/>
          <w:bCs/>
          <w:color w:val="000000"/>
          <w:sz w:val="32"/>
          <w:szCs w:val="32"/>
        </w:rPr>
        <w:t>支出决算为265.36万元，完成预算100</w:t>
      </w:r>
      <w:r>
        <w:rPr>
          <w:rStyle w:val="12"/>
          <w:rFonts w:eastAsia="仿宋"/>
          <w:b w:val="0"/>
          <w:bCs/>
          <w:color w:val="000000"/>
          <w:sz w:val="32"/>
          <w:szCs w:val="32"/>
        </w:rPr>
        <w:t>%</w:t>
      </w:r>
      <w:r>
        <w:rPr>
          <w:rStyle w:val="12"/>
          <w:rFonts w:hint="eastAsia" w:eastAsia="仿宋"/>
          <w:b w:val="0"/>
          <w:bCs/>
          <w:color w:val="000000"/>
          <w:sz w:val="32"/>
          <w:szCs w:val="32"/>
        </w:rPr>
        <w:t>。</w:t>
      </w:r>
    </w:p>
    <w:p>
      <w:pPr>
        <w:spacing w:line="600" w:lineRule="exact"/>
        <w:ind w:firstLine="643" w:firstLineChars="200"/>
        <w:rPr>
          <w:rStyle w:val="12"/>
          <w:rFonts w:eastAsia="仿宋"/>
          <w:b w:val="0"/>
          <w:bCs/>
          <w:color w:val="000000"/>
          <w:sz w:val="32"/>
          <w:szCs w:val="32"/>
        </w:rPr>
      </w:pPr>
      <w:r>
        <w:rPr>
          <w:rStyle w:val="12"/>
          <w:rFonts w:hint="eastAsia" w:eastAsia="仿宋"/>
          <w:bCs/>
          <w:color w:val="000000"/>
          <w:sz w:val="32"/>
          <w:szCs w:val="32"/>
        </w:rPr>
        <w:t>7</w:t>
      </w:r>
      <w:r>
        <w:rPr>
          <w:rStyle w:val="12"/>
          <w:rFonts w:eastAsia="仿宋"/>
          <w:bCs/>
          <w:color w:val="000000"/>
          <w:sz w:val="32"/>
          <w:szCs w:val="32"/>
        </w:rPr>
        <w:t>.</w:t>
      </w:r>
      <w:r>
        <w:rPr>
          <w:rStyle w:val="12"/>
          <w:rFonts w:hint="eastAsia" w:eastAsia="仿宋"/>
          <w:bCs/>
          <w:color w:val="000000"/>
          <w:sz w:val="32"/>
          <w:szCs w:val="32"/>
        </w:rPr>
        <w:t>社会保障和就业（类）行政事业单位养老支出（款）行政单位离退休（项）</w:t>
      </w:r>
      <w:r>
        <w:rPr>
          <w:rStyle w:val="12"/>
          <w:rFonts w:eastAsia="仿宋"/>
          <w:bCs/>
          <w:color w:val="000000"/>
          <w:sz w:val="32"/>
          <w:szCs w:val="32"/>
        </w:rPr>
        <w:t>:</w:t>
      </w:r>
      <w:r>
        <w:rPr>
          <w:rStyle w:val="12"/>
          <w:rFonts w:eastAsia="仿宋"/>
          <w:b w:val="0"/>
          <w:bCs/>
          <w:color w:val="000000"/>
          <w:sz w:val="32"/>
          <w:szCs w:val="32"/>
        </w:rPr>
        <w:t xml:space="preserve"> </w:t>
      </w:r>
      <w:r>
        <w:rPr>
          <w:rStyle w:val="12"/>
          <w:rFonts w:hint="eastAsia" w:eastAsia="仿宋"/>
          <w:b w:val="0"/>
          <w:bCs/>
          <w:color w:val="000000"/>
          <w:sz w:val="32"/>
          <w:szCs w:val="32"/>
        </w:rPr>
        <w:t>支出决算为115.33万元，完成预算100</w:t>
      </w:r>
      <w:r>
        <w:rPr>
          <w:rStyle w:val="12"/>
          <w:rFonts w:eastAsia="仿宋"/>
          <w:b w:val="0"/>
          <w:bCs/>
          <w:color w:val="000000"/>
          <w:sz w:val="32"/>
          <w:szCs w:val="32"/>
        </w:rPr>
        <w:t>%</w:t>
      </w:r>
      <w:r>
        <w:rPr>
          <w:rStyle w:val="12"/>
          <w:rFonts w:hint="eastAsia" w:eastAsia="仿宋"/>
          <w:b w:val="0"/>
          <w:bCs/>
          <w:color w:val="000000"/>
          <w:sz w:val="32"/>
          <w:szCs w:val="32"/>
        </w:rPr>
        <w:t>。</w:t>
      </w:r>
    </w:p>
    <w:p>
      <w:pPr>
        <w:spacing w:line="600" w:lineRule="exact"/>
        <w:ind w:firstLine="643" w:firstLineChars="200"/>
        <w:rPr>
          <w:rFonts w:eastAsia="仿宋"/>
          <w:b/>
          <w:color w:val="000000"/>
          <w:sz w:val="32"/>
          <w:szCs w:val="32"/>
        </w:rPr>
      </w:pPr>
      <w:r>
        <w:rPr>
          <w:rStyle w:val="12"/>
          <w:rFonts w:hint="eastAsia" w:eastAsia="仿宋"/>
          <w:bCs/>
          <w:color w:val="000000"/>
          <w:sz w:val="32"/>
          <w:szCs w:val="32"/>
        </w:rPr>
        <w:t>8</w:t>
      </w:r>
      <w:r>
        <w:rPr>
          <w:rStyle w:val="12"/>
          <w:rFonts w:eastAsia="仿宋"/>
          <w:bCs/>
          <w:color w:val="000000"/>
          <w:sz w:val="32"/>
          <w:szCs w:val="32"/>
        </w:rPr>
        <w:t>.</w:t>
      </w:r>
      <w:r>
        <w:rPr>
          <w:rStyle w:val="12"/>
          <w:rFonts w:hint="eastAsia" w:eastAsia="仿宋"/>
          <w:bCs/>
          <w:color w:val="000000"/>
          <w:sz w:val="32"/>
          <w:szCs w:val="32"/>
        </w:rPr>
        <w:t>社会保障和就业（类）行政事业单位养老支出（款）      机关事业单位基本养老保险缴费支出（项）</w:t>
      </w:r>
      <w:r>
        <w:rPr>
          <w:rStyle w:val="12"/>
          <w:rFonts w:eastAsia="仿宋"/>
          <w:bCs/>
          <w:color w:val="000000"/>
          <w:sz w:val="32"/>
          <w:szCs w:val="32"/>
        </w:rPr>
        <w:t>:</w:t>
      </w:r>
      <w:r>
        <w:rPr>
          <w:rStyle w:val="12"/>
          <w:rFonts w:eastAsia="仿宋"/>
          <w:b w:val="0"/>
          <w:bCs/>
          <w:color w:val="000000"/>
          <w:sz w:val="32"/>
          <w:szCs w:val="32"/>
        </w:rPr>
        <w:t xml:space="preserve"> </w:t>
      </w:r>
      <w:r>
        <w:rPr>
          <w:rStyle w:val="12"/>
          <w:rFonts w:hint="eastAsia" w:eastAsia="仿宋"/>
          <w:b w:val="0"/>
          <w:bCs/>
          <w:color w:val="000000"/>
          <w:sz w:val="32"/>
          <w:szCs w:val="32"/>
        </w:rPr>
        <w:t>支出决算为40.76万元，完成预算100</w:t>
      </w:r>
      <w:r>
        <w:rPr>
          <w:rStyle w:val="12"/>
          <w:rFonts w:eastAsia="仿宋"/>
          <w:b w:val="0"/>
          <w:bCs/>
          <w:color w:val="000000"/>
          <w:sz w:val="32"/>
          <w:szCs w:val="32"/>
        </w:rPr>
        <w:t>%</w:t>
      </w:r>
      <w:r>
        <w:rPr>
          <w:rStyle w:val="12"/>
          <w:rFonts w:hint="eastAsia" w:eastAsia="仿宋"/>
          <w:b w:val="0"/>
          <w:bCs/>
          <w:color w:val="000000"/>
          <w:sz w:val="32"/>
          <w:szCs w:val="32"/>
        </w:rPr>
        <w:t>。</w:t>
      </w:r>
    </w:p>
    <w:p>
      <w:pPr>
        <w:spacing w:line="600" w:lineRule="exact"/>
        <w:ind w:firstLine="643" w:firstLineChars="200"/>
        <w:rPr>
          <w:rStyle w:val="12"/>
          <w:rFonts w:eastAsia="仿宋"/>
          <w:b w:val="0"/>
          <w:bCs/>
          <w:color w:val="000000"/>
          <w:sz w:val="32"/>
          <w:szCs w:val="32"/>
        </w:rPr>
      </w:pPr>
      <w:r>
        <w:rPr>
          <w:rStyle w:val="12"/>
          <w:rFonts w:hint="eastAsia" w:eastAsia="仿宋"/>
          <w:bCs/>
          <w:color w:val="000000"/>
          <w:sz w:val="32"/>
          <w:szCs w:val="32"/>
        </w:rPr>
        <w:t>9</w:t>
      </w:r>
      <w:r>
        <w:rPr>
          <w:rStyle w:val="12"/>
          <w:rFonts w:eastAsia="仿宋"/>
          <w:bCs/>
          <w:color w:val="000000"/>
          <w:sz w:val="32"/>
          <w:szCs w:val="32"/>
        </w:rPr>
        <w:t>.</w:t>
      </w:r>
      <w:r>
        <w:rPr>
          <w:rStyle w:val="12"/>
          <w:rFonts w:hint="eastAsia" w:eastAsia="仿宋"/>
          <w:bCs/>
          <w:color w:val="000000"/>
          <w:sz w:val="32"/>
          <w:szCs w:val="32"/>
        </w:rPr>
        <w:t>社会保障和就业（类）抚恤（款）死亡抚恤（项）</w:t>
      </w:r>
      <w:r>
        <w:rPr>
          <w:rStyle w:val="12"/>
          <w:rFonts w:eastAsia="仿宋"/>
          <w:bCs/>
          <w:color w:val="000000"/>
          <w:sz w:val="32"/>
          <w:szCs w:val="32"/>
        </w:rPr>
        <w:t>:</w:t>
      </w:r>
      <w:r>
        <w:rPr>
          <w:rStyle w:val="12"/>
          <w:rFonts w:eastAsia="仿宋"/>
          <w:b w:val="0"/>
          <w:bCs/>
          <w:color w:val="000000"/>
          <w:sz w:val="32"/>
          <w:szCs w:val="32"/>
        </w:rPr>
        <w:t xml:space="preserve"> </w:t>
      </w:r>
      <w:r>
        <w:rPr>
          <w:rStyle w:val="12"/>
          <w:rFonts w:hint="eastAsia" w:eastAsia="仿宋"/>
          <w:b w:val="0"/>
          <w:bCs/>
          <w:color w:val="000000"/>
          <w:sz w:val="32"/>
          <w:szCs w:val="32"/>
        </w:rPr>
        <w:t>支出决算为0万元，完成预算0</w:t>
      </w:r>
      <w:r>
        <w:rPr>
          <w:rStyle w:val="12"/>
          <w:rFonts w:eastAsia="仿宋"/>
          <w:b w:val="0"/>
          <w:bCs/>
          <w:color w:val="000000"/>
          <w:sz w:val="32"/>
          <w:szCs w:val="32"/>
        </w:rPr>
        <w:t>%</w:t>
      </w:r>
      <w:r>
        <w:rPr>
          <w:rStyle w:val="12"/>
          <w:rFonts w:hint="eastAsia" w:eastAsia="仿宋"/>
          <w:b w:val="0"/>
          <w:bCs/>
          <w:color w:val="000000"/>
          <w:sz w:val="32"/>
          <w:szCs w:val="32"/>
        </w:rPr>
        <w:t>，决算数小于预算数的主要原因是资金于2020年12月下达，结转至2021年支付。</w:t>
      </w:r>
    </w:p>
    <w:p>
      <w:pPr>
        <w:spacing w:line="600" w:lineRule="exact"/>
        <w:ind w:firstLine="643" w:firstLineChars="200"/>
        <w:rPr>
          <w:rStyle w:val="12"/>
          <w:rFonts w:eastAsia="仿宋"/>
          <w:b w:val="0"/>
          <w:bCs/>
          <w:color w:val="000000"/>
          <w:sz w:val="32"/>
          <w:szCs w:val="32"/>
        </w:rPr>
      </w:pPr>
      <w:r>
        <w:rPr>
          <w:rStyle w:val="12"/>
          <w:rFonts w:hint="eastAsia" w:eastAsia="仿宋"/>
          <w:bCs/>
          <w:color w:val="000000"/>
          <w:sz w:val="32"/>
          <w:szCs w:val="32"/>
        </w:rPr>
        <w:t>10</w:t>
      </w:r>
      <w:r>
        <w:rPr>
          <w:rStyle w:val="12"/>
          <w:rFonts w:eastAsia="仿宋"/>
          <w:bCs/>
          <w:color w:val="000000"/>
          <w:sz w:val="32"/>
          <w:szCs w:val="32"/>
        </w:rPr>
        <w:t>.</w:t>
      </w:r>
      <w:r>
        <w:rPr>
          <w:rStyle w:val="12"/>
          <w:rFonts w:hint="eastAsia" w:eastAsia="仿宋"/>
          <w:bCs/>
          <w:color w:val="000000"/>
          <w:sz w:val="32"/>
          <w:szCs w:val="32"/>
        </w:rPr>
        <w:t>社会保障和就业（类）社会福利（款）儿童福利（项）</w:t>
      </w:r>
      <w:r>
        <w:rPr>
          <w:rStyle w:val="12"/>
          <w:rFonts w:eastAsia="仿宋"/>
          <w:bCs/>
          <w:color w:val="000000"/>
          <w:sz w:val="32"/>
          <w:szCs w:val="32"/>
        </w:rPr>
        <w:t>:</w:t>
      </w:r>
      <w:r>
        <w:rPr>
          <w:rStyle w:val="12"/>
          <w:rFonts w:eastAsia="仿宋"/>
          <w:b w:val="0"/>
          <w:bCs/>
          <w:color w:val="000000"/>
          <w:sz w:val="32"/>
          <w:szCs w:val="32"/>
        </w:rPr>
        <w:t xml:space="preserve"> </w:t>
      </w:r>
      <w:r>
        <w:rPr>
          <w:rStyle w:val="12"/>
          <w:rFonts w:hint="eastAsia" w:eastAsia="仿宋"/>
          <w:b w:val="0"/>
          <w:bCs/>
          <w:color w:val="000000"/>
          <w:sz w:val="32"/>
          <w:szCs w:val="32"/>
        </w:rPr>
        <w:t>支出决算为118.91万元，完成预算100</w:t>
      </w:r>
      <w:r>
        <w:rPr>
          <w:rStyle w:val="12"/>
          <w:rFonts w:eastAsia="仿宋"/>
          <w:b w:val="0"/>
          <w:bCs/>
          <w:color w:val="000000"/>
          <w:sz w:val="32"/>
          <w:szCs w:val="32"/>
        </w:rPr>
        <w:t>%</w:t>
      </w:r>
      <w:r>
        <w:rPr>
          <w:rStyle w:val="12"/>
          <w:rFonts w:hint="eastAsia" w:eastAsia="仿宋"/>
          <w:b w:val="0"/>
          <w:bCs/>
          <w:color w:val="000000"/>
          <w:sz w:val="32"/>
          <w:szCs w:val="32"/>
        </w:rPr>
        <w:t>。</w:t>
      </w:r>
    </w:p>
    <w:p>
      <w:pPr>
        <w:spacing w:line="600" w:lineRule="exact"/>
        <w:ind w:firstLine="643" w:firstLineChars="200"/>
        <w:rPr>
          <w:rStyle w:val="12"/>
          <w:rFonts w:eastAsia="仿宋"/>
          <w:b w:val="0"/>
          <w:bCs/>
          <w:color w:val="000000"/>
          <w:sz w:val="32"/>
          <w:szCs w:val="32"/>
        </w:rPr>
      </w:pPr>
      <w:r>
        <w:rPr>
          <w:rStyle w:val="12"/>
          <w:rFonts w:hint="eastAsia" w:eastAsia="仿宋"/>
          <w:bCs/>
          <w:color w:val="000000"/>
          <w:sz w:val="32"/>
          <w:szCs w:val="32"/>
        </w:rPr>
        <w:t>11</w:t>
      </w:r>
      <w:r>
        <w:rPr>
          <w:rStyle w:val="12"/>
          <w:rFonts w:eastAsia="仿宋"/>
          <w:bCs/>
          <w:color w:val="000000"/>
          <w:sz w:val="32"/>
          <w:szCs w:val="32"/>
        </w:rPr>
        <w:t>.</w:t>
      </w:r>
      <w:r>
        <w:rPr>
          <w:rStyle w:val="12"/>
          <w:rFonts w:hint="eastAsia" w:eastAsia="仿宋"/>
          <w:bCs/>
          <w:color w:val="000000"/>
          <w:sz w:val="32"/>
          <w:szCs w:val="32"/>
        </w:rPr>
        <w:t>社会保障和就业（类）社会福利（款）其他社会福利支出（项）</w:t>
      </w:r>
      <w:r>
        <w:rPr>
          <w:rStyle w:val="12"/>
          <w:rFonts w:eastAsia="仿宋"/>
          <w:bCs/>
          <w:color w:val="000000"/>
          <w:sz w:val="32"/>
          <w:szCs w:val="32"/>
        </w:rPr>
        <w:t>:</w:t>
      </w:r>
      <w:r>
        <w:rPr>
          <w:rStyle w:val="12"/>
          <w:rFonts w:eastAsia="仿宋"/>
          <w:b w:val="0"/>
          <w:bCs/>
          <w:color w:val="000000"/>
          <w:sz w:val="32"/>
          <w:szCs w:val="32"/>
        </w:rPr>
        <w:t xml:space="preserve"> </w:t>
      </w:r>
      <w:r>
        <w:rPr>
          <w:rStyle w:val="12"/>
          <w:rFonts w:hint="eastAsia" w:eastAsia="仿宋"/>
          <w:b w:val="0"/>
          <w:bCs/>
          <w:color w:val="000000"/>
          <w:sz w:val="32"/>
          <w:szCs w:val="32"/>
        </w:rPr>
        <w:t>支出决算为69.6万元，完成预算40.94</w:t>
      </w:r>
      <w:r>
        <w:rPr>
          <w:rStyle w:val="12"/>
          <w:rFonts w:eastAsia="仿宋"/>
          <w:b w:val="0"/>
          <w:bCs/>
          <w:color w:val="000000"/>
          <w:sz w:val="32"/>
          <w:szCs w:val="32"/>
        </w:rPr>
        <w:t>%</w:t>
      </w:r>
      <w:r>
        <w:rPr>
          <w:rStyle w:val="12"/>
          <w:rFonts w:hint="eastAsia" w:eastAsia="仿宋"/>
          <w:b w:val="0"/>
          <w:bCs/>
          <w:color w:val="000000"/>
          <w:sz w:val="32"/>
          <w:szCs w:val="32"/>
        </w:rPr>
        <w:t>，决算数小于预算数的主要原因是市民政局全市60周岁以上老年人行为能力评估项目和全市养老机构星级评定项目计划于2021年开展使用。</w:t>
      </w:r>
    </w:p>
    <w:p>
      <w:pPr>
        <w:spacing w:line="600" w:lineRule="exact"/>
        <w:ind w:firstLine="643" w:firstLineChars="200"/>
        <w:rPr>
          <w:rStyle w:val="12"/>
          <w:rFonts w:eastAsia="仿宋"/>
          <w:b w:val="0"/>
          <w:bCs/>
          <w:color w:val="000000"/>
          <w:sz w:val="32"/>
          <w:szCs w:val="32"/>
        </w:rPr>
      </w:pPr>
      <w:r>
        <w:rPr>
          <w:rStyle w:val="12"/>
          <w:rFonts w:hint="eastAsia" w:eastAsia="仿宋"/>
          <w:bCs/>
          <w:color w:val="000000"/>
          <w:sz w:val="32"/>
          <w:szCs w:val="32"/>
        </w:rPr>
        <w:t>12</w:t>
      </w:r>
      <w:r>
        <w:rPr>
          <w:rStyle w:val="12"/>
          <w:rFonts w:eastAsia="仿宋"/>
          <w:bCs/>
          <w:color w:val="000000"/>
          <w:sz w:val="32"/>
          <w:szCs w:val="32"/>
        </w:rPr>
        <w:t>.</w:t>
      </w:r>
      <w:r>
        <w:rPr>
          <w:rStyle w:val="12"/>
          <w:rFonts w:hint="eastAsia" w:eastAsia="仿宋"/>
          <w:bCs/>
          <w:color w:val="000000"/>
          <w:sz w:val="32"/>
          <w:szCs w:val="32"/>
        </w:rPr>
        <w:t>社会保障和就业（类）其他社会保障和就业支出（款）其他社会保障和就业支出（项）</w:t>
      </w:r>
      <w:r>
        <w:rPr>
          <w:rStyle w:val="12"/>
          <w:rFonts w:eastAsia="仿宋"/>
          <w:bCs/>
          <w:color w:val="000000"/>
          <w:sz w:val="32"/>
          <w:szCs w:val="32"/>
        </w:rPr>
        <w:t>:</w:t>
      </w:r>
      <w:r>
        <w:rPr>
          <w:rStyle w:val="12"/>
          <w:rFonts w:eastAsia="仿宋"/>
          <w:b w:val="0"/>
          <w:bCs/>
          <w:color w:val="000000"/>
          <w:sz w:val="32"/>
          <w:szCs w:val="32"/>
        </w:rPr>
        <w:t xml:space="preserve"> </w:t>
      </w:r>
      <w:r>
        <w:rPr>
          <w:rStyle w:val="12"/>
          <w:rFonts w:hint="eastAsia" w:eastAsia="仿宋"/>
          <w:b w:val="0"/>
          <w:bCs/>
          <w:color w:val="000000"/>
          <w:sz w:val="32"/>
          <w:szCs w:val="32"/>
        </w:rPr>
        <w:t>支出决算为154.56万元，完成预算100</w:t>
      </w:r>
      <w:r>
        <w:rPr>
          <w:rStyle w:val="12"/>
          <w:rFonts w:eastAsia="仿宋"/>
          <w:b w:val="0"/>
          <w:bCs/>
          <w:color w:val="000000"/>
          <w:sz w:val="32"/>
          <w:szCs w:val="32"/>
        </w:rPr>
        <w:t>%</w:t>
      </w:r>
      <w:r>
        <w:rPr>
          <w:rStyle w:val="12"/>
          <w:rFonts w:hint="eastAsia" w:eastAsia="仿宋"/>
          <w:b w:val="0"/>
          <w:bCs/>
          <w:color w:val="000000"/>
          <w:sz w:val="32"/>
          <w:szCs w:val="32"/>
        </w:rPr>
        <w:t>。</w:t>
      </w:r>
    </w:p>
    <w:p>
      <w:pPr>
        <w:spacing w:line="600" w:lineRule="exact"/>
        <w:ind w:firstLine="643" w:firstLineChars="200"/>
        <w:rPr>
          <w:rFonts w:eastAsia="仿宋"/>
          <w:b/>
          <w:color w:val="000000"/>
          <w:sz w:val="32"/>
          <w:szCs w:val="32"/>
        </w:rPr>
      </w:pPr>
      <w:r>
        <w:rPr>
          <w:rStyle w:val="12"/>
          <w:rFonts w:hint="eastAsia" w:eastAsia="仿宋"/>
          <w:bCs/>
          <w:color w:val="000000"/>
          <w:sz w:val="32"/>
          <w:szCs w:val="32"/>
        </w:rPr>
        <w:t>13</w:t>
      </w:r>
      <w:r>
        <w:rPr>
          <w:rStyle w:val="12"/>
          <w:rFonts w:eastAsia="仿宋"/>
          <w:bCs/>
          <w:color w:val="000000"/>
          <w:sz w:val="32"/>
          <w:szCs w:val="32"/>
        </w:rPr>
        <w:t>.</w:t>
      </w:r>
      <w:r>
        <w:rPr>
          <w:rFonts w:hint="eastAsia"/>
        </w:rPr>
        <w:t xml:space="preserve"> </w:t>
      </w:r>
      <w:r>
        <w:rPr>
          <w:rStyle w:val="12"/>
          <w:rFonts w:hint="eastAsia" w:eastAsia="仿宋"/>
          <w:bCs/>
          <w:color w:val="000000"/>
          <w:sz w:val="32"/>
          <w:szCs w:val="32"/>
        </w:rPr>
        <w:t>住房保障支出（类）住房保障支出（款）住房公积金（项）</w:t>
      </w:r>
      <w:r>
        <w:rPr>
          <w:rStyle w:val="12"/>
          <w:rFonts w:eastAsia="仿宋"/>
          <w:bCs/>
          <w:color w:val="000000"/>
          <w:sz w:val="32"/>
          <w:szCs w:val="32"/>
        </w:rPr>
        <w:t>:</w:t>
      </w:r>
      <w:r>
        <w:rPr>
          <w:rStyle w:val="12"/>
          <w:rFonts w:eastAsia="仿宋"/>
          <w:b w:val="0"/>
          <w:bCs/>
          <w:color w:val="000000"/>
          <w:sz w:val="32"/>
          <w:szCs w:val="32"/>
        </w:rPr>
        <w:t xml:space="preserve"> </w:t>
      </w:r>
      <w:r>
        <w:rPr>
          <w:rStyle w:val="12"/>
          <w:rFonts w:hint="eastAsia" w:eastAsia="仿宋"/>
          <w:b w:val="0"/>
          <w:bCs/>
          <w:color w:val="000000"/>
          <w:sz w:val="32"/>
          <w:szCs w:val="32"/>
        </w:rPr>
        <w:t>支出决算为49.17万元，完成预算100</w:t>
      </w:r>
      <w:r>
        <w:rPr>
          <w:rStyle w:val="12"/>
          <w:rFonts w:eastAsia="仿宋"/>
          <w:b w:val="0"/>
          <w:bCs/>
          <w:color w:val="000000"/>
          <w:sz w:val="32"/>
          <w:szCs w:val="32"/>
        </w:rPr>
        <w:t>%</w:t>
      </w:r>
      <w:r>
        <w:rPr>
          <w:rStyle w:val="12"/>
          <w:rFonts w:hint="eastAsia" w:eastAsia="仿宋"/>
          <w:b w:val="0"/>
          <w:bCs/>
          <w:color w:val="000000"/>
          <w:sz w:val="32"/>
          <w:szCs w:val="32"/>
        </w:rPr>
        <w:t>。</w:t>
      </w:r>
    </w:p>
    <w:p>
      <w:pPr>
        <w:tabs>
          <w:tab w:val="right" w:pos="8306"/>
        </w:tabs>
        <w:spacing w:line="600" w:lineRule="exact"/>
        <w:ind w:firstLine="640"/>
        <w:outlineLvl w:val="1"/>
        <w:rPr>
          <w:rStyle w:val="14"/>
        </w:rPr>
      </w:pPr>
      <w:bookmarkStart w:id="34" w:name="_Toc15377214"/>
      <w:bookmarkStart w:id="3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4"/>
          <w:rFonts w:hint="eastAsia" w:ascii="黑体" w:hAnsi="黑体" w:eastAsia="黑体"/>
          <w:b w:val="0"/>
        </w:rPr>
        <w:t>般公共预算财政拨款基本支出决算情况说明</w:t>
      </w:r>
      <w:bookmarkEnd w:id="34"/>
      <w:bookmarkEnd w:id="35"/>
      <w:r>
        <w:rPr>
          <w:rStyle w:val="14"/>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年一般公共预算财政拨款基本支出742.53万元，其中：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650.01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92.52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4"/>
          <w:rFonts w:ascii="黑体" w:hAnsi="黑体" w:eastAsia="黑体"/>
          <w:b w:val="0"/>
        </w:rPr>
      </w:pPr>
      <w:bookmarkStart w:id="36" w:name="_Toc15377215"/>
      <w:bookmarkStart w:id="37" w:name="_Toc15396609"/>
      <w:r>
        <w:rPr>
          <w:rFonts w:hint="eastAsia" w:ascii="黑体" w:eastAsia="黑体"/>
          <w:color w:val="000000"/>
          <w:sz w:val="32"/>
          <w:szCs w:val="32"/>
        </w:rPr>
        <w:t>七、</w:t>
      </w:r>
      <w:r>
        <w:rPr>
          <w:rStyle w:val="14"/>
          <w:rFonts w:hint="eastAsia" w:ascii="黑体" w:hAnsi="黑体" w:eastAsia="黑体"/>
        </w:rPr>
        <w:t>“</w:t>
      </w:r>
      <w:r>
        <w:rPr>
          <w:rStyle w:val="14"/>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color w:val="000000"/>
          <w:sz w:val="32"/>
          <w:szCs w:val="32"/>
        </w:rPr>
      </w:pPr>
      <w:bookmarkStart w:id="38" w:name="_Toc15377216"/>
      <w:r>
        <w:rPr>
          <w:rFonts w:hint="eastAsia" w:ascii="仿宋" w:hAnsi="仿宋" w:eastAsia="仿宋"/>
          <w:b/>
          <w:color w:val="000000"/>
          <w:sz w:val="32"/>
          <w:szCs w:val="32"/>
        </w:rPr>
        <w:t>（一）“三公”经费财政拨款支出决算总体情况说明</w:t>
      </w:r>
      <w:bookmarkEnd w:id="3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年“三公”经费财政拨款支出决算为6.99万元，完成预算66.7</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，决算数小于预算数的主要原因是受疫情影响</w:t>
      </w:r>
      <w:r>
        <w:rPr>
          <w:rFonts w:hint="eastAsia" w:ascii="仿宋_GB2312" w:eastAsia="仿宋_GB2312"/>
          <w:color w:val="000000"/>
          <w:sz w:val="32"/>
          <w:szCs w:val="32"/>
        </w:rPr>
        <w:t>，2020来来攀考察人员减少，公务接待费用减少。</w:t>
      </w:r>
    </w:p>
    <w:p>
      <w:pPr>
        <w:spacing w:line="600" w:lineRule="exact"/>
        <w:ind w:firstLine="640"/>
        <w:outlineLvl w:val="2"/>
        <w:rPr>
          <w:rFonts w:ascii="仿宋" w:hAnsi="仿宋" w:eastAsia="仿宋"/>
          <w:b/>
          <w:color w:val="000000"/>
          <w:sz w:val="32"/>
          <w:szCs w:val="32"/>
        </w:rPr>
      </w:pPr>
      <w:bookmarkStart w:id="39" w:name="_Toc15377217"/>
      <w:r>
        <w:rPr>
          <w:rFonts w:hint="eastAsia" w:ascii="仿宋" w:hAnsi="仿宋" w:eastAsia="仿宋"/>
          <w:b/>
          <w:color w:val="000000"/>
          <w:sz w:val="32"/>
          <w:szCs w:val="32"/>
        </w:rPr>
        <w:t>（二）“三公”经费财政拨款支出决算具体情况说明</w:t>
      </w:r>
      <w:bookmarkEnd w:id="3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年“三公”经费财政拨款支出决算中，公务用车购置及运行维护费支出决算6.13万元，占87.7</w:t>
      </w:r>
      <w:r>
        <w:rPr>
          <w:rFonts w:ascii="仿宋" w:hAnsi="仿宋" w:eastAsia="仿宋"/>
          <w:color w:val="000000"/>
          <w:sz w:val="32"/>
          <w:szCs w:val="32"/>
        </w:rPr>
        <w:t>%</w:t>
      </w:r>
      <w:r>
        <w:rPr>
          <w:rFonts w:hint="eastAsia" w:ascii="仿宋" w:hAnsi="仿宋" w:eastAsia="仿宋"/>
          <w:color w:val="000000"/>
          <w:sz w:val="32"/>
          <w:szCs w:val="32"/>
        </w:rPr>
        <w:t>；公务接待费支出决算0.86万元，占12.3</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widowControl/>
        <w:jc w:val="left"/>
        <w:rPr>
          <w:rFonts w:ascii="宋体" w:hAnsi="宋体" w:eastAsia="宋体" w:cs="宋体"/>
          <w:kern w:val="0"/>
          <w:sz w:val="24"/>
          <w:lang w:bidi="ar"/>
        </w:rPr>
      </w:pPr>
    </w:p>
    <w:p>
      <w:pPr>
        <w:widowControl/>
        <w:jc w:val="left"/>
        <w:rPr>
          <w:rFonts w:ascii="宋体" w:hAnsi="宋体" w:eastAsia="宋体" w:cs="宋体"/>
          <w:kern w:val="0"/>
          <w:sz w:val="24"/>
          <w:lang w:bidi="ar"/>
        </w:rPr>
      </w:pPr>
      <w:r>
        <w:rPr>
          <w:rFonts w:hint="eastAsia" w:ascii="宋体" w:hAnsi="宋体" w:eastAsia="宋体" w:cs="宋体"/>
          <w:kern w:val="0"/>
          <w:sz w:val="24"/>
        </w:rPr>
        <w:drawing>
          <wp:inline distT="0" distB="0" distL="114300" distR="114300">
            <wp:extent cx="5080000" cy="3810000"/>
            <wp:effectExtent l="4445" t="4445" r="20955" b="1460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6.13万元</w:t>
      </w:r>
      <w:r>
        <w:rPr>
          <w:rFonts w:ascii="仿宋_GB2312" w:eastAsia="仿宋_GB2312"/>
          <w:color w:val="000000"/>
          <w:sz w:val="32"/>
          <w:szCs w:val="32"/>
        </w:rPr>
        <w:t>,</w:t>
      </w:r>
      <w:r>
        <w:rPr>
          <w:rStyle w:val="12"/>
          <w:rFonts w:hint="eastAsia" w:ascii="仿宋" w:hAnsi="仿宋" w:eastAsia="仿宋"/>
          <w:b w:val="0"/>
          <w:bCs/>
          <w:color w:val="000000"/>
          <w:sz w:val="32"/>
          <w:szCs w:val="32"/>
        </w:rPr>
        <w:t>完成预算75.49</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9年减少0.17万元，减少2.7</w:t>
      </w:r>
      <w:r>
        <w:rPr>
          <w:rFonts w:ascii="仿宋_GB2312" w:eastAsia="仿宋_GB2312"/>
          <w:color w:val="000000"/>
          <w:sz w:val="32"/>
          <w:szCs w:val="32"/>
        </w:rPr>
        <w:t>%</w:t>
      </w:r>
      <w:r>
        <w:rPr>
          <w:rFonts w:hint="eastAsia" w:ascii="仿宋_GB2312" w:eastAsia="仿宋_GB2312"/>
          <w:color w:val="000000"/>
          <w:sz w:val="32"/>
          <w:szCs w:val="32"/>
        </w:rPr>
        <w:t>。主要原因是加强公务用车管理。</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月底，单位共有公务用车2辆，其中：越野车2辆。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6.13万元。主要用于</w:t>
      </w:r>
      <w:r>
        <w:rPr>
          <w:rFonts w:hint="eastAsia" w:ascii="仿宋_GB2312" w:eastAsia="仿宋_GB2312"/>
          <w:sz w:val="32"/>
          <w:szCs w:val="32"/>
        </w:rPr>
        <w:t>保障局机关正常运转及完成特定工作任务</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 w:hAnsi="仿宋" w:eastAsia="仿宋"/>
          <w:color w:val="000000"/>
          <w:sz w:val="32"/>
          <w:szCs w:val="32"/>
        </w:rPr>
        <w:t>0.86</w:t>
      </w:r>
      <w:r>
        <w:rPr>
          <w:rFonts w:hint="eastAsia" w:ascii="仿宋_GB2312" w:eastAsia="仿宋_GB2312"/>
          <w:color w:val="000000"/>
          <w:sz w:val="32"/>
          <w:szCs w:val="32"/>
        </w:rPr>
        <w:t>万元，</w:t>
      </w:r>
      <w:r>
        <w:rPr>
          <w:rStyle w:val="12"/>
          <w:rFonts w:hint="eastAsia" w:ascii="仿宋" w:hAnsi="仿宋" w:eastAsia="仿宋"/>
          <w:b w:val="0"/>
          <w:bCs/>
          <w:color w:val="000000"/>
          <w:sz w:val="32"/>
          <w:szCs w:val="32"/>
        </w:rPr>
        <w:t>完成预算36.59</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年减少0.54万元，下降38.8</w:t>
      </w:r>
      <w:r>
        <w:rPr>
          <w:rFonts w:ascii="仿宋_GB2312" w:eastAsia="仿宋_GB2312"/>
          <w:color w:val="000000"/>
          <w:sz w:val="32"/>
          <w:szCs w:val="32"/>
        </w:rPr>
        <w:t>%</w:t>
      </w:r>
      <w:r>
        <w:rPr>
          <w:rFonts w:hint="eastAsia" w:ascii="仿宋_GB2312" w:eastAsia="仿宋_GB2312"/>
          <w:color w:val="000000"/>
          <w:sz w:val="32"/>
          <w:szCs w:val="32"/>
        </w:rPr>
        <w:t>。主要原因是受疫情影响来攀考察人员减少。</w:t>
      </w:r>
      <w:r>
        <w:rPr>
          <w:rFonts w:hint="eastAsia"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0.86</w:t>
      </w:r>
      <w:r>
        <w:rPr>
          <w:rFonts w:hint="eastAsia" w:ascii="仿宋_GB2312" w:eastAsia="仿宋_GB2312"/>
          <w:color w:val="000000"/>
          <w:sz w:val="32"/>
          <w:szCs w:val="32"/>
        </w:rPr>
        <w:t>万元，主要用于接待公务来攀考察民政工作等相关人员用餐费。国内公务接待8批次，53人次（不包括陪同人员），共计支出0.86万元，具体内容包括：</w:t>
      </w:r>
      <w:r>
        <w:rPr>
          <w:rFonts w:hint="eastAsia" w:ascii="仿宋_GB2312" w:eastAsia="仿宋_GB2312"/>
          <w:sz w:val="32"/>
          <w:szCs w:val="32"/>
        </w:rPr>
        <w:t>各市（州）来我市学习、考察工作等支出0.86万元。</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万元，外事接待0批次，0人，共计支出0万元。</w:t>
      </w:r>
      <w:bookmarkStart w:id="40" w:name="_Toc15396610"/>
      <w:bookmarkStart w:id="41" w:name="_Toc15377218"/>
    </w:p>
    <w:p>
      <w:pPr>
        <w:spacing w:line="600" w:lineRule="exact"/>
        <w:ind w:firstLine="640"/>
        <w:outlineLvl w:val="1"/>
        <w:rPr>
          <w:rStyle w:val="14"/>
          <w:rFonts w:ascii="黑体" w:hAnsi="黑体" w:eastAsia="黑体"/>
        </w:rPr>
      </w:pPr>
      <w:r>
        <w:rPr>
          <w:rFonts w:hint="eastAsia" w:ascii="黑体" w:eastAsia="黑体"/>
          <w:color w:val="000000"/>
          <w:sz w:val="32"/>
          <w:szCs w:val="32"/>
        </w:rPr>
        <w:t>八、</w:t>
      </w:r>
      <w:r>
        <w:rPr>
          <w:rStyle w:val="14"/>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年政府性基金预算拨款支出654.77万元。</w:t>
      </w:r>
    </w:p>
    <w:p>
      <w:pPr>
        <w:numPr>
          <w:ilvl w:val="0"/>
          <w:numId w:val="3"/>
        </w:numPr>
        <w:spacing w:line="600" w:lineRule="exact"/>
        <w:ind w:firstLine="640"/>
        <w:outlineLvl w:val="1"/>
        <w:rPr>
          <w:rStyle w:val="14"/>
          <w:rFonts w:ascii="黑体" w:hAnsi="黑体" w:eastAsia="黑体"/>
          <w:b w:val="0"/>
        </w:rPr>
      </w:pPr>
      <w:bookmarkStart w:id="42" w:name="_Toc15396611"/>
      <w:bookmarkStart w:id="43" w:name="_Toc15377219"/>
      <w:r>
        <w:rPr>
          <w:rStyle w:val="14"/>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年国有资本经营预算拨款支出0万元。</w:t>
      </w:r>
    </w:p>
    <w:p>
      <w:pPr>
        <w:spacing w:line="600" w:lineRule="exact"/>
        <w:ind w:firstLine="800" w:firstLineChars="250"/>
        <w:outlineLvl w:val="1"/>
        <w:rPr>
          <w:rStyle w:val="14"/>
          <w:rFonts w:ascii="黑体" w:hAnsi="黑体" w:eastAsia="黑体"/>
        </w:rPr>
      </w:pPr>
      <w:bookmarkStart w:id="44" w:name="_Toc15377221"/>
      <w:bookmarkStart w:id="45" w:name="_Toc15396612"/>
      <w:r>
        <w:rPr>
          <w:rFonts w:hint="eastAsia" w:ascii="黑体" w:hAnsi="黑体" w:eastAsia="黑体"/>
          <w:color w:val="000000"/>
          <w:sz w:val="32"/>
          <w:szCs w:val="32"/>
        </w:rPr>
        <w:t>十</w:t>
      </w:r>
      <w:r>
        <w:rPr>
          <w:rStyle w:val="14"/>
          <w:rFonts w:hint="eastAsia" w:ascii="黑体" w:hAnsi="黑体" w:eastAsia="黑体"/>
        </w:rPr>
        <w:t>、</w:t>
      </w:r>
      <w:r>
        <w:rPr>
          <w:rStyle w:val="14"/>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color w:val="000000"/>
          <w:sz w:val="32"/>
          <w:szCs w:val="32"/>
        </w:rPr>
      </w:pPr>
      <w:bookmarkStart w:id="46" w:name="_Toc15377222"/>
      <w:r>
        <w:rPr>
          <w:rFonts w:hint="eastAsia" w:ascii="仿宋" w:hAnsi="仿宋" w:eastAsia="仿宋"/>
          <w:b/>
          <w:color w:val="000000"/>
          <w:sz w:val="32"/>
          <w:szCs w:val="32"/>
        </w:rPr>
        <w:t>（一）机关运行经费支出情况</w:t>
      </w:r>
      <w:bookmarkEnd w:id="46"/>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年，我局机关运行经费支出92.52万元，比</w:t>
      </w:r>
      <w:r>
        <w:rPr>
          <w:rFonts w:ascii="仿宋_GB2312" w:eastAsia="仿宋_GB2312"/>
          <w:color w:val="000000"/>
          <w:sz w:val="32"/>
          <w:szCs w:val="32"/>
        </w:rPr>
        <w:t>2019</w:t>
      </w:r>
      <w:r>
        <w:rPr>
          <w:rFonts w:hint="eastAsia" w:ascii="仿宋_GB2312" w:eastAsia="仿宋_GB2312"/>
          <w:color w:val="000000"/>
          <w:sz w:val="32"/>
          <w:szCs w:val="32"/>
        </w:rPr>
        <w:t>年减少35.29万元，下降27.61</w:t>
      </w:r>
      <w:r>
        <w:rPr>
          <w:rFonts w:ascii="仿宋_GB2312" w:eastAsia="仿宋_GB2312"/>
          <w:color w:val="000000"/>
          <w:sz w:val="32"/>
          <w:szCs w:val="32"/>
        </w:rPr>
        <w:t>%</w:t>
      </w:r>
      <w:r>
        <w:rPr>
          <w:rFonts w:hint="eastAsia" w:ascii="仿宋_GB2312" w:eastAsia="仿宋_GB2312"/>
          <w:color w:val="000000"/>
          <w:sz w:val="32"/>
          <w:szCs w:val="32"/>
        </w:rPr>
        <w:t>。主要原因是机构改革和新冠疫情影响，减少运行成本。</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7" w:name="_Toc15377223"/>
      <w:r>
        <w:rPr>
          <w:rFonts w:hint="eastAsia" w:ascii="仿宋" w:hAnsi="仿宋" w:eastAsia="仿宋"/>
          <w:b/>
          <w:color w:val="000000"/>
          <w:sz w:val="32"/>
          <w:szCs w:val="32"/>
        </w:rPr>
        <w:t>（二）政府采购支出情况</w:t>
      </w:r>
      <w:bookmarkEnd w:id="4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eastAsia="仿宋_GB2312"/>
          <w:color w:val="000000"/>
          <w:sz w:val="32"/>
          <w:szCs w:val="32"/>
        </w:rPr>
        <w:t>我局</w:t>
      </w:r>
      <w:r>
        <w:rPr>
          <w:rFonts w:hint="eastAsia" w:ascii="仿宋_GB2312" w:eastAsia="仿宋_GB2312"/>
          <w:color w:val="000000"/>
          <w:sz w:val="32"/>
          <w:szCs w:val="32"/>
        </w:rPr>
        <w:t>政府采购支出总额642.59万元，其中：政府采购货物支出547.1万元、政府采购服务支出95.5万元。主要用于适老化改造项目采购货物。授予中小企业合同金额0万元，占政府采购支出总额的0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8" w:name="_Toc15377224"/>
      <w:r>
        <w:rPr>
          <w:rFonts w:hint="eastAsia" w:ascii="仿宋" w:hAnsi="仿宋" w:eastAsia="仿宋"/>
          <w:b/>
          <w:color w:val="000000"/>
          <w:sz w:val="32"/>
          <w:szCs w:val="32"/>
        </w:rPr>
        <w:t>（三）国有资产占有使用情况</w:t>
      </w:r>
      <w:bookmarkEnd w:id="48"/>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eastAsia="仿宋_GB2312"/>
          <w:color w:val="000000"/>
          <w:sz w:val="32"/>
          <w:szCs w:val="32"/>
        </w:rPr>
        <w:t>我局</w:t>
      </w:r>
      <w:r>
        <w:rPr>
          <w:rFonts w:hint="eastAsia" w:ascii="仿宋_GB2312" w:eastAsia="仿宋_GB2312"/>
          <w:color w:val="000000"/>
          <w:sz w:val="32"/>
          <w:szCs w:val="32"/>
        </w:rPr>
        <w:t>共有车辆2辆，其中：应急保障用车2辆，单价</w:t>
      </w:r>
      <w:r>
        <w:rPr>
          <w:rFonts w:ascii="仿宋_GB2312" w:eastAsia="仿宋_GB2312"/>
          <w:color w:val="000000"/>
          <w:sz w:val="32"/>
          <w:szCs w:val="32"/>
        </w:rPr>
        <w:t>50</w:t>
      </w:r>
      <w:r>
        <w:rPr>
          <w:rFonts w:hint="eastAsia" w:ascii="仿宋_GB2312" w:eastAsia="仿宋_GB2312"/>
          <w:color w:val="000000"/>
          <w:sz w:val="32"/>
          <w:szCs w:val="32"/>
        </w:rPr>
        <w:t>万元以上通用设备2台（套），单价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根据预算绩效管理要求，本部门在年初预算编制阶段，组织对“慈善事业专项补助经费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会理康复院麻风病人生活补助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走访慰问和临时性救助资金”“社区公共服务综合信息平台运行维护”开展了预算事前绩效评估，对4个项目编制了绩效目标，预算执行过程中，选取4个项目开展绩效监控，年终执行完毕后，对4个项目开展了绩效目标完成情况自评。</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eastAsia="仿宋_GB2312"/>
          <w:sz w:val="32"/>
          <w:szCs w:val="32"/>
        </w:rPr>
        <w:t>我局全面履行基本民生保障职责、全面履行基层社会治理职责、全面履行基本公共服务职责，保证机构正常运行，确保完成年度职能目标任务</w:t>
      </w:r>
      <w:r>
        <w:rPr>
          <w:rFonts w:hint="eastAsia" w:ascii="仿宋_GB2312" w:hAnsi="仿宋_GB2312" w:eastAsia="仿宋_GB2312" w:cs="仿宋_GB2312"/>
          <w:sz w:val="32"/>
          <w:szCs w:val="32"/>
        </w:rPr>
        <w:t>。本部门还自行组织了4个项目支出绩效评价，从评价情况来看基本</w:t>
      </w:r>
      <w:r>
        <w:rPr>
          <w:rFonts w:hint="eastAsia" w:eastAsia="仿宋_GB2312" w:cs="仿宋_GB2312"/>
          <w:color w:val="000000"/>
          <w:sz w:val="32"/>
          <w:szCs w:val="32"/>
        </w:rPr>
        <w:t>按数量指标、质量指标、时效指标的要求基本完成，达到绩效目标任务且效果显著。项目实施期间有专项资金保障、人员保障和制度保障，并形成可持续的影响，产生良好的社会效益。</w:t>
      </w:r>
    </w:p>
    <w:p>
      <w:pPr>
        <w:numPr>
          <w:ilvl w:val="0"/>
          <w:numId w:val="4"/>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年度部门决算中反映“慈善事业专项补助经费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会理康复院麻风病人生活补助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“走访慰问和临时性救助资金”等4个项目绩效目标实际完成情况。</w:t>
      </w:r>
    </w:p>
    <w:p>
      <w:pPr>
        <w:tabs>
          <w:tab w:val="left" w:pos="312"/>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慈善事业专项补助经费项目绩效目标完成情况综述。项目全年预算数21万元，执行数为21万元，完成预算的100%。通过项目实施，进一步提升慈善城市品质，结合市委市政府的中心工作搞好困难群众帮扶，实施慈善助学、慈善助困和日常捐赠项目，确保2020年市慈善会工作正常开展，慈善会聘用人员工资正常发放。</w:t>
      </w:r>
    </w:p>
    <w:p>
      <w:pPr>
        <w:tabs>
          <w:tab w:val="left" w:pos="312"/>
        </w:tabs>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会理康复院麻风病人生活补助项目绩效目标完成情况综述。项目全年预算数3万元，执行数为3万元，完成预算的100%。通过项目实施，对在会理康复院的攀枝花市麻风病人实施生活补助，充分体现出党和政府的关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走访慰问和临时性救助资金项目绩效目标完成情况综述。项目全年预算数5万元，执行数为5万元，完成预算的100%。通过项目实施，元旦春节以及重大节日期间，市委、市人大、市政府、市政协领导带领走访慰问困难群众，开展临时性救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社区公共服务综合信息平台运行维护项目绩效目标完成情况综述。项目全年预算数2.64万元，执行数为0.92万元，完成预算的34.85%。通过项目实施，为社区公共服务信息平台及子系统进行日常维护及修正、优化和升级，确保平台正常稳定运行。</w:t>
      </w:r>
    </w:p>
    <w:tbl>
      <w:tblPr>
        <w:tblStyle w:val="10"/>
        <w:tblpPr w:leftFromText="180" w:rightFromText="180" w:vertAnchor="text" w:horzAnchor="page" w:tblpX="1259" w:tblpY="155"/>
        <w:tblOverlap w:val="never"/>
        <w:tblW w:w="9820" w:type="dxa"/>
        <w:tblInd w:w="0" w:type="dxa"/>
        <w:tblLayout w:type="fixed"/>
        <w:tblCellMar>
          <w:top w:w="0" w:type="dxa"/>
          <w:left w:w="0" w:type="dxa"/>
          <w:bottom w:w="0" w:type="dxa"/>
          <w:right w:w="0" w:type="dxa"/>
        </w:tblCellMar>
      </w:tblPr>
      <w:tblGrid>
        <w:gridCol w:w="384"/>
        <w:gridCol w:w="1347"/>
        <w:gridCol w:w="1011"/>
        <w:gridCol w:w="2358"/>
        <w:gridCol w:w="2360"/>
        <w:gridCol w:w="2360"/>
      </w:tblGrid>
      <w:tr>
        <w:tblPrEx>
          <w:tblCellMar>
            <w:top w:w="0" w:type="dxa"/>
            <w:left w:w="0" w:type="dxa"/>
            <w:bottom w:w="0" w:type="dxa"/>
            <w:right w:w="0" w:type="dxa"/>
          </w:tblCellMar>
        </w:tblPrEx>
        <w:trPr>
          <w:trHeight w:val="90" w:hRule="atLeast"/>
        </w:trPr>
        <w:tc>
          <w:tcPr>
            <w:tcW w:w="9820" w:type="dxa"/>
            <w:gridSpan w:val="6"/>
            <w:tcMar>
              <w:top w:w="15" w:type="dxa"/>
              <w:left w:w="15" w:type="dxa"/>
              <w:bottom w:w="0" w:type="dxa"/>
              <w:right w:w="15" w:type="dxa"/>
            </w:tcMar>
            <w:vAlign w:val="center"/>
          </w:tcPr>
          <w:p>
            <w:pPr>
              <w:ind w:firstLine="2520" w:firstLineChars="700"/>
              <w:textAlignment w:val="center"/>
              <w:rPr>
                <w:rFonts w:ascii="宋体" w:hAnsi="宋体" w:cs="宋体"/>
                <w:b/>
                <w:bCs/>
                <w:color w:val="000000"/>
                <w:sz w:val="36"/>
                <w:szCs w:val="36"/>
                <w:lang w:bidi="ar"/>
              </w:rPr>
            </w:pPr>
            <w:r>
              <w:rPr>
                <w:rFonts w:hint="eastAsia" w:ascii="黑体" w:hAnsi="黑体" w:eastAsia="黑体" w:cs="宋体"/>
                <w:bCs/>
                <w:color w:val="000000"/>
                <w:sz w:val="36"/>
                <w:szCs w:val="36"/>
                <w:lang w:bidi="ar"/>
              </w:rPr>
              <w:t>项目支出绩效目标完成情况表</w:t>
            </w:r>
          </w:p>
          <w:p>
            <w:pPr>
              <w:jc w:val="center"/>
              <w:textAlignment w:val="center"/>
              <w:rPr>
                <w:rFonts w:ascii="宋体" w:hAnsi="宋体" w:cs="宋体"/>
                <w:color w:val="000000"/>
                <w:sz w:val="36"/>
                <w:szCs w:val="36"/>
              </w:rPr>
            </w:pPr>
            <w:r>
              <w:rPr>
                <w:rFonts w:hint="eastAsia" w:ascii="宋体" w:hAnsi="宋体" w:cs="宋体"/>
                <w:color w:val="000000"/>
                <w:sz w:val="36"/>
                <w:szCs w:val="36"/>
                <w:lang w:bidi="ar"/>
              </w:rPr>
              <w:t>(2020年度)</w:t>
            </w:r>
          </w:p>
        </w:tc>
      </w:tr>
      <w:tr>
        <w:tblPrEx>
          <w:tblCellMar>
            <w:top w:w="0" w:type="dxa"/>
            <w:left w:w="0" w:type="dxa"/>
            <w:bottom w:w="0" w:type="dxa"/>
            <w:right w:w="0" w:type="dxa"/>
          </w:tblCellMar>
        </w:tblPrEx>
        <w:trPr>
          <w:trHeight w:val="90" w:hRule="atLeast"/>
        </w:trPr>
        <w:tc>
          <w:tcPr>
            <w:tcW w:w="274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项目名称</w:t>
            </w:r>
          </w:p>
        </w:tc>
        <w:tc>
          <w:tcPr>
            <w:tcW w:w="70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慈善事业专项补助经费</w:t>
            </w:r>
          </w:p>
        </w:tc>
      </w:tr>
      <w:tr>
        <w:tblPrEx>
          <w:tblCellMar>
            <w:top w:w="0" w:type="dxa"/>
            <w:left w:w="0" w:type="dxa"/>
            <w:bottom w:w="0" w:type="dxa"/>
            <w:right w:w="0" w:type="dxa"/>
          </w:tblCellMar>
        </w:tblPrEx>
        <w:trPr>
          <w:trHeight w:val="90" w:hRule="atLeast"/>
        </w:trPr>
        <w:tc>
          <w:tcPr>
            <w:tcW w:w="274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预算单位</w:t>
            </w:r>
          </w:p>
        </w:tc>
        <w:tc>
          <w:tcPr>
            <w:tcW w:w="70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攀枝花市民政局</w:t>
            </w:r>
          </w:p>
        </w:tc>
      </w:tr>
      <w:tr>
        <w:tblPrEx>
          <w:tblCellMar>
            <w:top w:w="0" w:type="dxa"/>
            <w:left w:w="0" w:type="dxa"/>
            <w:bottom w:w="0" w:type="dxa"/>
            <w:right w:w="0" w:type="dxa"/>
          </w:tblCellMar>
        </w:tblPrEx>
        <w:trPr>
          <w:trHeight w:val="90" w:hRule="atLeast"/>
        </w:trPr>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预算执行情况(万元)</w:t>
            </w:r>
          </w:p>
        </w:tc>
        <w:tc>
          <w:tcPr>
            <w:tcW w:w="23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预算数:</w:t>
            </w:r>
          </w:p>
        </w:tc>
        <w:tc>
          <w:tcPr>
            <w:tcW w:w="23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21</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执行数:</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21</w:t>
            </w:r>
          </w:p>
        </w:tc>
      </w:tr>
      <w:tr>
        <w:tblPrEx>
          <w:tblCellMar>
            <w:top w:w="0" w:type="dxa"/>
            <w:left w:w="0" w:type="dxa"/>
            <w:bottom w:w="0" w:type="dxa"/>
            <w:right w:w="0" w:type="dxa"/>
          </w:tblCellMar>
        </w:tblPrEx>
        <w:trPr>
          <w:trHeight w:val="90"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3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其中-财政拨款:</w:t>
            </w:r>
          </w:p>
        </w:tc>
        <w:tc>
          <w:tcPr>
            <w:tcW w:w="23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21</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其中-财政拨款:</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21</w:t>
            </w:r>
          </w:p>
        </w:tc>
      </w:tr>
      <w:tr>
        <w:tblPrEx>
          <w:tblCellMar>
            <w:top w:w="0" w:type="dxa"/>
            <w:left w:w="0" w:type="dxa"/>
            <w:bottom w:w="0" w:type="dxa"/>
            <w:right w:w="0" w:type="dxa"/>
          </w:tblCellMar>
        </w:tblPrEx>
        <w:trPr>
          <w:trHeight w:val="2316"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3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其它资金:</w:t>
            </w:r>
          </w:p>
        </w:tc>
        <w:tc>
          <w:tcPr>
            <w:tcW w:w="23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0</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其它资金:</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90" w:hRule="atLeast"/>
        </w:trPr>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年度目标完成情况</w:t>
            </w:r>
          </w:p>
        </w:tc>
        <w:tc>
          <w:tcPr>
            <w:tcW w:w="471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预期目标</w:t>
            </w:r>
          </w:p>
        </w:tc>
        <w:tc>
          <w:tcPr>
            <w:tcW w:w="472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实际完成目标</w:t>
            </w:r>
          </w:p>
        </w:tc>
      </w:tr>
      <w:tr>
        <w:tblPrEx>
          <w:tblCellMar>
            <w:top w:w="0" w:type="dxa"/>
            <w:left w:w="0" w:type="dxa"/>
            <w:bottom w:w="0" w:type="dxa"/>
            <w:right w:w="0" w:type="dxa"/>
          </w:tblCellMar>
        </w:tblPrEx>
        <w:trPr>
          <w:trHeight w:val="90"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471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进一步提升慈善城市品质，结合市委市政府的中心工作搞好困难群众帮扶，实施慈善助学、慈善助困和日常捐赠项目。确保2018年市慈善会工作正常开展，慈善会聘用人员工资正常发放。</w:t>
            </w:r>
          </w:p>
        </w:tc>
        <w:tc>
          <w:tcPr>
            <w:tcW w:w="472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进一步提升慈善城市品质，结合市委市政府的中心工作搞好困难群众帮扶，实施慈善助学、慈善助困、日常捐赠项目。确保2018年市慈善会工作正常开展，慈善会聘用人员工资正常发放。</w:t>
            </w:r>
          </w:p>
        </w:tc>
      </w:tr>
      <w:tr>
        <w:tblPrEx>
          <w:tblCellMar>
            <w:top w:w="0" w:type="dxa"/>
            <w:left w:w="0" w:type="dxa"/>
            <w:bottom w:w="0" w:type="dxa"/>
            <w:right w:w="0" w:type="dxa"/>
          </w:tblCellMar>
        </w:tblPrEx>
        <w:trPr>
          <w:trHeight w:val="90" w:hRule="atLeast"/>
        </w:trPr>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绩效指标完成情况</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一级指标</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二级指标</w:t>
            </w:r>
          </w:p>
        </w:tc>
        <w:tc>
          <w:tcPr>
            <w:tcW w:w="23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三级指标</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预期指标值(包含数字及文字描述)</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实际完成指标值(包含数字及文字描述)</w:t>
            </w:r>
          </w:p>
        </w:tc>
      </w:tr>
      <w:tr>
        <w:tblPrEx>
          <w:tblCellMar>
            <w:top w:w="0" w:type="dxa"/>
            <w:left w:w="0" w:type="dxa"/>
            <w:bottom w:w="0" w:type="dxa"/>
            <w:right w:w="0" w:type="dxa"/>
          </w:tblCellMar>
        </w:tblPrEx>
        <w:trPr>
          <w:trHeight w:val="90"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数量指标</w:t>
            </w:r>
          </w:p>
        </w:tc>
        <w:tc>
          <w:tcPr>
            <w:tcW w:w="23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保证慈善会3名工作人员工资、保险等待遇</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保证慈善会3名工作人员工资、保险等待遇</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保证慈善会3名工作人员工资、保险等待遇</w:t>
            </w:r>
          </w:p>
        </w:tc>
      </w:tr>
      <w:tr>
        <w:tblPrEx>
          <w:tblCellMar>
            <w:top w:w="0" w:type="dxa"/>
            <w:left w:w="0" w:type="dxa"/>
            <w:bottom w:w="0" w:type="dxa"/>
            <w:right w:w="0" w:type="dxa"/>
          </w:tblCellMar>
        </w:tblPrEx>
        <w:trPr>
          <w:trHeight w:val="90"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质量指标</w:t>
            </w:r>
          </w:p>
        </w:tc>
        <w:tc>
          <w:tcPr>
            <w:tcW w:w="23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各项活动开展圆满度达到95%</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各项活动开展圆满度达到95%</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各项活动开展圆满度达到95%</w:t>
            </w:r>
          </w:p>
        </w:tc>
      </w:tr>
      <w:tr>
        <w:tblPrEx>
          <w:tblCellMar>
            <w:top w:w="0" w:type="dxa"/>
            <w:left w:w="0" w:type="dxa"/>
            <w:bottom w:w="0" w:type="dxa"/>
            <w:right w:w="0" w:type="dxa"/>
          </w:tblCellMar>
        </w:tblPrEx>
        <w:trPr>
          <w:trHeight w:val="90"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时效指标</w:t>
            </w:r>
          </w:p>
        </w:tc>
        <w:tc>
          <w:tcPr>
            <w:tcW w:w="23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2020年12月31日前</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2020年12月31日前</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2020年12月31日前</w:t>
            </w:r>
          </w:p>
        </w:tc>
      </w:tr>
      <w:tr>
        <w:tblPrEx>
          <w:tblCellMar>
            <w:top w:w="0" w:type="dxa"/>
            <w:left w:w="0" w:type="dxa"/>
            <w:bottom w:w="0" w:type="dxa"/>
            <w:right w:w="0" w:type="dxa"/>
          </w:tblCellMar>
        </w:tblPrEx>
        <w:trPr>
          <w:trHeight w:val="90"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lang w:bidi="ar"/>
              </w:rPr>
            </w:pPr>
            <w:r>
              <w:rPr>
                <w:rFonts w:hint="eastAsia" w:ascii="宋体" w:hAnsi="宋体" w:eastAsia="宋体" w:cs="宋体"/>
                <w:color w:val="000000"/>
                <w:sz w:val="24"/>
                <w:lang w:bidi="ar"/>
              </w:rPr>
              <w:t>项目完成指标</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成本指标</w:t>
            </w:r>
          </w:p>
        </w:tc>
        <w:tc>
          <w:tcPr>
            <w:tcW w:w="23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聘用人员的人员经费21万元</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聘用人员的人员经费21万元</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聘用人员的人员经费21万元</w:t>
            </w:r>
          </w:p>
        </w:tc>
      </w:tr>
      <w:tr>
        <w:tblPrEx>
          <w:tblCellMar>
            <w:top w:w="0" w:type="dxa"/>
            <w:left w:w="0" w:type="dxa"/>
            <w:bottom w:w="0" w:type="dxa"/>
            <w:right w:w="0" w:type="dxa"/>
          </w:tblCellMar>
        </w:tblPrEx>
        <w:trPr>
          <w:trHeight w:val="90"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效益指标</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社会效益指标</w:t>
            </w:r>
          </w:p>
        </w:tc>
        <w:tc>
          <w:tcPr>
            <w:tcW w:w="23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促进慈善事业健康发展，加强慈善活动规范，保护慈善活动参与者的合法权益，助力脱贫攻坚。</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促进慈善事业健康发展，加强慈善活动规范，保护慈善活动参与者的合法权益，助力脱贫攻坚。</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促进慈善事业健康发展，加强慈善活动规范，保护慈善活动参与者的合法权益，助力脱贫攻坚。</w:t>
            </w:r>
          </w:p>
        </w:tc>
      </w:tr>
      <w:tr>
        <w:tblPrEx>
          <w:tblCellMar>
            <w:top w:w="0" w:type="dxa"/>
            <w:left w:w="0" w:type="dxa"/>
            <w:bottom w:w="0" w:type="dxa"/>
            <w:right w:w="0" w:type="dxa"/>
          </w:tblCellMar>
        </w:tblPrEx>
        <w:trPr>
          <w:trHeight w:val="90" w:hRule="atLeast"/>
        </w:trPr>
        <w:tc>
          <w:tcPr>
            <w:tcW w:w="3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满意度指标</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满意度</w:t>
            </w:r>
          </w:p>
        </w:tc>
        <w:tc>
          <w:tcPr>
            <w:tcW w:w="23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&gt;90%</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&gt;90%</w:t>
            </w:r>
          </w:p>
        </w:tc>
        <w:tc>
          <w:tcPr>
            <w:tcW w:w="23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&gt;90%</w:t>
            </w:r>
          </w:p>
        </w:tc>
      </w:tr>
    </w:tbl>
    <w:tbl>
      <w:tblPr>
        <w:tblStyle w:val="10"/>
        <w:tblpPr w:leftFromText="180" w:rightFromText="180" w:vertAnchor="text" w:horzAnchor="page" w:tblpX="1244" w:tblpY="78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jc w:val="center"/>
              <w:textAlignment w:val="center"/>
              <w:rPr>
                <w:rFonts w:ascii="黑体" w:hAnsi="黑体" w:eastAsia="黑体" w:cs="宋体"/>
                <w:bCs/>
                <w:color w:val="000000"/>
                <w:sz w:val="36"/>
                <w:szCs w:val="36"/>
                <w:lang w:bidi="ar"/>
              </w:rPr>
            </w:pPr>
            <w:r>
              <w:rPr>
                <w:rFonts w:hint="eastAsia" w:ascii="黑体" w:hAnsi="黑体" w:eastAsia="黑体" w:cs="宋体"/>
                <w:bCs/>
                <w:color w:val="000000"/>
                <w:sz w:val="36"/>
                <w:szCs w:val="36"/>
                <w:lang w:bidi="ar"/>
              </w:rPr>
              <w:t>项目支出绩效目标完成情况表</w:t>
            </w:r>
            <w:r>
              <w:rPr>
                <w:rFonts w:hint="eastAsia" w:ascii="黑体" w:hAnsi="黑体" w:eastAsia="黑体" w:cs="宋体"/>
                <w:bCs/>
                <w:color w:val="000000"/>
                <w:sz w:val="36"/>
                <w:szCs w:val="36"/>
                <w:lang w:bidi="ar"/>
              </w:rPr>
              <w:br w:type="textWrapping"/>
            </w:r>
            <w:r>
              <w:rPr>
                <w:rFonts w:hint="eastAsia" w:ascii="黑体" w:hAnsi="黑体" w:eastAsia="黑体" w:cs="宋体"/>
                <w:bCs/>
                <w:color w:val="000000"/>
                <w:sz w:val="36"/>
                <w:szCs w:val="36"/>
                <w:lang w:bidi="ar"/>
              </w:rPr>
              <w:t>(2020年度)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会理康复院麻风病人生活补助</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攀枝花市民政局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ascii="宋体" w:hAnsi="宋体" w:eastAsia="宋体" w:cs="宋体"/>
                <w:color w:val="000000"/>
                <w:sz w:val="24"/>
              </w:rPr>
              <w:t>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ascii="宋体" w:hAnsi="宋体" w:eastAsia="宋体" w:cs="宋体"/>
                <w:color w:val="000000"/>
                <w:sz w:val="24"/>
              </w:rPr>
              <w:t>3</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ascii="宋体" w:hAnsi="宋体" w:eastAsia="宋体" w:cs="宋体"/>
                <w:color w:val="000000"/>
                <w:sz w:val="24"/>
              </w:rPr>
              <w:t>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ascii="宋体" w:hAnsi="宋体" w:eastAsia="宋体" w:cs="宋体"/>
                <w:color w:val="000000"/>
                <w:sz w:val="24"/>
              </w:rPr>
              <w:t>3</w:t>
            </w:r>
          </w:p>
        </w:tc>
      </w:tr>
      <w:tr>
        <w:tblPrEx>
          <w:tblCellMar>
            <w:top w:w="0" w:type="dxa"/>
            <w:left w:w="0" w:type="dxa"/>
            <w:bottom w:w="0" w:type="dxa"/>
            <w:right w:w="0" w:type="dxa"/>
          </w:tblCellMar>
        </w:tblPrEx>
        <w:trPr>
          <w:trHeight w:val="89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实际完成目标</w:t>
            </w:r>
          </w:p>
        </w:tc>
      </w:tr>
      <w:tr>
        <w:tblPrEx>
          <w:tblCellMar>
            <w:top w:w="0" w:type="dxa"/>
            <w:left w:w="0" w:type="dxa"/>
            <w:bottom w:w="0" w:type="dxa"/>
            <w:right w:w="0" w:type="dxa"/>
          </w:tblCellMar>
        </w:tblPrEx>
        <w:trPr>
          <w:trHeight w:val="97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对会理康复院麻风病人实施生活救助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对会理康复院麻风病人实施生活救助</w:t>
            </w:r>
          </w:p>
        </w:tc>
      </w:tr>
      <w:tr>
        <w:tblPrEx>
          <w:tblCellMar>
            <w:top w:w="0" w:type="dxa"/>
            <w:left w:w="0" w:type="dxa"/>
            <w:bottom w:w="0" w:type="dxa"/>
            <w:right w:w="0" w:type="dxa"/>
          </w:tblCellMar>
        </w:tblPrEx>
        <w:trPr>
          <w:trHeight w:val="44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实际完成指标值(包含数字及文字描述)</w:t>
            </w:r>
          </w:p>
        </w:tc>
      </w:tr>
      <w:tr>
        <w:tblPrEx>
          <w:tblCellMar>
            <w:top w:w="0" w:type="dxa"/>
            <w:left w:w="0" w:type="dxa"/>
            <w:bottom w:w="0" w:type="dxa"/>
            <w:right w:w="0" w:type="dxa"/>
          </w:tblCellMar>
        </w:tblPrEx>
        <w:trPr>
          <w:trHeight w:val="48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救助8人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救助8人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救助8人</w:t>
            </w:r>
          </w:p>
        </w:tc>
      </w:tr>
      <w:tr>
        <w:tblPrEx>
          <w:tblCellMar>
            <w:top w:w="0" w:type="dxa"/>
            <w:left w:w="0" w:type="dxa"/>
            <w:bottom w:w="0" w:type="dxa"/>
            <w:right w:w="0" w:type="dxa"/>
          </w:tblCellMar>
        </w:tblPrEx>
        <w:trPr>
          <w:trHeight w:val="52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及时发放到位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及时发放到位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及时发放到位</w:t>
            </w:r>
          </w:p>
        </w:tc>
      </w:tr>
      <w:tr>
        <w:tblPrEx>
          <w:tblCellMar>
            <w:top w:w="0" w:type="dxa"/>
            <w:left w:w="0" w:type="dxa"/>
            <w:bottom w:w="0" w:type="dxa"/>
            <w:right w:w="0" w:type="dxa"/>
          </w:tblCellMar>
        </w:tblPrEx>
        <w:trPr>
          <w:trHeight w:val="59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2020年12月31日前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2020年12月31日前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2020年12月31日前</w:t>
            </w:r>
          </w:p>
        </w:tc>
      </w:tr>
      <w:tr>
        <w:tblPrEx>
          <w:tblCellMar>
            <w:top w:w="0" w:type="dxa"/>
            <w:left w:w="0" w:type="dxa"/>
            <w:bottom w:w="0" w:type="dxa"/>
            <w:right w:w="0" w:type="dxa"/>
          </w:tblCellMar>
        </w:tblPrEx>
        <w:trPr>
          <w:trHeight w:val="41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lang w:bidi="ar"/>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p>
        </w:tc>
      </w:tr>
      <w:tr>
        <w:tblPrEx>
          <w:tblCellMar>
            <w:top w:w="0" w:type="dxa"/>
            <w:left w:w="0" w:type="dxa"/>
            <w:bottom w:w="0" w:type="dxa"/>
            <w:right w:w="0" w:type="dxa"/>
          </w:tblCellMar>
        </w:tblPrEx>
        <w:trPr>
          <w:trHeight w:val="8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保障我市在会理康复院麻风病人的基本生活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保障我市在会理康复院麻风病人的基本生活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保障我市在会理康复院麻风病人的基本生活</w:t>
            </w:r>
          </w:p>
        </w:tc>
      </w:tr>
      <w:tr>
        <w:tblPrEx>
          <w:tblCellMar>
            <w:top w:w="0" w:type="dxa"/>
            <w:left w:w="0" w:type="dxa"/>
            <w:bottom w:w="0" w:type="dxa"/>
            <w:right w:w="0" w:type="dxa"/>
          </w:tblCellMar>
        </w:tblPrEx>
        <w:trPr>
          <w:trHeight w:val="60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群众满意度≥95%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群众满意度≥95%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extAlignment w:val="center"/>
              <w:rPr>
                <w:rFonts w:ascii="宋体" w:hAnsi="宋体" w:eastAsia="宋体" w:cs="宋体"/>
                <w:color w:val="000000"/>
                <w:sz w:val="24"/>
              </w:rPr>
            </w:pPr>
            <w:r>
              <w:rPr>
                <w:rFonts w:hint="eastAsia" w:ascii="宋体" w:hAnsi="宋体" w:eastAsia="宋体" w:cs="宋体"/>
                <w:color w:val="000000"/>
                <w:sz w:val="24"/>
              </w:rPr>
              <w:t>群众满意度≥95%</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0"/>
        <w:tblpPr w:leftFromText="180" w:rightFromText="180" w:vertAnchor="text" w:horzAnchor="page" w:tblpX="1079" w:tblpY="321"/>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textAlignment w:val="center"/>
              <w:rPr>
                <w:rFonts w:ascii="黑体" w:hAnsi="黑体" w:eastAsia="黑体" w:cs="宋体"/>
                <w:bCs/>
                <w:color w:val="000000"/>
                <w:sz w:val="36"/>
                <w:szCs w:val="36"/>
                <w:lang w:bidi="ar"/>
              </w:rPr>
            </w:pPr>
          </w:p>
          <w:p>
            <w:pPr>
              <w:jc w:val="center"/>
              <w:textAlignment w:val="center"/>
              <w:rPr>
                <w:rFonts w:ascii="黑体" w:hAnsi="黑体" w:eastAsia="黑体" w:cs="宋体"/>
                <w:bCs/>
                <w:color w:val="000000"/>
                <w:sz w:val="36"/>
                <w:szCs w:val="36"/>
                <w:lang w:bidi="ar"/>
              </w:rPr>
            </w:pPr>
            <w:r>
              <w:rPr>
                <w:rFonts w:hint="eastAsia" w:ascii="黑体" w:hAnsi="黑体" w:eastAsia="黑体" w:cs="宋体"/>
                <w:bCs/>
                <w:color w:val="000000"/>
                <w:sz w:val="36"/>
                <w:szCs w:val="36"/>
                <w:lang w:bidi="ar"/>
              </w:rPr>
              <w:t>项目支出绩效目标完成情况表</w:t>
            </w:r>
          </w:p>
          <w:p>
            <w:pPr>
              <w:jc w:val="center"/>
              <w:textAlignment w:val="center"/>
              <w:rPr>
                <w:rFonts w:ascii="黑体" w:hAnsi="黑体" w:eastAsia="黑体" w:cs="宋体"/>
                <w:bCs/>
                <w:color w:val="000000"/>
                <w:sz w:val="36"/>
                <w:szCs w:val="36"/>
                <w:lang w:bidi="ar"/>
              </w:rPr>
            </w:pPr>
            <w:r>
              <w:rPr>
                <w:rFonts w:hint="eastAsia" w:ascii="黑体" w:hAnsi="黑体" w:eastAsia="黑体" w:cs="宋体"/>
                <w:bCs/>
                <w:color w:val="000000"/>
                <w:sz w:val="36"/>
                <w:szCs w:val="36"/>
                <w:lang w:bidi="ar"/>
              </w:rPr>
              <w:t>(2020年度)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走访慰问和临时性救助资金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市民政局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ascii="宋体" w:hAnsi="宋体" w:eastAsia="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ascii="宋体" w:hAnsi="宋体" w:eastAsia="宋体" w:cs="宋体"/>
                <w:color w:val="000000"/>
                <w:sz w:val="24"/>
              </w:rPr>
              <w:t>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ascii="宋体" w:hAnsi="宋体" w:eastAsia="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ascii="宋体" w:hAnsi="宋体" w:eastAsia="宋体" w:cs="宋体"/>
                <w:color w:val="000000"/>
                <w:sz w:val="24"/>
              </w:rPr>
              <w:t>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实际完成目标</w:t>
            </w:r>
          </w:p>
        </w:tc>
      </w:tr>
      <w:tr>
        <w:tblPrEx>
          <w:tblCellMar>
            <w:top w:w="0" w:type="dxa"/>
            <w:left w:w="0" w:type="dxa"/>
            <w:bottom w:w="0" w:type="dxa"/>
            <w:right w:w="0" w:type="dxa"/>
          </w:tblCellMar>
        </w:tblPrEx>
        <w:trPr>
          <w:trHeight w:val="128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体现党和政府对困难群众的关爱</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体现党和政府对困难群众的关爱</w:t>
            </w:r>
          </w:p>
        </w:tc>
      </w:tr>
      <w:tr>
        <w:tblPrEx>
          <w:tblCellMar>
            <w:top w:w="0" w:type="dxa"/>
            <w:left w:w="0" w:type="dxa"/>
            <w:bottom w:w="0" w:type="dxa"/>
            <w:right w:w="0" w:type="dxa"/>
          </w:tblCellMar>
        </w:tblPrEx>
        <w:trPr>
          <w:trHeight w:val="79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实际完成指标值(包含数字及文字描述)</w:t>
            </w:r>
          </w:p>
        </w:tc>
      </w:tr>
      <w:tr>
        <w:tblPrEx>
          <w:tblCellMar>
            <w:top w:w="0" w:type="dxa"/>
            <w:left w:w="0" w:type="dxa"/>
            <w:bottom w:w="0" w:type="dxa"/>
            <w:right w:w="0" w:type="dxa"/>
          </w:tblCellMar>
        </w:tblPrEx>
        <w:trPr>
          <w:trHeight w:val="81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预计走访慰问全市困难群众90户</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预计春节走访慰问全市困难群众90户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春节走访慰问全市困难群众90户</w:t>
            </w:r>
          </w:p>
        </w:tc>
      </w:tr>
      <w:tr>
        <w:tblPrEx>
          <w:tblCellMar>
            <w:top w:w="0" w:type="dxa"/>
            <w:left w:w="0" w:type="dxa"/>
            <w:bottom w:w="0" w:type="dxa"/>
            <w:right w:w="0" w:type="dxa"/>
          </w:tblCellMar>
        </w:tblPrEx>
        <w:trPr>
          <w:trHeight w:val="71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按要求完成走访慰问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按要求完成走访慰问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按要求完成走访慰问</w:t>
            </w:r>
          </w:p>
        </w:tc>
      </w:tr>
      <w:tr>
        <w:tblPrEx>
          <w:tblCellMar>
            <w:top w:w="0" w:type="dxa"/>
            <w:left w:w="0" w:type="dxa"/>
            <w:bottom w:w="0" w:type="dxa"/>
            <w:right w:w="0" w:type="dxa"/>
          </w:tblCellMar>
        </w:tblPrEx>
        <w:trPr>
          <w:trHeight w:val="81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2020年12月31日前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textAlignment w:val="center"/>
              <w:rPr>
                <w:rFonts w:ascii="宋体" w:hAnsi="宋体" w:eastAsia="宋体"/>
                <w:sz w:val="24"/>
              </w:rPr>
            </w:pPr>
          </w:p>
          <w:p>
            <w:pPr>
              <w:textAlignment w:val="center"/>
              <w:rPr>
                <w:rFonts w:ascii="宋体" w:hAnsi="宋体" w:eastAsia="宋体"/>
                <w:sz w:val="24"/>
              </w:rPr>
            </w:pPr>
            <w:r>
              <w:rPr>
                <w:rFonts w:hint="eastAsia" w:ascii="宋体" w:hAnsi="宋体" w:eastAsia="宋体" w:cs="宋体"/>
                <w:color w:val="000000"/>
                <w:sz w:val="24"/>
              </w:rPr>
              <w:t>2020年12月31日前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rPr>
                <w:rFonts w:ascii="宋体" w:hAnsi="宋体" w:eastAsia="宋体" w:cs="宋体"/>
                <w:color w:val="000000"/>
                <w:sz w:val="24"/>
              </w:rPr>
            </w:pPr>
          </w:p>
          <w:p>
            <w:pPr>
              <w:jc w:val="center"/>
              <w:rPr>
                <w:rFonts w:ascii="宋体" w:hAnsi="宋体" w:eastAsia="宋体"/>
                <w:sz w:val="24"/>
              </w:rPr>
            </w:pPr>
            <w:r>
              <w:rPr>
                <w:rFonts w:hint="eastAsia" w:ascii="宋体" w:hAnsi="宋体" w:eastAsia="宋体" w:cs="宋体"/>
                <w:color w:val="000000"/>
                <w:sz w:val="24"/>
              </w:rPr>
              <w:t>2020年12月31日前</w:t>
            </w:r>
          </w:p>
        </w:tc>
      </w:tr>
      <w:tr>
        <w:tblPrEx>
          <w:tblCellMar>
            <w:top w:w="0" w:type="dxa"/>
            <w:left w:w="0" w:type="dxa"/>
            <w:bottom w:w="0" w:type="dxa"/>
            <w:right w:w="0" w:type="dxa"/>
          </w:tblCellMar>
        </w:tblPrEx>
        <w:trPr>
          <w:trHeight w:val="82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lang w:bidi="ar"/>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走访全市困难群众90户，每户平均600元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走访全市困难群众90户，每户平均600元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走访全市困难群众90户，每户平均600元</w:t>
            </w:r>
          </w:p>
        </w:tc>
      </w:tr>
      <w:tr>
        <w:tblPrEx>
          <w:tblCellMar>
            <w:top w:w="0" w:type="dxa"/>
            <w:left w:w="0" w:type="dxa"/>
            <w:bottom w:w="0" w:type="dxa"/>
            <w:right w:w="0" w:type="dxa"/>
          </w:tblCellMar>
        </w:tblPrEx>
        <w:trPr>
          <w:trHeight w:val="72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体现党和政府对困难群众关爱</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体现党和政府对困难群众关爱</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体现党和政府对困难群众关爱</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困难群众满意度≥95%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困难群众满意度≥95%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困难群众满意度≥95%</w:t>
            </w:r>
          </w:p>
        </w:tc>
      </w:tr>
    </w:tbl>
    <w:tbl>
      <w:tblPr>
        <w:tblStyle w:val="10"/>
        <w:tblpPr w:leftFromText="180" w:rightFromText="180" w:vertAnchor="text" w:horzAnchor="page" w:tblpX="1244"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143" w:hRule="atLeast"/>
        </w:trPr>
        <w:tc>
          <w:tcPr>
            <w:tcW w:w="9960" w:type="dxa"/>
            <w:gridSpan w:val="6"/>
            <w:tcMar>
              <w:top w:w="15" w:type="dxa"/>
              <w:left w:w="15" w:type="dxa"/>
              <w:bottom w:w="0" w:type="dxa"/>
              <w:right w:w="15" w:type="dxa"/>
            </w:tcMar>
            <w:vAlign w:val="center"/>
          </w:tcPr>
          <w:p>
            <w:pPr>
              <w:jc w:val="center"/>
              <w:textAlignment w:val="center"/>
              <w:rPr>
                <w:rFonts w:ascii="黑体" w:hAnsi="黑体" w:eastAsia="黑体" w:cs="宋体"/>
                <w:bCs/>
                <w:color w:val="000000"/>
                <w:sz w:val="36"/>
                <w:szCs w:val="36"/>
                <w:lang w:bidi="ar"/>
              </w:rPr>
            </w:pPr>
            <w:r>
              <w:rPr>
                <w:rFonts w:hint="eastAsia" w:ascii="黑体" w:hAnsi="黑体" w:eastAsia="黑体" w:cs="宋体"/>
                <w:bCs/>
                <w:color w:val="000000"/>
                <w:sz w:val="36"/>
                <w:szCs w:val="36"/>
                <w:lang w:bidi="ar"/>
              </w:rPr>
              <w:t>项目支出绩效目标完成情况表</w:t>
            </w:r>
            <w:r>
              <w:rPr>
                <w:rFonts w:hint="eastAsia" w:ascii="黑体" w:hAnsi="黑体" w:eastAsia="黑体" w:cs="宋体"/>
                <w:bCs/>
                <w:color w:val="000000"/>
                <w:sz w:val="36"/>
                <w:szCs w:val="36"/>
                <w:lang w:bidi="ar"/>
              </w:rPr>
              <w:br w:type="textWrapping"/>
            </w:r>
            <w:r>
              <w:rPr>
                <w:rFonts w:hint="eastAsia" w:ascii="黑体" w:hAnsi="黑体" w:eastAsia="黑体" w:cs="宋体"/>
                <w:bCs/>
                <w:color w:val="000000"/>
                <w:sz w:val="36"/>
                <w:szCs w:val="36"/>
                <w:lang w:bidi="ar"/>
              </w:rPr>
              <w:t>(2020年度)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公费供养人员支出</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攀枝花市社会福利院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50</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50</w:t>
            </w:r>
          </w:p>
        </w:tc>
      </w:tr>
      <w:tr>
        <w:tblPrEx>
          <w:tblCellMar>
            <w:top w:w="0" w:type="dxa"/>
            <w:left w:w="0" w:type="dxa"/>
            <w:bottom w:w="0" w:type="dxa"/>
            <w:right w:w="0" w:type="dxa"/>
          </w:tblCellMar>
        </w:tblPrEx>
        <w:trPr>
          <w:trHeight w:val="9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按照《关于进一步健全特困人员救助供养制度的意见》相关要求，本着“应救尽救，应养尽养”的原则，根据在院特困人员的生活自理能力和服务需求，分类开展代养服务工作，为全院27名特困人员提供基本生活条件、给予照料服务、提供疾病治疗、办理丧葬事宜等方面的服务，切实维护特困人员的基本权益，做好特困人员的兜底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按照年度设定目标，完成了全院27名特困人员提供基本生活条件、给予照料服务、提供疾病治疗、办理丧葬事宜等方面的服务，切实维护特困人员的基本权益，做好特困人员的兜底工作</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28名公费供养人员的生活费、护理费等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28名公费供养人员的生活费、护理费等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28名公费供养人员的生活费、护理费等</w:t>
            </w:r>
          </w:p>
        </w:tc>
      </w:tr>
      <w:tr>
        <w:tblPrEx>
          <w:tblCellMar>
            <w:top w:w="0" w:type="dxa"/>
            <w:left w:w="0" w:type="dxa"/>
            <w:bottom w:w="0" w:type="dxa"/>
            <w:right w:w="0" w:type="dxa"/>
          </w:tblCellMar>
        </w:tblPrEx>
        <w:trPr>
          <w:trHeight w:val="73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科学合理膳食、特级护理、健康卫生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科学合理膳食、特级护理、健康卫生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科学合理膳食、特级护理、健康卫生</w:t>
            </w:r>
          </w:p>
        </w:tc>
      </w:tr>
      <w:tr>
        <w:tblPrEx>
          <w:tblCellMar>
            <w:top w:w="0" w:type="dxa"/>
            <w:left w:w="0" w:type="dxa"/>
            <w:bottom w:w="0" w:type="dxa"/>
            <w:right w:w="0" w:type="dxa"/>
          </w:tblCellMar>
        </w:tblPrEx>
        <w:trPr>
          <w:trHeight w:val="6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2020年12月31日前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2020年12月31日前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2020年12月31日前</w:t>
            </w:r>
          </w:p>
        </w:tc>
      </w:tr>
      <w:tr>
        <w:tblPrEx>
          <w:tblCellMar>
            <w:top w:w="0" w:type="dxa"/>
            <w:left w:w="0" w:type="dxa"/>
            <w:bottom w:w="0" w:type="dxa"/>
            <w:right w:w="0" w:type="dxa"/>
          </w:tblCellMar>
        </w:tblPrEx>
        <w:trPr>
          <w:trHeight w:val="68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lang w:bidi="ar"/>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生活费21.6万，护理费13.08万，医疗康复和文化娱乐费7.2万，水电维修8.12万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生活费21.6万，护理费13.08万，医疗康复和文化娱乐费7.2万，水电维修8.12万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生活费21.6万，护理费13.08万，医疗康复和文化娱乐费7.2万，水电维修8.12万</w:t>
            </w:r>
          </w:p>
        </w:tc>
      </w:tr>
      <w:tr>
        <w:tblPrEx>
          <w:tblCellMar>
            <w:top w:w="0" w:type="dxa"/>
            <w:left w:w="0" w:type="dxa"/>
            <w:bottom w:w="0" w:type="dxa"/>
            <w:right w:w="0" w:type="dxa"/>
          </w:tblCellMar>
        </w:tblPrEx>
        <w:trPr>
          <w:trHeight w:val="80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全面推进预算绩效管理工作，提升财政资金绩效。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全面推进预算绩效管理工作，提升财政资金绩效。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全面推进预算绩效管理工作，提升财政资金绩效。</w:t>
            </w:r>
          </w:p>
        </w:tc>
      </w:tr>
      <w:tr>
        <w:tblPrEx>
          <w:tblCellMar>
            <w:top w:w="0" w:type="dxa"/>
            <w:left w:w="0" w:type="dxa"/>
            <w:bottom w:w="0" w:type="dxa"/>
            <w:right w:w="0" w:type="dxa"/>
          </w:tblCellMar>
        </w:tblPrEx>
        <w:trPr>
          <w:trHeight w:val="76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服务对象及家属抽样满意度达到基本满意以上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服务对象及家属抽样满意度达到基本满意以上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服务对象及家属抽样满意度达到基本满意以上</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textAlignment w:val="center"/>
              <w:rPr>
                <w:rFonts w:ascii="黑体" w:hAnsi="黑体" w:eastAsia="黑体" w:cs="宋体"/>
                <w:bCs/>
                <w:color w:val="000000"/>
                <w:sz w:val="36"/>
                <w:szCs w:val="36"/>
                <w:lang w:bidi="ar"/>
              </w:rPr>
            </w:pPr>
          </w:p>
          <w:p>
            <w:pPr>
              <w:textAlignment w:val="center"/>
              <w:rPr>
                <w:rFonts w:ascii="黑体" w:hAnsi="黑体" w:eastAsia="黑体" w:cs="宋体"/>
                <w:bCs/>
                <w:color w:val="000000"/>
                <w:sz w:val="36"/>
                <w:szCs w:val="36"/>
                <w:lang w:bidi="ar"/>
              </w:rPr>
            </w:pPr>
          </w:p>
          <w:p>
            <w:pPr>
              <w:jc w:val="center"/>
              <w:textAlignment w:val="center"/>
              <w:rPr>
                <w:rFonts w:ascii="黑体" w:hAnsi="黑体" w:eastAsia="黑体" w:cs="宋体"/>
                <w:bCs/>
                <w:color w:val="000000"/>
                <w:sz w:val="36"/>
                <w:szCs w:val="36"/>
                <w:lang w:bidi="ar"/>
              </w:rPr>
            </w:pPr>
          </w:p>
          <w:p>
            <w:pPr>
              <w:jc w:val="center"/>
              <w:textAlignment w:val="center"/>
              <w:rPr>
                <w:rFonts w:ascii="黑体" w:hAnsi="黑体" w:eastAsia="黑体" w:cs="宋体"/>
                <w:bCs/>
                <w:color w:val="000000"/>
                <w:sz w:val="36"/>
                <w:szCs w:val="36"/>
                <w:lang w:bidi="ar"/>
              </w:rPr>
            </w:pPr>
            <w:r>
              <w:rPr>
                <w:rFonts w:hint="eastAsia" w:ascii="黑体" w:hAnsi="黑体" w:eastAsia="黑体" w:cs="宋体"/>
                <w:bCs/>
                <w:color w:val="000000"/>
                <w:sz w:val="36"/>
                <w:szCs w:val="36"/>
                <w:lang w:bidi="ar"/>
              </w:rPr>
              <w:t>项目支出绩效目标完成情况表</w:t>
            </w:r>
            <w:r>
              <w:rPr>
                <w:rFonts w:hint="eastAsia" w:ascii="黑体" w:hAnsi="黑体" w:eastAsia="黑体" w:cs="宋体"/>
                <w:bCs/>
                <w:color w:val="000000"/>
                <w:sz w:val="36"/>
                <w:szCs w:val="36"/>
                <w:lang w:bidi="ar"/>
              </w:rPr>
              <w:br w:type="textWrapping"/>
            </w:r>
            <w:r>
              <w:rPr>
                <w:rFonts w:hint="eastAsia" w:ascii="黑体" w:hAnsi="黑体" w:eastAsia="黑体" w:cs="宋体"/>
                <w:bCs/>
                <w:color w:val="000000"/>
                <w:sz w:val="36"/>
                <w:szCs w:val="36"/>
                <w:lang w:bidi="ar"/>
              </w:rPr>
              <w:t>(2020年度)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lang w:bidi="ar"/>
              </w:rPr>
            </w:pPr>
            <w:r>
              <w:rPr>
                <w:rFonts w:hint="eastAsia" w:ascii="宋体" w:hAnsi="宋体" w:eastAsia="宋体" w:cs="宋体"/>
                <w:color w:val="000000"/>
                <w:sz w:val="24"/>
                <w:lang w:bidi="ar"/>
              </w:rPr>
              <w:t>社区公共服务综合信息平台运行维护</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市民政局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2.64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2.64</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2.64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2.64</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社区公共服务信息平台及子系统进行日常维护及修正、优化和升级，确保平台正常稳定运行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社区公共服务信息平台及子系统进行日常维护及修正、优化和升级，确保平台正常稳定运行</w:t>
            </w:r>
          </w:p>
        </w:tc>
      </w:tr>
      <w:tr>
        <w:tblPrEx>
          <w:tblCellMar>
            <w:top w:w="0" w:type="dxa"/>
            <w:left w:w="0" w:type="dxa"/>
            <w:bottom w:w="0" w:type="dxa"/>
            <w:right w:w="0" w:type="dxa"/>
          </w:tblCellMar>
        </w:tblPrEx>
        <w:trPr>
          <w:trHeight w:val="783"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数据库日常维护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数据库安全性维护每周至少一次，全年约65次，调试全年约35次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对数据库正常维护</w:t>
            </w:r>
          </w:p>
          <w:p>
            <w:pPr>
              <w:jc w:val="center"/>
              <w:textAlignment w:val="center"/>
              <w:rPr>
                <w:rFonts w:ascii="宋体" w:hAnsi="宋体" w:eastAsia="宋体" w:cs="宋体"/>
                <w:color w:val="000000"/>
                <w:sz w:val="24"/>
              </w:rPr>
            </w:pPr>
          </w:p>
        </w:tc>
      </w:tr>
      <w:tr>
        <w:tblPrEx>
          <w:tblCellMar>
            <w:top w:w="0" w:type="dxa"/>
            <w:left w:w="0" w:type="dxa"/>
            <w:bottom w:w="0" w:type="dxa"/>
            <w:right w:w="0" w:type="dxa"/>
          </w:tblCellMar>
        </w:tblPrEx>
        <w:trPr>
          <w:trHeight w:val="71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rPr>
              <w:t>平台正常运行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确保平台正常稳定运行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确保平台正常稳定运行</w:t>
            </w:r>
          </w:p>
        </w:tc>
      </w:tr>
      <w:tr>
        <w:tblPrEx>
          <w:tblCellMar>
            <w:top w:w="0" w:type="dxa"/>
            <w:left w:w="0" w:type="dxa"/>
            <w:bottom w:w="0" w:type="dxa"/>
            <w:right w:w="0" w:type="dxa"/>
          </w:tblCellMar>
        </w:tblPrEx>
        <w:trPr>
          <w:trHeight w:val="54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2020年12月31日前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2020年12月31日前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2020年12月31日前</w:t>
            </w:r>
          </w:p>
        </w:tc>
      </w:tr>
      <w:tr>
        <w:tblPrEx>
          <w:tblCellMar>
            <w:top w:w="0" w:type="dxa"/>
            <w:left w:w="0" w:type="dxa"/>
            <w:bottom w:w="0" w:type="dxa"/>
            <w:right w:w="0" w:type="dxa"/>
          </w:tblCellMar>
        </w:tblPrEx>
        <w:trPr>
          <w:trHeight w:val="59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lang w:bidi="ar"/>
              </w:rPr>
            </w:pPr>
            <w:r>
              <w:rPr>
                <w:rFonts w:hint="eastAsia" w:ascii="宋体" w:hAnsi="宋体" w:eastAsia="宋体" w:cs="宋体"/>
                <w:color w:val="00000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社区公共服务信息平台及子系统进行日常维护及修正、优化和升级，确保平台正常稳定运行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社区公共服务信息平台及子系统进行日常维护及修正、优化和升级，确保平台正常稳定运行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社区公共服务信息平台及子系统进行日常维护及修正、优化和升级，确保平台正常稳定运行</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驻攀部队官兵满意度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服务群众满意≥90%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服务群众满意≥90%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服务群众满意≥90%</w:t>
            </w:r>
          </w:p>
        </w:tc>
      </w:tr>
    </w:tbl>
    <w:p>
      <w:pPr>
        <w:rPr>
          <w:rFonts w:ascii="宋体" w:hAnsi="宋体" w:eastAsia="宋体"/>
          <w:sz w:val="24"/>
        </w:rPr>
      </w:pP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年部门整体支出绩效评价情况开展自评，《市民政局部门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本部门自行组织对市殡葬服务中心惠民优惠补助项目开展了绩效评价，《市殡葬服务中心惠民优惠补助项目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13"/>
          <w:rFonts w:ascii="黑体" w:hAnsi="黑体" w:eastAsia="黑体"/>
          <w:b w:val="0"/>
        </w:rPr>
      </w:pPr>
      <w:bookmarkStart w:id="49" w:name="_Toc15396613"/>
      <w:bookmarkStart w:id="50" w:name="_Toc15377225"/>
      <w:r>
        <w:rPr>
          <w:rFonts w:hint="eastAsia" w:ascii="黑体" w:hAnsi="黑体" w:eastAsia="黑体"/>
          <w:color w:val="000000"/>
          <w:sz w:val="44"/>
          <w:szCs w:val="44"/>
        </w:rPr>
        <w:t>名</w:t>
      </w:r>
      <w:r>
        <w:rPr>
          <w:rStyle w:val="13"/>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pStyle w:val="16"/>
        <w:spacing w:line="560" w:lineRule="exact"/>
        <w:ind w:firstLine="640" w:firstLineChars="200"/>
        <w:rPr>
          <w:rFonts w:ascii="仿宋_GB2312" w:eastAsia="仿宋_GB2312"/>
          <w:sz w:val="32"/>
          <w:szCs w:val="32"/>
        </w:rPr>
      </w:pPr>
      <w:bookmarkStart w:id="51"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其他收入：指单位取得的除上述收入以外的各项收入。主要是利息收入等。</w:t>
      </w:r>
      <w:r>
        <w:rPr>
          <w:rFonts w:ascii="仿宋_GB2312" w:eastAsia="仿宋_GB2312"/>
          <w:sz w:val="32"/>
          <w:szCs w:val="32"/>
        </w:rPr>
        <w:t xml:space="preserve"> </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16"/>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Style w:val="12"/>
          <w:rFonts w:hint="eastAsia" w:eastAsia="仿宋"/>
          <w:b w:val="0"/>
          <w:color w:val="000000"/>
          <w:sz w:val="32"/>
          <w:szCs w:val="32"/>
        </w:rPr>
        <w:t>一般公共服务（类）人力资源事务（款）其他人力资源事务支出（项）</w:t>
      </w:r>
      <w:r>
        <w:rPr>
          <w:rFonts w:hint="eastAsia" w:ascii="仿宋_GB2312" w:eastAsia="仿宋_GB2312"/>
          <w:color w:val="000000"/>
          <w:sz w:val="32"/>
          <w:szCs w:val="32"/>
        </w:rPr>
        <w:t>：</w:t>
      </w:r>
      <w:r>
        <w:rPr>
          <w:rStyle w:val="12"/>
          <w:rFonts w:hint="eastAsia" w:eastAsia="仿宋"/>
          <w:b w:val="0"/>
          <w:color w:val="000000"/>
          <w:sz w:val="32"/>
          <w:szCs w:val="32"/>
        </w:rPr>
        <w:t>反映</w:t>
      </w:r>
      <w:r>
        <w:rPr>
          <w:rFonts w:hint="eastAsia" w:ascii="仿宋_GB2312" w:eastAsia="仿宋_GB2312"/>
          <w:color w:val="000000"/>
          <w:sz w:val="32"/>
          <w:szCs w:val="32"/>
        </w:rPr>
        <w:t>其他人力资源事务方面的支出。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Style w:val="12"/>
          <w:rFonts w:hint="eastAsia" w:eastAsia="仿宋"/>
          <w:b w:val="0"/>
          <w:color w:val="000000"/>
          <w:sz w:val="32"/>
          <w:szCs w:val="32"/>
        </w:rPr>
        <w:t>一般公共服务（类）组织事务（款）其他组织事务支出（项）</w:t>
      </w:r>
      <w:r>
        <w:rPr>
          <w:rStyle w:val="12"/>
          <w:rFonts w:eastAsia="仿宋"/>
          <w:b w:val="0"/>
          <w:color w:val="000000"/>
          <w:sz w:val="32"/>
          <w:szCs w:val="32"/>
        </w:rPr>
        <w:t>:</w:t>
      </w:r>
      <w:r>
        <w:rPr>
          <w:rStyle w:val="12"/>
          <w:rFonts w:hint="eastAsia" w:eastAsia="仿宋"/>
          <w:b w:val="0"/>
          <w:color w:val="000000"/>
          <w:sz w:val="32"/>
          <w:szCs w:val="32"/>
        </w:rPr>
        <w:t>反映</w:t>
      </w:r>
      <w:r>
        <w:rPr>
          <w:rFonts w:hint="eastAsia" w:ascii="仿宋_GB2312" w:eastAsia="仿宋_GB2312"/>
          <w:color w:val="000000"/>
          <w:sz w:val="32"/>
          <w:szCs w:val="32"/>
        </w:rPr>
        <w:t>其他用于中国共产党组织部门的事务支出。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Style w:val="12"/>
          <w:rFonts w:hint="eastAsia" w:eastAsia="仿宋"/>
          <w:b w:val="0"/>
          <w:color w:val="000000"/>
          <w:sz w:val="32"/>
          <w:szCs w:val="32"/>
        </w:rPr>
        <w:t>社会保障和就业（类）民政管理事务（款）行政运行（项）</w:t>
      </w:r>
      <w:r>
        <w:rPr>
          <w:rStyle w:val="12"/>
          <w:rFonts w:eastAsia="仿宋"/>
          <w:b w:val="0"/>
          <w:color w:val="000000"/>
          <w:sz w:val="32"/>
          <w:szCs w:val="32"/>
        </w:rPr>
        <w:t>:</w:t>
      </w:r>
      <w:r>
        <w:rPr>
          <w:rStyle w:val="12"/>
          <w:rFonts w:hint="eastAsia" w:eastAsia="仿宋"/>
          <w:b w:val="0"/>
          <w:color w:val="000000"/>
          <w:sz w:val="32"/>
          <w:szCs w:val="32"/>
        </w:rPr>
        <w:t>反映行政单位（包括实行公务员管理的事业单位）的基本支出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Style w:val="12"/>
          <w:rFonts w:hint="eastAsia" w:eastAsia="仿宋"/>
          <w:b w:val="0"/>
          <w:color w:val="000000"/>
          <w:sz w:val="32"/>
          <w:szCs w:val="32"/>
        </w:rPr>
        <w:t>社会保障和就业（类）民政管理事务（款）一般行政管理事务（项）</w:t>
      </w:r>
      <w:r>
        <w:rPr>
          <w:rStyle w:val="12"/>
          <w:rFonts w:eastAsia="仿宋"/>
          <w:b w:val="0"/>
          <w:color w:val="000000"/>
          <w:sz w:val="32"/>
          <w:szCs w:val="32"/>
        </w:rPr>
        <w:t>:</w:t>
      </w:r>
      <w:r>
        <w:rPr>
          <w:rStyle w:val="12"/>
          <w:rFonts w:hint="eastAsia" w:eastAsia="仿宋"/>
          <w:b w:val="0"/>
          <w:color w:val="000000"/>
          <w:sz w:val="32"/>
          <w:szCs w:val="32"/>
        </w:rPr>
        <w:t>反映行政单位（包括实行公务员管理的事业单位）未单独设置项级科目的其他项目支出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Style w:val="12"/>
          <w:rFonts w:hint="eastAsia" w:eastAsia="仿宋"/>
          <w:b w:val="0"/>
          <w:color w:val="000000"/>
          <w:sz w:val="32"/>
          <w:szCs w:val="32"/>
        </w:rPr>
        <w:t>社会保障和就业（类）民政管理事务（款）行政区划和地名管理（项）</w:t>
      </w:r>
      <w:r>
        <w:rPr>
          <w:rStyle w:val="12"/>
          <w:rFonts w:eastAsia="仿宋"/>
          <w:b w:val="0"/>
          <w:color w:val="000000"/>
          <w:sz w:val="32"/>
          <w:szCs w:val="32"/>
        </w:rPr>
        <w:t>:</w:t>
      </w:r>
      <w:r>
        <w:rPr>
          <w:rStyle w:val="12"/>
          <w:rFonts w:hint="eastAsia" w:eastAsia="仿宋"/>
          <w:b w:val="0"/>
          <w:color w:val="000000"/>
          <w:sz w:val="32"/>
          <w:szCs w:val="32"/>
        </w:rPr>
        <w:t>反映行政区划界线勘定、维护，以及行政区划和地名管理支出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Style w:val="12"/>
          <w:rFonts w:hint="eastAsia" w:eastAsia="仿宋"/>
          <w:b w:val="0"/>
          <w:color w:val="000000"/>
          <w:sz w:val="32"/>
          <w:szCs w:val="32"/>
        </w:rPr>
        <w:t>社会保障和就业（类）民政管理事务（款）其他民政管理事务支出（项）</w:t>
      </w:r>
      <w:r>
        <w:rPr>
          <w:rStyle w:val="12"/>
          <w:rFonts w:eastAsia="仿宋"/>
          <w:b w:val="0"/>
          <w:color w:val="000000"/>
          <w:sz w:val="32"/>
          <w:szCs w:val="32"/>
        </w:rPr>
        <w:t>:</w:t>
      </w:r>
      <w:r>
        <w:rPr>
          <w:rStyle w:val="12"/>
          <w:rFonts w:hint="eastAsia" w:eastAsia="仿宋"/>
          <w:b w:val="0"/>
          <w:color w:val="000000"/>
          <w:sz w:val="32"/>
          <w:szCs w:val="32"/>
        </w:rPr>
        <w:t>反映民政部门接待来访、法制建设、政策宣传方面的支出，以及开展优抚安置、救灾减灾、社会救助、社会福利、婚姻登记、社会事务、信息化建设等专项业务的支出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Style w:val="12"/>
          <w:rFonts w:hint="eastAsia" w:eastAsia="仿宋"/>
          <w:b w:val="0"/>
          <w:color w:val="000000"/>
          <w:sz w:val="32"/>
          <w:szCs w:val="32"/>
        </w:rPr>
        <w:t>社会保障和就业（类）行政事业单位养老支出（款）    行政单位离退休（项）</w:t>
      </w:r>
      <w:r>
        <w:rPr>
          <w:rFonts w:hint="eastAsia" w:ascii="仿宋_GB2312" w:eastAsia="仿宋_GB2312"/>
          <w:color w:val="000000"/>
          <w:sz w:val="32"/>
          <w:szCs w:val="32"/>
        </w:rPr>
        <w:t>：反映</w:t>
      </w:r>
      <w:r>
        <w:rPr>
          <w:rStyle w:val="12"/>
          <w:rFonts w:hint="eastAsia" w:eastAsia="仿宋"/>
          <w:b w:val="0"/>
          <w:color w:val="000000"/>
          <w:sz w:val="32"/>
          <w:szCs w:val="32"/>
        </w:rPr>
        <w:t>行政单位（包括实行公务员管理的事业单位）开支的离退休经费</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Style w:val="12"/>
          <w:rFonts w:hint="eastAsia" w:eastAsia="仿宋"/>
          <w:b w:val="0"/>
          <w:color w:val="000000"/>
          <w:sz w:val="32"/>
          <w:szCs w:val="32"/>
        </w:rPr>
        <w:t>社会保障和就业（类）行政事业单位养老支出（款）      机关事业单位基本养老保险缴费支出（项）</w:t>
      </w:r>
      <w:r>
        <w:rPr>
          <w:rFonts w:hint="eastAsia" w:ascii="仿宋_GB2312" w:eastAsia="仿宋_GB2312"/>
          <w:color w:val="000000"/>
          <w:sz w:val="32"/>
          <w:szCs w:val="32"/>
        </w:rPr>
        <w:t>：反映机关事业单位实施养老保险制度由单位缴纳的基本养老保险费支出。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7</w:t>
      </w:r>
      <w:r>
        <w:rPr>
          <w:rFonts w:ascii="仿宋_GB2312" w:eastAsia="仿宋_GB2312"/>
          <w:color w:val="000000"/>
          <w:sz w:val="32"/>
          <w:szCs w:val="32"/>
        </w:rPr>
        <w:t>.</w:t>
      </w:r>
      <w:r>
        <w:rPr>
          <w:rStyle w:val="12"/>
          <w:rFonts w:hint="eastAsia" w:eastAsia="仿宋"/>
          <w:b w:val="0"/>
          <w:color w:val="000000"/>
          <w:sz w:val="32"/>
          <w:szCs w:val="32"/>
        </w:rPr>
        <w:t>社会保障和就业（类）抚恤（款）死亡抚恤（项）</w:t>
      </w:r>
      <w:r>
        <w:rPr>
          <w:rFonts w:hint="eastAsia" w:ascii="仿宋_GB2312" w:eastAsia="仿宋_GB2312"/>
          <w:color w:val="000000"/>
          <w:sz w:val="32"/>
          <w:szCs w:val="32"/>
        </w:rPr>
        <w:t>：反映按规定用于烈士和牺牲、病故人员家属的一次性和定期抚恤金以及丧葬费补助。</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8</w:t>
      </w:r>
      <w:r>
        <w:rPr>
          <w:rFonts w:ascii="仿宋_GB2312" w:eastAsia="仿宋_GB2312"/>
          <w:color w:val="000000"/>
          <w:sz w:val="32"/>
          <w:szCs w:val="32"/>
        </w:rPr>
        <w:t>.</w:t>
      </w:r>
      <w:r>
        <w:rPr>
          <w:rStyle w:val="12"/>
          <w:rFonts w:hint="eastAsia" w:eastAsia="仿宋"/>
          <w:b w:val="0"/>
          <w:color w:val="000000"/>
          <w:sz w:val="32"/>
          <w:szCs w:val="32"/>
        </w:rPr>
        <w:t>社会保障和就业（类）社会福利（款）儿童福利（项）</w:t>
      </w:r>
      <w:r>
        <w:rPr>
          <w:rStyle w:val="12"/>
          <w:rFonts w:eastAsia="仿宋"/>
          <w:b w:val="0"/>
          <w:color w:val="000000"/>
          <w:sz w:val="32"/>
          <w:szCs w:val="32"/>
        </w:rPr>
        <w:t>:</w:t>
      </w:r>
      <w:r>
        <w:rPr>
          <w:rStyle w:val="12"/>
          <w:rFonts w:eastAsia="仿宋"/>
          <w:b w:val="0"/>
          <w:bCs/>
          <w:color w:val="000000"/>
          <w:sz w:val="32"/>
          <w:szCs w:val="32"/>
        </w:rPr>
        <w:t xml:space="preserve"> </w:t>
      </w:r>
      <w:r>
        <w:rPr>
          <w:rFonts w:hint="eastAsia" w:ascii="仿宋_GB2312" w:eastAsia="仿宋_GB2312"/>
          <w:color w:val="000000"/>
          <w:sz w:val="32"/>
          <w:szCs w:val="32"/>
        </w:rPr>
        <w:t>反映对儿童提供福利服务方面的支出。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16"/>
        <w:spacing w:line="560" w:lineRule="exact"/>
        <w:ind w:firstLine="640" w:firstLineChars="20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spacing w:line="560" w:lineRule="exact"/>
        <w:ind w:firstLine="640" w:firstLineChars="200"/>
        <w:rPr>
          <w:rFonts w:ascii="仿宋_GB2312" w:eastAsia="仿宋_GB2312"/>
          <w:sz w:val="32"/>
          <w:szCs w:val="32"/>
        </w:rPr>
      </w:pPr>
      <w:r>
        <w:rPr>
          <w:rFonts w:hint="eastAsia" w:ascii="仿宋_GB2312" w:eastAsia="仿宋_GB2312"/>
          <w:sz w:val="32"/>
          <w:szCs w:val="32"/>
        </w:rPr>
        <w:t>23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3"/>
          <w:rFonts w:ascii="黑体" w:hAnsi="黑体" w:eastAsia="黑体"/>
          <w:b w:val="0"/>
        </w:rPr>
      </w:pPr>
      <w:r>
        <w:rPr>
          <w:rFonts w:ascii="宋体"/>
          <w:b/>
          <w:color w:val="000000"/>
          <w:sz w:val="44"/>
          <w:szCs w:val="44"/>
        </w:rPr>
        <w:br w:type="page"/>
      </w:r>
      <w:bookmarkStart w:id="52" w:name="_Toc15396614"/>
      <w:r>
        <w:rPr>
          <w:rFonts w:hint="eastAsia" w:ascii="黑体" w:hAnsi="黑体" w:eastAsia="黑体"/>
          <w:color w:val="000000"/>
          <w:sz w:val="44"/>
          <w:szCs w:val="44"/>
        </w:rPr>
        <w:t>第</w:t>
      </w:r>
      <w:r>
        <w:rPr>
          <w:rStyle w:val="13"/>
          <w:rFonts w:hint="eastAsia" w:ascii="黑体" w:hAnsi="黑体" w:eastAsia="黑体"/>
          <w:b w:val="0"/>
        </w:rPr>
        <w:t>四部分</w:t>
      </w:r>
      <w:r>
        <w:rPr>
          <w:rStyle w:val="13"/>
          <w:rFonts w:ascii="黑体" w:hAnsi="黑体" w:eastAsia="黑体"/>
          <w:b w:val="0"/>
        </w:rPr>
        <w:t xml:space="preserve"> </w:t>
      </w:r>
      <w:r>
        <w:rPr>
          <w:rStyle w:val="13"/>
          <w:rFonts w:hint="eastAsia" w:ascii="黑体" w:hAnsi="黑体" w:eastAsia="黑体"/>
          <w:b w:val="0"/>
        </w:rPr>
        <w:t>附件</w:t>
      </w:r>
      <w:bookmarkEnd w:id="52"/>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攀枝花市民政局</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w:t>
      </w:r>
      <w:r>
        <w:rPr>
          <w:rFonts w:hint="eastAsia" w:ascii="方正小标宋简体" w:hAnsi="宋体" w:eastAsia="方正小标宋简体"/>
          <w:color w:val="000000"/>
          <w:kern w:val="0"/>
          <w:sz w:val="40"/>
          <w:szCs w:val="44"/>
          <w:lang w:val="zh-CN"/>
        </w:rPr>
        <w:t>整体支出绩效评价报告</w:t>
      </w:r>
    </w:p>
    <w:p>
      <w:pPr>
        <w:pStyle w:val="5"/>
        <w:spacing w:line="600" w:lineRule="exact"/>
        <w:ind w:firstLine="640" w:firstLineChars="200"/>
        <w:jc w:val="left"/>
        <w:rPr>
          <w:rFonts w:ascii="Times New Roman" w:hAnsi="黑体" w:eastAsia="黑体"/>
          <w:szCs w:val="32"/>
        </w:rPr>
      </w:pPr>
    </w:p>
    <w:p>
      <w:pPr>
        <w:pStyle w:val="5"/>
        <w:spacing w:line="600" w:lineRule="exact"/>
        <w:ind w:firstLine="640" w:firstLineChars="200"/>
        <w:jc w:val="left"/>
        <w:rPr>
          <w:rFonts w:ascii="Times New Roman" w:hAnsi="Times New Roman" w:eastAsia="黑体"/>
          <w:szCs w:val="32"/>
        </w:rPr>
      </w:pPr>
      <w:r>
        <w:rPr>
          <w:rFonts w:ascii="Times New Roman" w:hAnsi="黑体" w:eastAsia="黑体"/>
          <w:szCs w:val="32"/>
        </w:rPr>
        <w:t>一、部门概况</w:t>
      </w:r>
    </w:p>
    <w:p>
      <w:pPr>
        <w:pStyle w:val="5"/>
        <w:spacing w:line="600" w:lineRule="exact"/>
        <w:ind w:firstLine="640" w:firstLineChars="200"/>
        <w:jc w:val="left"/>
        <w:rPr>
          <w:rFonts w:ascii="楷体_GB2312" w:hAnsi="Times New Roman" w:eastAsia="楷体_GB2312"/>
          <w:szCs w:val="32"/>
        </w:rPr>
      </w:pPr>
      <w:r>
        <w:rPr>
          <w:rFonts w:hint="eastAsia" w:ascii="楷体_GB2312" w:hAnsi="仿宋_GB2312" w:eastAsia="楷体_GB2312"/>
          <w:szCs w:val="32"/>
        </w:rPr>
        <w:t>（一）机构职能。</w:t>
      </w:r>
    </w:p>
    <w:p>
      <w:pPr>
        <w:pStyle w:val="5"/>
        <w:spacing w:line="600" w:lineRule="exact"/>
        <w:ind w:firstLine="640" w:firstLineChars="200"/>
        <w:jc w:val="left"/>
        <w:rPr>
          <w:rFonts w:ascii="Times New Roman" w:hAnsi="Times New Roman"/>
          <w:szCs w:val="32"/>
        </w:rPr>
      </w:pPr>
      <w:r>
        <w:rPr>
          <w:rFonts w:ascii="Times New Roman" w:hAnsi="Times New Roman"/>
          <w:szCs w:val="32"/>
        </w:rPr>
        <w:t>1</w:t>
      </w:r>
      <w:r>
        <w:rPr>
          <w:rFonts w:hint="eastAsia" w:ascii="Times New Roman" w:hAnsi="Times New Roman"/>
          <w:szCs w:val="32"/>
        </w:rPr>
        <w:t>．</w:t>
      </w:r>
      <w:r>
        <w:rPr>
          <w:rFonts w:ascii="Times New Roman" w:hAnsi="仿宋_GB2312"/>
          <w:szCs w:val="32"/>
        </w:rPr>
        <w:t>贯彻执行党和国家有关民政工作的方针政策和法律法规，拟订全市民政事业发展规划、政策、标准并组织实施。</w:t>
      </w:r>
      <w:r>
        <w:rPr>
          <w:rFonts w:ascii="Times New Roman" w:hAnsi="Times New Roman"/>
          <w:szCs w:val="32"/>
        </w:rPr>
        <w:t xml:space="preserve"> </w:t>
      </w:r>
    </w:p>
    <w:p>
      <w:pPr>
        <w:pStyle w:val="5"/>
        <w:spacing w:line="600" w:lineRule="exact"/>
        <w:ind w:firstLine="640" w:firstLineChars="200"/>
        <w:jc w:val="left"/>
        <w:rPr>
          <w:rFonts w:ascii="Times New Roman" w:hAnsi="Times New Roman"/>
          <w:szCs w:val="32"/>
        </w:rPr>
      </w:pPr>
      <w:r>
        <w:rPr>
          <w:rFonts w:hint="eastAsia" w:ascii="Times New Roman" w:hAnsi="仿宋_GB2312"/>
          <w:szCs w:val="32"/>
        </w:rPr>
        <w:t>2．</w:t>
      </w:r>
      <w:r>
        <w:rPr>
          <w:rFonts w:ascii="Times New Roman" w:hAnsi="仿宋_GB2312"/>
          <w:szCs w:val="32"/>
        </w:rPr>
        <w:t>拟订社会团体、社会服务机构等社会组织登记和监督管理办法并组织实施，按照管理权限依法对社会组织进行登记管理和执法监督。</w:t>
      </w:r>
      <w:r>
        <w:rPr>
          <w:rFonts w:ascii="Times New Roman" w:hAnsi="Times New Roman"/>
          <w:szCs w:val="32"/>
        </w:rPr>
        <w:t xml:space="preserve"> </w:t>
      </w:r>
    </w:p>
    <w:p>
      <w:pPr>
        <w:pStyle w:val="5"/>
        <w:spacing w:line="600" w:lineRule="exact"/>
        <w:ind w:firstLine="640" w:firstLineChars="200"/>
        <w:jc w:val="left"/>
        <w:rPr>
          <w:rFonts w:ascii="Times New Roman" w:hAnsi="Times New Roman"/>
          <w:szCs w:val="32"/>
        </w:rPr>
      </w:pPr>
      <w:r>
        <w:rPr>
          <w:rFonts w:ascii="Times New Roman" w:hAnsi="Times New Roman"/>
          <w:szCs w:val="32"/>
        </w:rPr>
        <w:t>3</w:t>
      </w:r>
      <w:r>
        <w:rPr>
          <w:rFonts w:hint="eastAsia" w:ascii="Times New Roman" w:hAnsi="仿宋_GB2312"/>
          <w:szCs w:val="32"/>
        </w:rPr>
        <w:t>．</w:t>
      </w:r>
      <w:r>
        <w:rPr>
          <w:rFonts w:ascii="Times New Roman" w:hAnsi="仿宋_GB2312"/>
          <w:szCs w:val="32"/>
        </w:rPr>
        <w:t>牵头拟订社会救助规划、政策、标准，统筹推进社会救助体系建设，负责城乡居民最低生活保障、特困人员救助供养、临时救助、生活无着流浪乞讨人员救助工作。</w:t>
      </w:r>
      <w:r>
        <w:rPr>
          <w:rFonts w:ascii="Times New Roman" w:hAnsi="Times New Roman"/>
          <w:szCs w:val="32"/>
        </w:rPr>
        <w:t xml:space="preserve"> </w:t>
      </w:r>
    </w:p>
    <w:p>
      <w:pPr>
        <w:pStyle w:val="5"/>
        <w:spacing w:line="600" w:lineRule="exact"/>
        <w:ind w:firstLine="640" w:firstLineChars="200"/>
        <w:jc w:val="left"/>
        <w:rPr>
          <w:rFonts w:ascii="Times New Roman" w:hAnsi="Times New Roman"/>
          <w:szCs w:val="32"/>
        </w:rPr>
      </w:pPr>
      <w:r>
        <w:rPr>
          <w:rFonts w:ascii="Times New Roman" w:hAnsi="Times New Roman"/>
          <w:szCs w:val="32"/>
        </w:rPr>
        <w:t>4</w:t>
      </w:r>
      <w:r>
        <w:rPr>
          <w:rFonts w:hint="eastAsia" w:ascii="Times New Roman" w:hAnsi="仿宋_GB2312"/>
          <w:szCs w:val="32"/>
        </w:rPr>
        <w:t>．</w:t>
      </w:r>
      <w:r>
        <w:rPr>
          <w:rFonts w:ascii="Times New Roman" w:hAnsi="仿宋_GB2312"/>
          <w:szCs w:val="32"/>
        </w:rPr>
        <w:t>拟订城乡基层群众自治建设和社区治理政策，指导城乡社区治理体系、服务体系和治理能力建设，提出加强和改进城乡基层政权建设的建议，推动基层民主政治建设。</w:t>
      </w:r>
      <w:r>
        <w:rPr>
          <w:rFonts w:ascii="Times New Roman" w:hAnsi="Times New Roman"/>
          <w:szCs w:val="32"/>
        </w:rPr>
        <w:t xml:space="preserve"> </w:t>
      </w:r>
    </w:p>
    <w:p>
      <w:pPr>
        <w:pStyle w:val="5"/>
        <w:spacing w:line="600" w:lineRule="exact"/>
        <w:ind w:firstLine="640" w:firstLineChars="200"/>
        <w:jc w:val="left"/>
        <w:rPr>
          <w:rFonts w:ascii="Times New Roman" w:hAnsi="Times New Roman"/>
          <w:szCs w:val="32"/>
        </w:rPr>
      </w:pPr>
      <w:r>
        <w:rPr>
          <w:rFonts w:ascii="Times New Roman" w:hAnsi="Times New Roman"/>
          <w:szCs w:val="32"/>
        </w:rPr>
        <w:t>5</w:t>
      </w:r>
      <w:r>
        <w:rPr>
          <w:rFonts w:hint="eastAsia" w:ascii="Times New Roman" w:hAnsi="仿宋_GB2312"/>
          <w:szCs w:val="32"/>
        </w:rPr>
        <w:t>．</w:t>
      </w:r>
      <w:r>
        <w:rPr>
          <w:rFonts w:ascii="Times New Roman" w:hAnsi="仿宋_GB2312"/>
          <w:szCs w:val="32"/>
        </w:rPr>
        <w:t>拟订行政区划管理政策和行政区域界线、地名管理办法，负责县（区）、乡（镇）行政区划设立、命名、撤销、变更和政府驻地迁移审核报批工作，组织并指导全市行政区域界线的勘定和管理工作。调处行政区域边界争议，负责全市地名管理工作。</w:t>
      </w:r>
      <w:r>
        <w:rPr>
          <w:rFonts w:ascii="Times New Roman" w:hAnsi="Times New Roman"/>
          <w:szCs w:val="32"/>
        </w:rPr>
        <w:t xml:space="preserve"> </w:t>
      </w:r>
    </w:p>
    <w:p>
      <w:pPr>
        <w:pStyle w:val="5"/>
        <w:spacing w:line="600" w:lineRule="exact"/>
        <w:ind w:firstLine="640" w:firstLineChars="200"/>
        <w:jc w:val="left"/>
        <w:rPr>
          <w:rFonts w:ascii="Times New Roman" w:hAnsi="Times New Roman"/>
          <w:szCs w:val="32"/>
        </w:rPr>
      </w:pPr>
      <w:r>
        <w:rPr>
          <w:rFonts w:ascii="Times New Roman" w:hAnsi="Times New Roman"/>
          <w:szCs w:val="32"/>
        </w:rPr>
        <w:t>6</w:t>
      </w:r>
      <w:r>
        <w:rPr>
          <w:rFonts w:hint="eastAsia" w:ascii="Times New Roman" w:hAnsi="仿宋_GB2312"/>
          <w:szCs w:val="32"/>
        </w:rPr>
        <w:t>．</w:t>
      </w:r>
      <w:r>
        <w:rPr>
          <w:rFonts w:ascii="Times New Roman" w:hAnsi="仿宋_GB2312"/>
          <w:szCs w:val="32"/>
        </w:rPr>
        <w:t>组织实施婚姻管理政策，推进婚俗改革。</w:t>
      </w:r>
      <w:r>
        <w:rPr>
          <w:rFonts w:ascii="Times New Roman" w:hAnsi="Times New Roman"/>
          <w:szCs w:val="32"/>
        </w:rPr>
        <w:t xml:space="preserve"> </w:t>
      </w:r>
    </w:p>
    <w:p>
      <w:pPr>
        <w:pStyle w:val="5"/>
        <w:spacing w:line="600" w:lineRule="exact"/>
        <w:ind w:firstLine="640" w:firstLineChars="200"/>
        <w:jc w:val="left"/>
        <w:rPr>
          <w:rFonts w:ascii="Times New Roman" w:hAnsi="Times New Roman"/>
          <w:szCs w:val="32"/>
        </w:rPr>
      </w:pPr>
      <w:r>
        <w:rPr>
          <w:rFonts w:ascii="Times New Roman" w:hAnsi="Times New Roman"/>
          <w:szCs w:val="32"/>
        </w:rPr>
        <w:t>7</w:t>
      </w:r>
      <w:r>
        <w:rPr>
          <w:rFonts w:hint="eastAsia" w:ascii="Times New Roman" w:hAnsi="仿宋_GB2312"/>
          <w:szCs w:val="32"/>
        </w:rPr>
        <w:t>．</w:t>
      </w:r>
      <w:r>
        <w:rPr>
          <w:rFonts w:ascii="Times New Roman" w:hAnsi="仿宋_GB2312"/>
          <w:szCs w:val="32"/>
        </w:rPr>
        <w:t>拟订殡葬管理政策、服务规范并组织实施，负责殡葬管理工作，推进殡葬改革。</w:t>
      </w:r>
      <w:r>
        <w:rPr>
          <w:rFonts w:ascii="Times New Roman" w:hAnsi="Times New Roman"/>
          <w:szCs w:val="32"/>
        </w:rPr>
        <w:t xml:space="preserve"> </w:t>
      </w:r>
    </w:p>
    <w:p>
      <w:pPr>
        <w:pStyle w:val="5"/>
        <w:spacing w:line="600" w:lineRule="exact"/>
        <w:ind w:firstLine="640" w:firstLineChars="200"/>
        <w:jc w:val="left"/>
        <w:rPr>
          <w:rFonts w:ascii="Times New Roman" w:hAnsi="Times New Roman"/>
          <w:szCs w:val="32"/>
        </w:rPr>
      </w:pPr>
      <w:r>
        <w:rPr>
          <w:rFonts w:ascii="Times New Roman" w:hAnsi="Times New Roman"/>
          <w:szCs w:val="32"/>
        </w:rPr>
        <w:t>8</w:t>
      </w:r>
      <w:r>
        <w:rPr>
          <w:rFonts w:hint="eastAsia" w:ascii="Times New Roman" w:hAnsi="仿宋_GB2312"/>
          <w:szCs w:val="32"/>
        </w:rPr>
        <w:t>．</w:t>
      </w:r>
      <w:r>
        <w:rPr>
          <w:rFonts w:ascii="Times New Roman" w:hAnsi="仿宋_GB2312"/>
          <w:szCs w:val="32"/>
        </w:rPr>
        <w:t>拟订社会福利事业发展规划、政策、标准，拟订社会福利机构管理办法并指导实施，拟订残疾人权益保护政策并监督实施。负责康复辅助器具行业管理，统筹推进残疾人福利制度建设和康复辅助器具产业发展。</w:t>
      </w:r>
      <w:r>
        <w:rPr>
          <w:rFonts w:ascii="Times New Roman" w:hAnsi="Times New Roman"/>
          <w:szCs w:val="32"/>
        </w:rPr>
        <w:t xml:space="preserve"> </w:t>
      </w:r>
    </w:p>
    <w:p>
      <w:pPr>
        <w:pStyle w:val="5"/>
        <w:spacing w:line="600" w:lineRule="exact"/>
        <w:ind w:firstLine="640" w:firstLineChars="200"/>
        <w:jc w:val="left"/>
        <w:rPr>
          <w:rFonts w:ascii="Times New Roman" w:hAnsi="Times New Roman"/>
          <w:szCs w:val="32"/>
        </w:rPr>
      </w:pPr>
      <w:r>
        <w:rPr>
          <w:rFonts w:ascii="Times New Roman" w:hAnsi="Times New Roman"/>
          <w:szCs w:val="32"/>
        </w:rPr>
        <w:t>9</w:t>
      </w:r>
      <w:r>
        <w:rPr>
          <w:rFonts w:hint="eastAsia" w:ascii="Times New Roman" w:hAnsi="仿宋_GB2312"/>
          <w:szCs w:val="32"/>
        </w:rPr>
        <w:t>．</w:t>
      </w:r>
      <w:r>
        <w:rPr>
          <w:rFonts w:ascii="Times New Roman" w:hAnsi="仿宋_GB2312"/>
          <w:szCs w:val="32"/>
        </w:rPr>
        <w:t>统筹推进、督促指导、监督管理养老服务工作，拟订养老服务体系建设规划、政策、标准并组织实施，承担老年人福利和特殊困难老年人救助工作，协调推进农村留守老年人关爱服务工作，承担城乡老年社会组织管理工作。</w:t>
      </w:r>
      <w:r>
        <w:rPr>
          <w:rFonts w:ascii="Times New Roman" w:hAnsi="Times New Roman"/>
          <w:szCs w:val="32"/>
        </w:rPr>
        <w:t xml:space="preserve"> </w:t>
      </w:r>
    </w:p>
    <w:p>
      <w:pPr>
        <w:pStyle w:val="5"/>
        <w:spacing w:line="600" w:lineRule="exact"/>
        <w:ind w:firstLine="640" w:firstLineChars="200"/>
        <w:jc w:val="left"/>
        <w:rPr>
          <w:rFonts w:ascii="Times New Roman" w:hAnsi="Times New Roman"/>
          <w:szCs w:val="32"/>
        </w:rPr>
      </w:pPr>
      <w:r>
        <w:rPr>
          <w:rFonts w:ascii="Times New Roman" w:hAnsi="Times New Roman"/>
          <w:szCs w:val="32"/>
        </w:rPr>
        <w:t>10</w:t>
      </w:r>
      <w:r>
        <w:rPr>
          <w:rFonts w:hint="eastAsia" w:ascii="Times New Roman" w:hAnsi="仿宋_GB2312"/>
          <w:szCs w:val="32"/>
        </w:rPr>
        <w:t>．</w:t>
      </w:r>
      <w:r>
        <w:rPr>
          <w:rFonts w:ascii="Times New Roman" w:hAnsi="仿宋_GB2312"/>
          <w:szCs w:val="32"/>
        </w:rPr>
        <w:t>拟订儿童福利、孤弃儿童保障、儿童收养、儿童救助保护政策和标准并组织实施，健全农村留守儿童关爱服务体系和困境儿童保障制度。</w:t>
      </w:r>
      <w:r>
        <w:rPr>
          <w:rFonts w:ascii="Times New Roman" w:hAnsi="Times New Roman"/>
          <w:szCs w:val="32"/>
        </w:rPr>
        <w:t xml:space="preserve"> </w:t>
      </w:r>
    </w:p>
    <w:p>
      <w:pPr>
        <w:pStyle w:val="5"/>
        <w:spacing w:line="600" w:lineRule="exact"/>
        <w:ind w:firstLine="640" w:firstLineChars="200"/>
        <w:jc w:val="left"/>
        <w:rPr>
          <w:rFonts w:ascii="Times New Roman" w:hAnsi="Times New Roman"/>
          <w:szCs w:val="32"/>
        </w:rPr>
      </w:pPr>
      <w:r>
        <w:rPr>
          <w:rFonts w:ascii="Times New Roman" w:hAnsi="Times New Roman"/>
          <w:szCs w:val="32"/>
        </w:rPr>
        <w:t>11</w:t>
      </w:r>
      <w:r>
        <w:rPr>
          <w:rFonts w:hint="eastAsia" w:ascii="Times New Roman" w:hAnsi="仿宋_GB2312"/>
          <w:szCs w:val="32"/>
        </w:rPr>
        <w:t>．</w:t>
      </w:r>
      <w:r>
        <w:rPr>
          <w:rFonts w:ascii="Times New Roman" w:hAnsi="仿宋_GB2312"/>
          <w:szCs w:val="32"/>
        </w:rPr>
        <w:t>组织拟订促进慈善事业发展政策，指导社会捐赠工作。指导福利彩票销售工作，管理本级福利彩票公益金，监督全市福利彩票公益金的管理、使用。</w:t>
      </w:r>
      <w:r>
        <w:rPr>
          <w:rFonts w:ascii="Times New Roman" w:hAnsi="Times New Roman"/>
          <w:szCs w:val="32"/>
        </w:rPr>
        <w:t xml:space="preserve"> </w:t>
      </w:r>
    </w:p>
    <w:p>
      <w:pPr>
        <w:pStyle w:val="5"/>
        <w:spacing w:line="600" w:lineRule="exact"/>
        <w:ind w:firstLine="640" w:firstLineChars="200"/>
        <w:jc w:val="left"/>
        <w:rPr>
          <w:rFonts w:ascii="Times New Roman" w:hAnsi="Times New Roman"/>
          <w:szCs w:val="32"/>
        </w:rPr>
      </w:pPr>
      <w:r>
        <w:rPr>
          <w:rFonts w:ascii="Times New Roman" w:hAnsi="Times New Roman"/>
          <w:szCs w:val="32"/>
        </w:rPr>
        <w:t>12</w:t>
      </w:r>
      <w:r>
        <w:rPr>
          <w:rFonts w:hint="eastAsia" w:ascii="Times New Roman" w:hAnsi="仿宋_GB2312"/>
          <w:szCs w:val="32"/>
        </w:rPr>
        <w:t>．</w:t>
      </w:r>
      <w:r>
        <w:rPr>
          <w:rFonts w:ascii="Times New Roman" w:hAnsi="仿宋_GB2312"/>
          <w:szCs w:val="32"/>
        </w:rPr>
        <w:t>拟订社会工作、志愿服务政策和标准，会同有关部门推进社会工作人才队伍建设和相关志愿者队伍建设。</w:t>
      </w:r>
      <w:r>
        <w:rPr>
          <w:rFonts w:ascii="Times New Roman" w:hAnsi="Times New Roman"/>
          <w:szCs w:val="32"/>
        </w:rPr>
        <w:t xml:space="preserve"> </w:t>
      </w:r>
    </w:p>
    <w:p>
      <w:pPr>
        <w:pStyle w:val="5"/>
        <w:spacing w:line="600" w:lineRule="exact"/>
        <w:ind w:firstLine="640" w:firstLineChars="200"/>
        <w:jc w:val="left"/>
        <w:rPr>
          <w:rFonts w:ascii="Times New Roman" w:hAnsi="Times New Roman"/>
          <w:szCs w:val="32"/>
        </w:rPr>
      </w:pPr>
      <w:r>
        <w:rPr>
          <w:rFonts w:ascii="Times New Roman" w:hAnsi="Times New Roman"/>
          <w:szCs w:val="32"/>
        </w:rPr>
        <w:t>13</w:t>
      </w:r>
      <w:r>
        <w:rPr>
          <w:rFonts w:hint="eastAsia" w:ascii="Times New Roman" w:hAnsi="仿宋_GB2312"/>
          <w:szCs w:val="32"/>
        </w:rPr>
        <w:t>．</w:t>
      </w:r>
      <w:r>
        <w:rPr>
          <w:rFonts w:ascii="Times New Roman" w:hAnsi="仿宋_GB2312"/>
          <w:szCs w:val="32"/>
        </w:rPr>
        <w:t>依法依规负责康复辅助器具行业和社会福利、养老服务、殡葬服务、救助管理机构安全生产监督管理工作。负责职责范围内的职业健康、生态环境保护、审批服务便民化等工作。</w:t>
      </w:r>
      <w:r>
        <w:rPr>
          <w:rFonts w:ascii="Times New Roman" w:hAnsi="Times New Roman"/>
          <w:szCs w:val="32"/>
        </w:rPr>
        <w:t xml:space="preserve"> </w:t>
      </w:r>
    </w:p>
    <w:p>
      <w:pPr>
        <w:pStyle w:val="5"/>
        <w:spacing w:line="600" w:lineRule="exact"/>
        <w:ind w:firstLine="640" w:firstLineChars="200"/>
        <w:jc w:val="left"/>
        <w:rPr>
          <w:rFonts w:ascii="Times New Roman" w:hAnsi="Times New Roman"/>
          <w:szCs w:val="32"/>
        </w:rPr>
      </w:pPr>
      <w:r>
        <w:rPr>
          <w:rFonts w:ascii="Times New Roman" w:hAnsi="Times New Roman"/>
          <w:szCs w:val="32"/>
        </w:rPr>
        <w:t>14</w:t>
      </w:r>
      <w:r>
        <w:rPr>
          <w:rFonts w:hint="eastAsia" w:ascii="Times New Roman" w:hAnsi="仿宋_GB2312"/>
          <w:szCs w:val="32"/>
        </w:rPr>
        <w:t>．</w:t>
      </w:r>
      <w:r>
        <w:rPr>
          <w:rFonts w:ascii="Times New Roman" w:hAnsi="仿宋_GB2312"/>
          <w:szCs w:val="32"/>
        </w:rPr>
        <w:t>完成市委、市政府交办的其他任务。</w:t>
      </w:r>
      <w:r>
        <w:rPr>
          <w:rFonts w:ascii="Times New Roman" w:hAnsi="Times New Roman"/>
          <w:szCs w:val="32"/>
        </w:rPr>
        <w:t xml:space="preserve"> </w:t>
      </w:r>
    </w:p>
    <w:p>
      <w:pPr>
        <w:pStyle w:val="5"/>
        <w:spacing w:line="600" w:lineRule="exact"/>
        <w:ind w:firstLine="640" w:firstLineChars="200"/>
        <w:jc w:val="left"/>
        <w:rPr>
          <w:rFonts w:ascii="楷体_GB2312" w:hAnsi="仿宋_GB2312" w:eastAsia="楷体_GB2312"/>
          <w:szCs w:val="32"/>
        </w:rPr>
      </w:pPr>
      <w:r>
        <w:rPr>
          <w:rFonts w:ascii="楷体_GB2312" w:hAnsi="仿宋_GB2312" w:eastAsia="楷体_GB2312"/>
          <w:szCs w:val="32"/>
        </w:rPr>
        <w:t>（二）人员概况。</w:t>
      </w:r>
    </w:p>
    <w:p>
      <w:pPr>
        <w:pStyle w:val="5"/>
        <w:spacing w:line="600" w:lineRule="exact"/>
        <w:ind w:firstLine="640" w:firstLineChars="200"/>
        <w:jc w:val="left"/>
        <w:rPr>
          <w:rFonts w:ascii="Times New Roman" w:hAnsi="Times New Roman"/>
          <w:szCs w:val="32"/>
        </w:rPr>
      </w:pPr>
      <w:r>
        <w:rPr>
          <w:rFonts w:ascii="Times New Roman" w:hAnsi="仿宋_GB2312"/>
          <w:szCs w:val="32"/>
        </w:rPr>
        <w:t>截止</w:t>
      </w:r>
      <w:r>
        <w:rPr>
          <w:rFonts w:ascii="Times New Roman" w:hAnsi="Times New Roman"/>
          <w:szCs w:val="32"/>
        </w:rPr>
        <w:t>2020</w:t>
      </w:r>
      <w:r>
        <w:rPr>
          <w:rFonts w:ascii="Times New Roman" w:hAnsi="仿宋_GB2312"/>
          <w:szCs w:val="32"/>
        </w:rPr>
        <w:t>年底，市民政局行政编制</w:t>
      </w:r>
      <w:r>
        <w:rPr>
          <w:rFonts w:ascii="Times New Roman" w:hAnsi="Times New Roman"/>
          <w:szCs w:val="32"/>
        </w:rPr>
        <w:t>24</w:t>
      </w:r>
      <w:r>
        <w:rPr>
          <w:rFonts w:ascii="Times New Roman" w:hAnsi="仿宋_GB2312"/>
          <w:szCs w:val="32"/>
        </w:rPr>
        <w:t>名，机关后勤事业编制</w:t>
      </w:r>
      <w:r>
        <w:rPr>
          <w:rFonts w:ascii="Times New Roman" w:hAnsi="Times New Roman"/>
          <w:szCs w:val="32"/>
        </w:rPr>
        <w:t xml:space="preserve">4 </w:t>
      </w:r>
      <w:r>
        <w:rPr>
          <w:rFonts w:ascii="Times New Roman" w:hAnsi="仿宋_GB2312"/>
          <w:szCs w:val="32"/>
        </w:rPr>
        <w:t>名，实有行政人员</w:t>
      </w:r>
      <w:r>
        <w:rPr>
          <w:rFonts w:ascii="Times New Roman" w:hAnsi="Times New Roman"/>
          <w:szCs w:val="32"/>
        </w:rPr>
        <w:t>24</w:t>
      </w:r>
      <w:r>
        <w:rPr>
          <w:rFonts w:ascii="Times New Roman" w:hAnsi="仿宋_GB2312"/>
          <w:szCs w:val="32"/>
        </w:rPr>
        <w:t>人，机关后勤人员</w:t>
      </w:r>
      <w:r>
        <w:rPr>
          <w:rFonts w:ascii="Times New Roman" w:hAnsi="Times New Roman"/>
          <w:szCs w:val="32"/>
        </w:rPr>
        <w:t>4</w:t>
      </w:r>
      <w:r>
        <w:rPr>
          <w:rFonts w:ascii="Times New Roman" w:hAnsi="仿宋_GB2312"/>
          <w:szCs w:val="32"/>
        </w:rPr>
        <w:t>人；市核对中心年末事业编制</w:t>
      </w:r>
      <w:r>
        <w:rPr>
          <w:rFonts w:ascii="Times New Roman" w:hAnsi="Times New Roman"/>
          <w:szCs w:val="32"/>
        </w:rPr>
        <w:t>6</w:t>
      </w:r>
      <w:r>
        <w:rPr>
          <w:rFonts w:ascii="Times New Roman" w:hAnsi="仿宋_GB2312"/>
          <w:szCs w:val="32"/>
        </w:rPr>
        <w:t>名，实有人数</w:t>
      </w:r>
      <w:r>
        <w:rPr>
          <w:rFonts w:ascii="Times New Roman" w:hAnsi="Times New Roman"/>
          <w:szCs w:val="32"/>
        </w:rPr>
        <w:t>3</w:t>
      </w:r>
      <w:r>
        <w:rPr>
          <w:rFonts w:ascii="Times New Roman" w:hAnsi="仿宋_GB2312"/>
          <w:szCs w:val="32"/>
        </w:rPr>
        <w:t>人。</w:t>
      </w:r>
    </w:p>
    <w:p>
      <w:pPr>
        <w:pStyle w:val="5"/>
        <w:spacing w:line="600" w:lineRule="exact"/>
        <w:ind w:firstLine="640" w:firstLineChars="200"/>
        <w:jc w:val="left"/>
        <w:rPr>
          <w:rFonts w:ascii="楷体_GB2312" w:hAnsi="仿宋_GB2312" w:eastAsia="楷体_GB2312"/>
          <w:szCs w:val="32"/>
        </w:rPr>
      </w:pPr>
      <w:r>
        <w:rPr>
          <w:rFonts w:ascii="楷体_GB2312" w:hAnsi="仿宋_GB2312" w:eastAsia="楷体_GB2312"/>
          <w:szCs w:val="32"/>
        </w:rPr>
        <w:t>（三）固定资产情况。</w:t>
      </w:r>
    </w:p>
    <w:p>
      <w:pPr>
        <w:pStyle w:val="5"/>
        <w:spacing w:line="600" w:lineRule="exact"/>
        <w:ind w:firstLine="640" w:firstLineChars="200"/>
        <w:jc w:val="left"/>
        <w:rPr>
          <w:rFonts w:ascii="Times New Roman" w:hAnsi="Times New Roman"/>
          <w:szCs w:val="32"/>
        </w:rPr>
      </w:pPr>
      <w:r>
        <w:rPr>
          <w:rFonts w:ascii="Times New Roman" w:hAnsi="仿宋_GB2312"/>
          <w:szCs w:val="32"/>
        </w:rPr>
        <w:t>市民政局</w:t>
      </w:r>
      <w:r>
        <w:rPr>
          <w:rFonts w:ascii="Times New Roman" w:hAnsi="Times New Roman"/>
          <w:szCs w:val="32"/>
        </w:rPr>
        <w:t>2020</w:t>
      </w:r>
      <w:r>
        <w:rPr>
          <w:rFonts w:ascii="Times New Roman" w:hAnsi="仿宋_GB2312"/>
          <w:szCs w:val="32"/>
        </w:rPr>
        <w:t>年末固定资产期末账面数原值</w:t>
      </w:r>
      <w:r>
        <w:rPr>
          <w:rFonts w:ascii="Times New Roman" w:hAnsi="Times New Roman"/>
          <w:szCs w:val="32"/>
        </w:rPr>
        <w:t>1699.27</w:t>
      </w:r>
      <w:r>
        <w:rPr>
          <w:rFonts w:ascii="Times New Roman" w:hAnsi="仿宋_GB2312"/>
          <w:szCs w:val="32"/>
        </w:rPr>
        <w:t>万元，累计折旧</w:t>
      </w:r>
      <w:r>
        <w:rPr>
          <w:rFonts w:ascii="Times New Roman" w:hAnsi="Times New Roman"/>
          <w:szCs w:val="32"/>
        </w:rPr>
        <w:t>815.57</w:t>
      </w:r>
      <w:r>
        <w:rPr>
          <w:rFonts w:ascii="Times New Roman" w:hAnsi="仿宋_GB2312"/>
          <w:szCs w:val="32"/>
        </w:rPr>
        <w:t>万元，净值</w:t>
      </w:r>
      <w:r>
        <w:rPr>
          <w:rFonts w:ascii="Times New Roman" w:hAnsi="Times New Roman"/>
          <w:szCs w:val="32"/>
        </w:rPr>
        <w:t>883.7</w:t>
      </w:r>
      <w:r>
        <w:rPr>
          <w:rFonts w:ascii="Times New Roman" w:hAnsi="仿宋_GB2312"/>
          <w:szCs w:val="32"/>
        </w:rPr>
        <w:t>万元，其中：土地、房屋及构筑物</w:t>
      </w:r>
      <w:r>
        <w:rPr>
          <w:rFonts w:ascii="Times New Roman" w:hAnsi="Times New Roman"/>
          <w:szCs w:val="32"/>
        </w:rPr>
        <w:t>388.86</w:t>
      </w:r>
      <w:r>
        <w:rPr>
          <w:rFonts w:ascii="Times New Roman" w:hAnsi="仿宋_GB2312"/>
          <w:szCs w:val="32"/>
        </w:rPr>
        <w:t>万元，占固定资产的</w:t>
      </w:r>
      <w:r>
        <w:rPr>
          <w:rFonts w:ascii="Times New Roman" w:hAnsi="Times New Roman"/>
          <w:szCs w:val="32"/>
        </w:rPr>
        <w:t>44%</w:t>
      </w:r>
      <w:r>
        <w:rPr>
          <w:rFonts w:ascii="Times New Roman" w:hAnsi="仿宋_GB2312"/>
          <w:szCs w:val="32"/>
        </w:rPr>
        <w:t>；通用设备</w:t>
      </w:r>
      <w:r>
        <w:rPr>
          <w:rFonts w:ascii="Times New Roman" w:hAnsi="Times New Roman"/>
          <w:szCs w:val="32"/>
        </w:rPr>
        <w:t>483.14</w:t>
      </w:r>
      <w:r>
        <w:rPr>
          <w:rFonts w:ascii="Times New Roman" w:hAnsi="仿宋_GB2312"/>
          <w:szCs w:val="32"/>
        </w:rPr>
        <w:t>万元，占</w:t>
      </w:r>
      <w:r>
        <w:rPr>
          <w:rFonts w:ascii="Times New Roman" w:hAnsi="Times New Roman"/>
          <w:szCs w:val="32"/>
        </w:rPr>
        <w:t>54.67%</w:t>
      </w:r>
      <w:r>
        <w:rPr>
          <w:rFonts w:ascii="Times New Roman" w:hAnsi="仿宋_GB2312"/>
          <w:szCs w:val="32"/>
        </w:rPr>
        <w:t>；专用设备</w:t>
      </w:r>
      <w:r>
        <w:rPr>
          <w:rFonts w:ascii="Times New Roman" w:hAnsi="Times New Roman"/>
          <w:szCs w:val="32"/>
        </w:rPr>
        <w:t>0.02</w:t>
      </w:r>
      <w:r>
        <w:rPr>
          <w:rFonts w:ascii="Times New Roman" w:hAnsi="仿宋_GB2312"/>
          <w:szCs w:val="32"/>
        </w:rPr>
        <w:t>万元，占</w:t>
      </w:r>
      <w:r>
        <w:rPr>
          <w:rFonts w:ascii="Times New Roman" w:hAnsi="Times New Roman"/>
          <w:szCs w:val="32"/>
        </w:rPr>
        <w:t>0.01%</w:t>
      </w:r>
      <w:r>
        <w:rPr>
          <w:rFonts w:ascii="Times New Roman" w:hAnsi="仿宋_GB2312"/>
          <w:szCs w:val="32"/>
        </w:rPr>
        <w:t>；文物和陈列品</w:t>
      </w:r>
      <w:r>
        <w:rPr>
          <w:rFonts w:ascii="Times New Roman" w:hAnsi="Times New Roman"/>
          <w:szCs w:val="32"/>
        </w:rPr>
        <w:t>0</w:t>
      </w:r>
      <w:r>
        <w:rPr>
          <w:rFonts w:ascii="Times New Roman" w:hAnsi="仿宋_GB2312"/>
          <w:szCs w:val="32"/>
        </w:rPr>
        <w:t>万元，占</w:t>
      </w:r>
      <w:r>
        <w:rPr>
          <w:rFonts w:ascii="Times New Roman" w:hAnsi="Times New Roman"/>
          <w:szCs w:val="32"/>
        </w:rPr>
        <w:t>0%</w:t>
      </w:r>
      <w:r>
        <w:rPr>
          <w:rFonts w:ascii="Times New Roman" w:hAnsi="仿宋_GB2312"/>
          <w:szCs w:val="32"/>
        </w:rPr>
        <w:t>；图书档案</w:t>
      </w:r>
      <w:r>
        <w:rPr>
          <w:rFonts w:ascii="Times New Roman" w:hAnsi="Times New Roman"/>
          <w:szCs w:val="32"/>
        </w:rPr>
        <w:t>0</w:t>
      </w:r>
      <w:r>
        <w:rPr>
          <w:rFonts w:ascii="Times New Roman" w:hAnsi="仿宋_GB2312"/>
          <w:szCs w:val="32"/>
        </w:rPr>
        <w:t>万元，占</w:t>
      </w:r>
      <w:r>
        <w:rPr>
          <w:rFonts w:ascii="Times New Roman" w:hAnsi="Times New Roman"/>
          <w:szCs w:val="32"/>
        </w:rPr>
        <w:t>0%</w:t>
      </w:r>
      <w:r>
        <w:rPr>
          <w:rFonts w:ascii="Times New Roman" w:hAnsi="仿宋_GB2312"/>
          <w:szCs w:val="32"/>
        </w:rPr>
        <w:t>；家具、用具、装具及动植物</w:t>
      </w:r>
      <w:r>
        <w:rPr>
          <w:rFonts w:ascii="Times New Roman" w:hAnsi="Times New Roman"/>
          <w:szCs w:val="32"/>
        </w:rPr>
        <w:t>11.68</w:t>
      </w:r>
      <w:r>
        <w:rPr>
          <w:rFonts w:ascii="Times New Roman" w:hAnsi="仿宋_GB2312"/>
          <w:szCs w:val="32"/>
        </w:rPr>
        <w:t>万元，占</w:t>
      </w:r>
      <w:r>
        <w:rPr>
          <w:rFonts w:ascii="Times New Roman" w:hAnsi="Times New Roman"/>
          <w:szCs w:val="32"/>
        </w:rPr>
        <w:t>1.32%</w:t>
      </w:r>
      <w:r>
        <w:rPr>
          <w:rFonts w:ascii="Times New Roman" w:hAnsi="仿宋_GB2312"/>
          <w:szCs w:val="32"/>
        </w:rPr>
        <w:t>。</w:t>
      </w:r>
    </w:p>
    <w:p>
      <w:pPr>
        <w:pStyle w:val="5"/>
        <w:spacing w:line="600" w:lineRule="exact"/>
        <w:ind w:firstLine="640" w:firstLineChars="200"/>
        <w:jc w:val="left"/>
        <w:rPr>
          <w:rFonts w:ascii="Times New Roman" w:hAnsi="Times New Roman"/>
          <w:szCs w:val="32"/>
        </w:rPr>
      </w:pPr>
      <w:r>
        <w:rPr>
          <w:rFonts w:ascii="Times New Roman" w:hAnsi="黑体" w:eastAsia="黑体"/>
          <w:szCs w:val="32"/>
        </w:rPr>
        <w:t>二、部门资金基本情况</w:t>
      </w:r>
    </w:p>
    <w:p>
      <w:pPr>
        <w:pStyle w:val="5"/>
        <w:spacing w:line="600" w:lineRule="exact"/>
        <w:ind w:firstLine="640" w:firstLineChars="200"/>
        <w:jc w:val="left"/>
        <w:rPr>
          <w:rFonts w:ascii="楷体_GB2312" w:hAnsi="Times New Roman" w:eastAsia="楷体_GB2312"/>
          <w:szCs w:val="32"/>
        </w:rPr>
      </w:pPr>
      <w:r>
        <w:rPr>
          <w:rFonts w:hint="eastAsia" w:ascii="楷体_GB2312" w:hAnsi="楷体" w:eastAsia="楷体_GB2312"/>
          <w:szCs w:val="32"/>
        </w:rPr>
        <w:t>（一）年初部门预算安排及支出情况。</w:t>
      </w:r>
    </w:p>
    <w:p>
      <w:pPr>
        <w:pStyle w:val="5"/>
        <w:spacing w:line="600" w:lineRule="exact"/>
        <w:ind w:firstLine="640" w:firstLineChars="200"/>
        <w:jc w:val="left"/>
        <w:rPr>
          <w:rFonts w:ascii="Times New Roman" w:hAnsi="Times New Roman"/>
          <w:szCs w:val="32"/>
        </w:rPr>
      </w:pPr>
      <w:r>
        <w:rPr>
          <w:rFonts w:ascii="Times New Roman" w:hAnsi="Times New Roman"/>
          <w:szCs w:val="32"/>
        </w:rPr>
        <w:t>1</w:t>
      </w:r>
      <w:r>
        <w:rPr>
          <w:rFonts w:hint="eastAsia" w:ascii="Times New Roman" w:hAnsi="仿宋_GB2312"/>
          <w:szCs w:val="32"/>
        </w:rPr>
        <w:t>．</w:t>
      </w:r>
      <w:r>
        <w:rPr>
          <w:rFonts w:ascii="Times New Roman" w:hAnsi="仿宋_GB2312"/>
          <w:szCs w:val="32"/>
        </w:rPr>
        <w:t>基本支出安排及使用情况</w:t>
      </w:r>
    </w:p>
    <w:p>
      <w:pPr>
        <w:pStyle w:val="5"/>
        <w:spacing w:line="600" w:lineRule="exact"/>
        <w:ind w:firstLine="640" w:firstLineChars="200"/>
        <w:jc w:val="left"/>
        <w:rPr>
          <w:rFonts w:ascii="Times New Roman" w:hAnsi="Times New Roman"/>
          <w:szCs w:val="32"/>
        </w:rPr>
      </w:pPr>
      <w:r>
        <w:rPr>
          <w:rFonts w:ascii="Times New Roman" w:hAnsi="Times New Roman"/>
          <w:szCs w:val="32"/>
        </w:rPr>
        <w:t>2020</w:t>
      </w:r>
      <w:r>
        <w:rPr>
          <w:rFonts w:ascii="Times New Roman" w:hAnsi="仿宋_GB2312"/>
          <w:szCs w:val="32"/>
        </w:rPr>
        <w:t>年度，基本支出年初预算安排</w:t>
      </w:r>
      <w:r>
        <w:rPr>
          <w:rFonts w:ascii="Times New Roman" w:hAnsi="Times New Roman"/>
          <w:szCs w:val="32"/>
        </w:rPr>
        <w:t>749.24</w:t>
      </w:r>
      <w:r>
        <w:rPr>
          <w:rFonts w:ascii="Times New Roman" w:hAnsi="仿宋_GB2312"/>
          <w:szCs w:val="32"/>
        </w:rPr>
        <w:t>万元，其中：人员经费</w:t>
      </w:r>
      <w:r>
        <w:rPr>
          <w:rFonts w:ascii="Times New Roman" w:hAnsi="Times New Roman"/>
          <w:szCs w:val="32"/>
        </w:rPr>
        <w:t>633.9</w:t>
      </w:r>
      <w:r>
        <w:rPr>
          <w:rFonts w:ascii="Times New Roman" w:hAnsi="仿宋_GB2312"/>
          <w:szCs w:val="32"/>
        </w:rPr>
        <w:t>万元，公用经费</w:t>
      </w:r>
      <w:r>
        <w:rPr>
          <w:rFonts w:ascii="Times New Roman" w:hAnsi="Times New Roman"/>
          <w:szCs w:val="32"/>
        </w:rPr>
        <w:t>115.34</w:t>
      </w:r>
      <w:r>
        <w:rPr>
          <w:rFonts w:ascii="Times New Roman" w:hAnsi="仿宋_GB2312"/>
          <w:szCs w:val="32"/>
        </w:rPr>
        <w:t>万元。年中财政对人员经费和公用经费进行追减后</w:t>
      </w:r>
      <w:r>
        <w:rPr>
          <w:rFonts w:ascii="Times New Roman" w:hAnsi="Times New Roman"/>
          <w:szCs w:val="32"/>
        </w:rPr>
        <w:t>2020</w:t>
      </w:r>
      <w:r>
        <w:rPr>
          <w:rFonts w:ascii="Times New Roman" w:hAnsi="仿宋_GB2312"/>
          <w:szCs w:val="32"/>
        </w:rPr>
        <w:t>年基本支出预算实际安排</w:t>
      </w:r>
      <w:r>
        <w:rPr>
          <w:rFonts w:ascii="Times New Roman" w:hAnsi="Times New Roman"/>
          <w:szCs w:val="32"/>
        </w:rPr>
        <w:t>752.45</w:t>
      </w:r>
      <w:r>
        <w:rPr>
          <w:rFonts w:ascii="Times New Roman" w:hAnsi="仿宋_GB2312"/>
          <w:szCs w:val="32"/>
        </w:rPr>
        <w:t>万元</w:t>
      </w:r>
      <w:r>
        <w:rPr>
          <w:rFonts w:ascii="Times New Roman" w:hAnsi="Times New Roman"/>
          <w:szCs w:val="32"/>
        </w:rPr>
        <w:t>,</w:t>
      </w:r>
      <w:r>
        <w:rPr>
          <w:rFonts w:ascii="Times New Roman" w:hAnsi="仿宋_GB2312"/>
          <w:szCs w:val="32"/>
        </w:rPr>
        <w:t>全年基本支出完成</w:t>
      </w:r>
      <w:r>
        <w:rPr>
          <w:rFonts w:ascii="Times New Roman" w:hAnsi="Times New Roman"/>
          <w:szCs w:val="32"/>
        </w:rPr>
        <w:t>742.6</w:t>
      </w:r>
      <w:r>
        <w:rPr>
          <w:rFonts w:ascii="Times New Roman" w:hAnsi="仿宋_GB2312"/>
          <w:szCs w:val="32"/>
        </w:rPr>
        <w:t>万元，结转丧葬抚恤费</w:t>
      </w:r>
      <w:r>
        <w:rPr>
          <w:rFonts w:ascii="Times New Roman" w:hAnsi="Times New Roman"/>
          <w:szCs w:val="32"/>
        </w:rPr>
        <w:t>9.24</w:t>
      </w:r>
      <w:r>
        <w:rPr>
          <w:rFonts w:ascii="Times New Roman" w:hAnsi="仿宋_GB2312"/>
          <w:szCs w:val="32"/>
        </w:rPr>
        <w:t>万元和干部分子体检费</w:t>
      </w:r>
      <w:r>
        <w:rPr>
          <w:rFonts w:ascii="Times New Roman" w:hAnsi="Times New Roman"/>
          <w:szCs w:val="32"/>
        </w:rPr>
        <w:t>0.61</w:t>
      </w:r>
      <w:r>
        <w:rPr>
          <w:rFonts w:ascii="Times New Roman" w:hAnsi="仿宋_GB2312"/>
          <w:szCs w:val="32"/>
        </w:rPr>
        <w:t>万元至</w:t>
      </w:r>
      <w:r>
        <w:rPr>
          <w:rFonts w:ascii="Times New Roman" w:hAnsi="Times New Roman"/>
          <w:szCs w:val="32"/>
        </w:rPr>
        <w:t>2021</w:t>
      </w:r>
      <w:r>
        <w:rPr>
          <w:rFonts w:ascii="Times New Roman" w:hAnsi="仿宋_GB2312"/>
          <w:szCs w:val="32"/>
        </w:rPr>
        <w:t>年支付。</w:t>
      </w:r>
    </w:p>
    <w:p>
      <w:pPr>
        <w:pStyle w:val="5"/>
        <w:spacing w:line="600" w:lineRule="exact"/>
        <w:ind w:firstLine="640" w:firstLineChars="200"/>
        <w:jc w:val="left"/>
        <w:rPr>
          <w:rFonts w:ascii="Times New Roman" w:hAnsi="Times New Roman"/>
          <w:szCs w:val="32"/>
        </w:rPr>
      </w:pPr>
      <w:r>
        <w:rPr>
          <w:rFonts w:ascii="Times New Roman" w:hAnsi="Times New Roman"/>
          <w:szCs w:val="32"/>
        </w:rPr>
        <w:t>2</w:t>
      </w:r>
      <w:r>
        <w:rPr>
          <w:rFonts w:hint="eastAsia" w:ascii="Times New Roman" w:hAnsi="仿宋_GB2312"/>
          <w:szCs w:val="32"/>
        </w:rPr>
        <w:t>．</w:t>
      </w:r>
      <w:r>
        <w:rPr>
          <w:rFonts w:ascii="Times New Roman" w:hAnsi="仿宋_GB2312"/>
          <w:szCs w:val="32"/>
        </w:rPr>
        <w:t>部门预算项目安排及支出情况</w:t>
      </w:r>
    </w:p>
    <w:p>
      <w:pPr>
        <w:pStyle w:val="5"/>
        <w:spacing w:line="600" w:lineRule="exact"/>
        <w:ind w:firstLine="640" w:firstLineChars="200"/>
        <w:jc w:val="left"/>
        <w:rPr>
          <w:rFonts w:ascii="Times New Roman" w:hAnsi="Times New Roman"/>
          <w:szCs w:val="32"/>
        </w:rPr>
      </w:pPr>
      <w:r>
        <w:rPr>
          <w:rFonts w:ascii="Times New Roman" w:hAnsi="Times New Roman"/>
          <w:szCs w:val="32"/>
        </w:rPr>
        <w:t>2020</w:t>
      </w:r>
      <w:r>
        <w:rPr>
          <w:rFonts w:ascii="Times New Roman" w:hAnsi="仿宋_GB2312"/>
          <w:szCs w:val="32"/>
        </w:rPr>
        <w:t>年度，项目支出年初预算安排</w:t>
      </w:r>
      <w:r>
        <w:rPr>
          <w:rFonts w:ascii="Times New Roman" w:hAnsi="Times New Roman"/>
          <w:szCs w:val="32"/>
        </w:rPr>
        <w:t>31.64</w:t>
      </w:r>
      <w:r>
        <w:rPr>
          <w:rFonts w:ascii="Times New Roman" w:hAnsi="仿宋_GB2312"/>
          <w:szCs w:val="32"/>
        </w:rPr>
        <w:t>万元，其中：社区公共服务综合信息平台运行维护</w:t>
      </w:r>
      <w:r>
        <w:rPr>
          <w:rFonts w:ascii="Times New Roman" w:hAnsi="Times New Roman"/>
          <w:szCs w:val="32"/>
        </w:rPr>
        <w:t>2.64</w:t>
      </w:r>
      <w:r>
        <w:rPr>
          <w:rFonts w:ascii="Times New Roman" w:hAnsi="仿宋_GB2312"/>
          <w:szCs w:val="32"/>
        </w:rPr>
        <w:t>万元，会理康复院麻风病人生活补助</w:t>
      </w:r>
      <w:r>
        <w:rPr>
          <w:rFonts w:ascii="Times New Roman" w:hAnsi="Times New Roman"/>
          <w:szCs w:val="32"/>
        </w:rPr>
        <w:t>3</w:t>
      </w:r>
      <w:r>
        <w:rPr>
          <w:rFonts w:ascii="Times New Roman" w:hAnsi="仿宋_GB2312"/>
          <w:szCs w:val="32"/>
        </w:rPr>
        <w:t>万元，慈善事业专项补助经费</w:t>
      </w:r>
      <w:r>
        <w:rPr>
          <w:rFonts w:ascii="Times New Roman" w:hAnsi="Times New Roman"/>
          <w:szCs w:val="32"/>
        </w:rPr>
        <w:t>21</w:t>
      </w:r>
      <w:r>
        <w:rPr>
          <w:rFonts w:ascii="Times New Roman" w:hAnsi="仿宋_GB2312"/>
          <w:szCs w:val="32"/>
        </w:rPr>
        <w:t>万元</w:t>
      </w:r>
      <w:r>
        <w:rPr>
          <w:rFonts w:ascii="Times New Roman" w:hAnsi="Times New Roman"/>
          <w:szCs w:val="32"/>
        </w:rPr>
        <w:t>,</w:t>
      </w:r>
      <w:r>
        <w:rPr>
          <w:rFonts w:ascii="Times New Roman" w:hAnsi="仿宋_GB2312"/>
          <w:szCs w:val="32"/>
        </w:rPr>
        <w:t>走访慰问和临时性救助资金</w:t>
      </w:r>
      <w:r>
        <w:rPr>
          <w:rFonts w:ascii="Times New Roman" w:hAnsi="Times New Roman"/>
          <w:szCs w:val="32"/>
        </w:rPr>
        <w:t>5</w:t>
      </w:r>
      <w:r>
        <w:rPr>
          <w:rFonts w:ascii="Times New Roman" w:hAnsi="仿宋_GB2312"/>
          <w:szCs w:val="32"/>
        </w:rPr>
        <w:t>万元。</w:t>
      </w:r>
    </w:p>
    <w:p>
      <w:pPr>
        <w:pStyle w:val="5"/>
        <w:spacing w:line="600" w:lineRule="exact"/>
        <w:ind w:firstLine="640" w:firstLineChars="200"/>
        <w:jc w:val="left"/>
        <w:rPr>
          <w:rFonts w:ascii="Times New Roman" w:hAnsi="Times New Roman"/>
          <w:szCs w:val="32"/>
        </w:rPr>
      </w:pPr>
      <w:r>
        <w:rPr>
          <w:rFonts w:ascii="Times New Roman" w:hAnsi="Times New Roman"/>
          <w:szCs w:val="32"/>
        </w:rPr>
        <w:t>2020</w:t>
      </w:r>
      <w:r>
        <w:rPr>
          <w:rFonts w:ascii="Times New Roman" w:hAnsi="仿宋_GB2312"/>
          <w:szCs w:val="32"/>
        </w:rPr>
        <w:t>年部门预算项目支出完成</w:t>
      </w:r>
      <w:r>
        <w:rPr>
          <w:rFonts w:ascii="Times New Roman" w:hAnsi="Times New Roman"/>
          <w:szCs w:val="32"/>
        </w:rPr>
        <w:t>29.92</w:t>
      </w:r>
      <w:r>
        <w:rPr>
          <w:rFonts w:ascii="Times New Roman" w:hAnsi="仿宋_GB2312"/>
          <w:szCs w:val="32"/>
        </w:rPr>
        <w:t>万元，其中：社区公共服务综合信息平台运行维护</w:t>
      </w:r>
      <w:r>
        <w:rPr>
          <w:rFonts w:ascii="Times New Roman" w:hAnsi="Times New Roman"/>
          <w:szCs w:val="32"/>
        </w:rPr>
        <w:t>0.92</w:t>
      </w:r>
      <w:r>
        <w:rPr>
          <w:rFonts w:ascii="Times New Roman" w:hAnsi="仿宋_GB2312"/>
          <w:szCs w:val="32"/>
        </w:rPr>
        <w:t>万元，会理康复院麻风病人生活补助</w:t>
      </w:r>
      <w:r>
        <w:rPr>
          <w:rFonts w:ascii="Times New Roman" w:hAnsi="Times New Roman"/>
          <w:szCs w:val="32"/>
        </w:rPr>
        <w:t>3</w:t>
      </w:r>
      <w:r>
        <w:rPr>
          <w:rFonts w:ascii="Times New Roman" w:hAnsi="仿宋_GB2312"/>
          <w:szCs w:val="32"/>
        </w:rPr>
        <w:t>万元，慈善事业专项补助经费</w:t>
      </w:r>
      <w:r>
        <w:rPr>
          <w:rFonts w:ascii="Times New Roman" w:hAnsi="Times New Roman"/>
          <w:szCs w:val="32"/>
        </w:rPr>
        <w:t>21</w:t>
      </w:r>
      <w:r>
        <w:rPr>
          <w:rFonts w:ascii="Times New Roman" w:hAnsi="仿宋_GB2312"/>
          <w:szCs w:val="32"/>
        </w:rPr>
        <w:t>万元</w:t>
      </w:r>
      <w:r>
        <w:rPr>
          <w:rFonts w:ascii="Times New Roman" w:hAnsi="Times New Roman"/>
          <w:szCs w:val="32"/>
        </w:rPr>
        <w:t>,</w:t>
      </w:r>
      <w:r>
        <w:rPr>
          <w:rFonts w:ascii="Times New Roman" w:hAnsi="仿宋_GB2312"/>
          <w:szCs w:val="32"/>
        </w:rPr>
        <w:t>走访慰问和临时性救助资金</w:t>
      </w:r>
      <w:r>
        <w:rPr>
          <w:rFonts w:ascii="Times New Roman" w:hAnsi="Times New Roman"/>
          <w:szCs w:val="32"/>
        </w:rPr>
        <w:t>5</w:t>
      </w:r>
      <w:r>
        <w:rPr>
          <w:rFonts w:ascii="Times New Roman" w:hAnsi="仿宋_GB2312"/>
          <w:szCs w:val="32"/>
        </w:rPr>
        <w:t>万元。</w:t>
      </w:r>
    </w:p>
    <w:p>
      <w:pPr>
        <w:pStyle w:val="5"/>
        <w:spacing w:line="600" w:lineRule="exact"/>
        <w:ind w:firstLine="640" w:firstLineChars="200"/>
        <w:jc w:val="left"/>
        <w:rPr>
          <w:rFonts w:ascii="楷体_GB2312" w:hAnsi="楷体" w:eastAsia="楷体_GB2312"/>
          <w:szCs w:val="32"/>
        </w:rPr>
      </w:pPr>
      <w:r>
        <w:rPr>
          <w:rFonts w:ascii="楷体_GB2312" w:hAnsi="楷体" w:eastAsia="楷体_GB2312"/>
          <w:szCs w:val="32"/>
        </w:rPr>
        <w:t>（二）追加预算安排及支出情况</w:t>
      </w:r>
      <w:r>
        <w:rPr>
          <w:rFonts w:hint="eastAsia" w:ascii="楷体_GB2312" w:hAnsi="楷体" w:eastAsia="楷体_GB2312"/>
          <w:szCs w:val="32"/>
        </w:rPr>
        <w:t>。</w:t>
      </w:r>
    </w:p>
    <w:p>
      <w:pPr>
        <w:pStyle w:val="5"/>
        <w:spacing w:line="600" w:lineRule="exact"/>
        <w:ind w:firstLine="640" w:firstLineChars="200"/>
        <w:jc w:val="left"/>
        <w:rPr>
          <w:rFonts w:ascii="Times New Roman" w:hAnsi="仿宋_GB2312"/>
          <w:szCs w:val="32"/>
        </w:rPr>
      </w:pPr>
      <w:r>
        <w:rPr>
          <w:rFonts w:ascii="Times New Roman" w:hAnsi="仿宋_GB2312"/>
          <w:szCs w:val="32"/>
        </w:rPr>
        <w:t>2020年度财政追加预算393.29万元，其中基本支出14.33万元，项目支出378.96万元。</w:t>
      </w:r>
    </w:p>
    <w:p>
      <w:pPr>
        <w:pStyle w:val="5"/>
        <w:spacing w:line="600" w:lineRule="exact"/>
        <w:ind w:firstLine="640" w:firstLineChars="200"/>
        <w:jc w:val="left"/>
        <w:rPr>
          <w:rFonts w:ascii="楷体_GB2312" w:hAnsi="楷体" w:eastAsia="楷体_GB2312"/>
          <w:szCs w:val="32"/>
        </w:rPr>
      </w:pPr>
      <w:r>
        <w:rPr>
          <w:rFonts w:ascii="楷体_GB2312" w:hAnsi="楷体" w:eastAsia="楷体_GB2312"/>
          <w:szCs w:val="32"/>
        </w:rPr>
        <w:t>（三）专项资金安排及支出情况</w:t>
      </w:r>
      <w:r>
        <w:rPr>
          <w:rFonts w:hint="eastAsia" w:ascii="楷体_GB2312" w:hAnsi="楷体" w:eastAsia="楷体_GB2312"/>
          <w:szCs w:val="32"/>
        </w:rPr>
        <w:t>。</w:t>
      </w:r>
    </w:p>
    <w:p>
      <w:pPr>
        <w:pStyle w:val="5"/>
        <w:spacing w:line="600" w:lineRule="exact"/>
        <w:ind w:firstLine="640" w:firstLineChars="200"/>
        <w:jc w:val="left"/>
        <w:rPr>
          <w:rFonts w:ascii="Times New Roman" w:hAnsi="仿宋_GB2312"/>
          <w:szCs w:val="32"/>
        </w:rPr>
      </w:pPr>
      <w:r>
        <w:rPr>
          <w:rFonts w:ascii="Times New Roman" w:hAnsi="仿宋_GB2312"/>
          <w:szCs w:val="32"/>
        </w:rPr>
        <w:t>2020年度安排专项资金417.6万元，其中年初部门预算安排31.64万元，财政追加378.96万元，全年共支出271.98万元，结余145.62万元，</w:t>
      </w:r>
    </w:p>
    <w:p>
      <w:pPr>
        <w:pStyle w:val="5"/>
        <w:spacing w:line="600" w:lineRule="exact"/>
        <w:ind w:firstLine="640" w:firstLineChars="200"/>
        <w:jc w:val="left"/>
        <w:rPr>
          <w:rFonts w:ascii="Times New Roman" w:hAnsi="Times New Roman" w:eastAsia="楷体"/>
          <w:szCs w:val="32"/>
        </w:rPr>
      </w:pPr>
      <w:r>
        <w:rPr>
          <w:rFonts w:ascii="Times New Roman" w:hAnsi="黑体" w:eastAsia="黑体"/>
          <w:szCs w:val="32"/>
        </w:rPr>
        <w:t>三、绩效目标完成情况分析</w:t>
      </w:r>
    </w:p>
    <w:p>
      <w:pPr>
        <w:pStyle w:val="5"/>
        <w:spacing w:line="600" w:lineRule="exact"/>
        <w:ind w:firstLine="640" w:firstLineChars="200"/>
        <w:jc w:val="left"/>
        <w:rPr>
          <w:rFonts w:ascii="Times New Roman" w:hAnsi="Times New Roman" w:eastAsia="楷体"/>
          <w:szCs w:val="32"/>
        </w:rPr>
      </w:pPr>
      <w:r>
        <w:rPr>
          <w:rFonts w:ascii="Times New Roman" w:hAnsi="仿宋_GB2312"/>
          <w:szCs w:val="32"/>
        </w:rPr>
        <w:t>根据绩效目标及指标值逐项分析。</w:t>
      </w:r>
    </w:p>
    <w:p>
      <w:pPr>
        <w:pStyle w:val="5"/>
        <w:spacing w:line="600" w:lineRule="exact"/>
        <w:ind w:firstLine="640" w:firstLineChars="200"/>
        <w:jc w:val="left"/>
        <w:rPr>
          <w:rFonts w:ascii="楷体_GB2312" w:hAnsi="楷体" w:eastAsia="楷体_GB2312"/>
          <w:szCs w:val="32"/>
        </w:rPr>
      </w:pPr>
      <w:r>
        <w:rPr>
          <w:rFonts w:ascii="楷体_GB2312" w:hAnsi="楷体" w:eastAsia="楷体_GB2312"/>
          <w:szCs w:val="32"/>
        </w:rPr>
        <w:t>（一）市级财政资金绩效目标完成情况</w:t>
      </w:r>
      <w:r>
        <w:rPr>
          <w:rFonts w:hint="eastAsia" w:ascii="楷体_GB2312" w:hAnsi="楷体" w:eastAsia="楷体_GB2312"/>
          <w:szCs w:val="32"/>
        </w:rPr>
        <w:t>。</w:t>
      </w:r>
    </w:p>
    <w:p>
      <w:pPr>
        <w:pStyle w:val="5"/>
        <w:spacing w:line="600" w:lineRule="exact"/>
        <w:ind w:firstLine="640" w:firstLineChars="200"/>
        <w:jc w:val="left"/>
        <w:rPr>
          <w:rFonts w:ascii="Times New Roman" w:hAnsi="Times New Roman" w:eastAsia="楷体"/>
          <w:szCs w:val="32"/>
        </w:rPr>
      </w:pPr>
      <w:r>
        <w:rPr>
          <w:rFonts w:ascii="Times New Roman" w:hAnsi="Times New Roman"/>
          <w:szCs w:val="32"/>
        </w:rPr>
        <w:t>1.</w:t>
      </w:r>
      <w:r>
        <w:rPr>
          <w:rFonts w:ascii="Times New Roman" w:hAnsi="仿宋_GB2312"/>
          <w:szCs w:val="32"/>
        </w:rPr>
        <w:t>年初部门预算绩效目标完成情况</w:t>
      </w:r>
      <w:r>
        <w:rPr>
          <w:rFonts w:hint="eastAsia" w:ascii="Times New Roman" w:hAnsi="仿宋_GB2312"/>
          <w:szCs w:val="32"/>
        </w:rPr>
        <w:t>。</w:t>
      </w:r>
    </w:p>
    <w:p>
      <w:pPr>
        <w:pStyle w:val="5"/>
        <w:spacing w:line="600" w:lineRule="exact"/>
        <w:ind w:firstLine="640" w:firstLineChars="200"/>
        <w:jc w:val="left"/>
        <w:rPr>
          <w:rFonts w:ascii="Times New Roman" w:hAnsi="Times New Roman"/>
          <w:szCs w:val="32"/>
        </w:rPr>
      </w:pPr>
      <w:r>
        <w:rPr>
          <w:rFonts w:ascii="Times New Roman" w:hAnsi="Times New Roman"/>
          <w:szCs w:val="32"/>
        </w:rPr>
        <w:t>2020</w:t>
      </w:r>
      <w:r>
        <w:rPr>
          <w:rFonts w:ascii="Times New Roman" w:hAnsi="仿宋_GB2312"/>
          <w:szCs w:val="32"/>
        </w:rPr>
        <w:t>年年初部门预算安排</w:t>
      </w:r>
      <w:r>
        <w:rPr>
          <w:rFonts w:ascii="Times New Roman" w:hAnsi="Times New Roman"/>
          <w:szCs w:val="32"/>
        </w:rPr>
        <w:t>780.88</w:t>
      </w:r>
      <w:r>
        <w:rPr>
          <w:rFonts w:ascii="Times New Roman" w:hAnsi="仿宋_GB2312"/>
          <w:szCs w:val="32"/>
        </w:rPr>
        <w:t>万元，后期财政对人员经费及公用经费进行相应的追加追减，年初预算实际安排</w:t>
      </w:r>
      <w:r>
        <w:rPr>
          <w:rFonts w:ascii="Times New Roman" w:hAnsi="Times New Roman"/>
          <w:szCs w:val="32"/>
        </w:rPr>
        <w:t>784.1</w:t>
      </w:r>
      <w:r>
        <w:rPr>
          <w:rFonts w:ascii="Times New Roman" w:hAnsi="仿宋_GB2312"/>
          <w:szCs w:val="32"/>
        </w:rPr>
        <w:t>万元，其中：基本支出</w:t>
      </w:r>
      <w:r>
        <w:rPr>
          <w:rFonts w:ascii="Times New Roman" w:hAnsi="Times New Roman"/>
          <w:szCs w:val="32"/>
        </w:rPr>
        <w:t>752.46</w:t>
      </w:r>
      <w:r>
        <w:rPr>
          <w:rFonts w:ascii="Times New Roman" w:hAnsi="仿宋_GB2312"/>
          <w:szCs w:val="32"/>
        </w:rPr>
        <w:t>万元，项目支出</w:t>
      </w:r>
      <w:r>
        <w:rPr>
          <w:rFonts w:ascii="Times New Roman" w:hAnsi="Times New Roman"/>
          <w:szCs w:val="32"/>
        </w:rPr>
        <w:t>31.64</w:t>
      </w:r>
      <w:r>
        <w:rPr>
          <w:rFonts w:ascii="Times New Roman" w:hAnsi="仿宋_GB2312"/>
          <w:szCs w:val="32"/>
        </w:rPr>
        <w:t>万元。</w:t>
      </w:r>
      <w:r>
        <w:rPr>
          <w:rFonts w:ascii="Times New Roman" w:hAnsi="Times New Roman"/>
          <w:szCs w:val="32"/>
        </w:rPr>
        <w:t>2020</w:t>
      </w:r>
      <w:r>
        <w:rPr>
          <w:rFonts w:ascii="Times New Roman" w:hAnsi="仿宋_GB2312"/>
          <w:szCs w:val="32"/>
        </w:rPr>
        <w:t>年基本支出完成</w:t>
      </w:r>
      <w:r>
        <w:rPr>
          <w:rFonts w:ascii="Times New Roman" w:hAnsi="Times New Roman"/>
          <w:szCs w:val="32"/>
        </w:rPr>
        <w:t>742.6</w:t>
      </w:r>
      <w:r>
        <w:rPr>
          <w:rFonts w:ascii="Times New Roman" w:hAnsi="仿宋_GB2312"/>
          <w:szCs w:val="32"/>
        </w:rPr>
        <w:t>万元，结转丧葬抚恤费</w:t>
      </w:r>
      <w:r>
        <w:rPr>
          <w:rFonts w:ascii="Times New Roman" w:hAnsi="Times New Roman"/>
          <w:szCs w:val="32"/>
        </w:rPr>
        <w:t>9.24</w:t>
      </w:r>
      <w:r>
        <w:rPr>
          <w:rFonts w:ascii="Times New Roman" w:hAnsi="仿宋_GB2312"/>
          <w:szCs w:val="32"/>
        </w:rPr>
        <w:t>万元和干部分子体检费</w:t>
      </w:r>
      <w:r>
        <w:rPr>
          <w:rFonts w:ascii="Times New Roman" w:hAnsi="Times New Roman"/>
          <w:szCs w:val="32"/>
        </w:rPr>
        <w:t>0.61</w:t>
      </w:r>
      <w:r>
        <w:rPr>
          <w:rFonts w:ascii="Times New Roman" w:hAnsi="仿宋_GB2312"/>
          <w:szCs w:val="32"/>
        </w:rPr>
        <w:t>万元至</w:t>
      </w:r>
      <w:r>
        <w:rPr>
          <w:rFonts w:ascii="Times New Roman" w:hAnsi="Times New Roman"/>
          <w:szCs w:val="32"/>
        </w:rPr>
        <w:t>2021</w:t>
      </w:r>
      <w:r>
        <w:rPr>
          <w:rFonts w:ascii="Times New Roman" w:hAnsi="仿宋_GB2312"/>
          <w:szCs w:val="32"/>
        </w:rPr>
        <w:t>年支付；项目支出完成</w:t>
      </w:r>
      <w:r>
        <w:rPr>
          <w:rFonts w:ascii="Times New Roman" w:hAnsi="Times New Roman"/>
          <w:szCs w:val="32"/>
        </w:rPr>
        <w:t>29.92</w:t>
      </w:r>
      <w:r>
        <w:rPr>
          <w:rFonts w:ascii="Times New Roman" w:hAnsi="仿宋_GB2312"/>
          <w:szCs w:val="32"/>
        </w:rPr>
        <w:t>万元，结转社区公共服务综合信息平台运行维护项目</w:t>
      </w:r>
      <w:r>
        <w:rPr>
          <w:rFonts w:ascii="Times New Roman" w:hAnsi="Times New Roman"/>
          <w:szCs w:val="32"/>
        </w:rPr>
        <w:t>1.72</w:t>
      </w:r>
      <w:r>
        <w:rPr>
          <w:rFonts w:ascii="Times New Roman" w:hAnsi="仿宋_GB2312"/>
          <w:szCs w:val="32"/>
        </w:rPr>
        <w:t>万元至</w:t>
      </w:r>
      <w:r>
        <w:rPr>
          <w:rFonts w:ascii="Times New Roman" w:hAnsi="Times New Roman"/>
          <w:szCs w:val="32"/>
        </w:rPr>
        <w:t>2021</w:t>
      </w:r>
      <w:r>
        <w:rPr>
          <w:rFonts w:ascii="Times New Roman" w:hAnsi="仿宋_GB2312"/>
          <w:szCs w:val="32"/>
        </w:rPr>
        <w:t>年。</w:t>
      </w:r>
    </w:p>
    <w:p>
      <w:pPr>
        <w:pStyle w:val="5"/>
        <w:spacing w:line="600" w:lineRule="exact"/>
        <w:ind w:firstLine="640" w:firstLineChars="200"/>
        <w:jc w:val="left"/>
        <w:rPr>
          <w:rFonts w:ascii="Times New Roman" w:hAnsi="Times New Roman"/>
          <w:szCs w:val="32"/>
        </w:rPr>
      </w:pPr>
      <w:r>
        <w:rPr>
          <w:rFonts w:ascii="Times New Roman" w:hAnsi="Times New Roman"/>
          <w:szCs w:val="32"/>
        </w:rPr>
        <w:t>2020</w:t>
      </w:r>
      <w:r>
        <w:rPr>
          <w:rFonts w:ascii="Times New Roman" w:hAnsi="仿宋_GB2312"/>
          <w:szCs w:val="32"/>
        </w:rPr>
        <w:t>年年初部门预算产出指标完成情况：数量指标、成本指标、时效指标和质量指标均按计划完成，保障全局</w:t>
      </w:r>
      <w:r>
        <w:rPr>
          <w:rFonts w:ascii="Times New Roman" w:hAnsi="Times New Roman"/>
          <w:szCs w:val="32"/>
        </w:rPr>
        <w:t>31</w:t>
      </w:r>
      <w:r>
        <w:rPr>
          <w:rFonts w:ascii="Times New Roman" w:hAnsi="仿宋_GB2312"/>
          <w:szCs w:val="32"/>
        </w:rPr>
        <w:t>人正常开展业务工作，</w:t>
      </w:r>
      <w:r>
        <w:rPr>
          <w:rFonts w:ascii="Times New Roman" w:hAnsi="Times New Roman"/>
          <w:szCs w:val="32"/>
        </w:rPr>
        <w:t>3</w:t>
      </w:r>
      <w:r>
        <w:rPr>
          <w:rFonts w:ascii="Times New Roman" w:hAnsi="仿宋_GB2312"/>
          <w:szCs w:val="32"/>
        </w:rPr>
        <w:t>个项目按年初计划完成任务，完成基本支出</w:t>
      </w:r>
      <w:r>
        <w:rPr>
          <w:rFonts w:ascii="Times New Roman" w:hAnsi="Times New Roman"/>
          <w:szCs w:val="32"/>
        </w:rPr>
        <w:t>742.6</w:t>
      </w:r>
      <w:r>
        <w:rPr>
          <w:rFonts w:ascii="Times New Roman" w:hAnsi="仿宋_GB2312"/>
          <w:szCs w:val="32"/>
        </w:rPr>
        <w:t>万元，项目支出</w:t>
      </w:r>
      <w:r>
        <w:rPr>
          <w:rFonts w:ascii="Times New Roman" w:hAnsi="Times New Roman"/>
          <w:szCs w:val="32"/>
        </w:rPr>
        <w:t>29.92</w:t>
      </w:r>
      <w:r>
        <w:rPr>
          <w:rFonts w:ascii="Times New Roman" w:hAnsi="仿宋_GB2312"/>
          <w:szCs w:val="32"/>
        </w:rPr>
        <w:t>万元，</w:t>
      </w:r>
      <w:r>
        <w:rPr>
          <w:rFonts w:ascii="Times New Roman" w:hAnsi="Times New Roman"/>
          <w:szCs w:val="32"/>
        </w:rPr>
        <w:t>98.52%</w:t>
      </w:r>
      <w:r>
        <w:rPr>
          <w:rFonts w:ascii="Times New Roman" w:hAnsi="仿宋_GB2312"/>
          <w:szCs w:val="32"/>
        </w:rPr>
        <w:t>完成绩效目标。效益指标完成情况：</w:t>
      </w:r>
      <w:r>
        <w:rPr>
          <w:rFonts w:ascii="Times New Roman" w:hAnsi="Times New Roman"/>
          <w:szCs w:val="32"/>
        </w:rPr>
        <w:t>2020</w:t>
      </w:r>
      <w:r>
        <w:rPr>
          <w:rFonts w:ascii="Times New Roman" w:hAnsi="仿宋_GB2312"/>
          <w:szCs w:val="32"/>
        </w:rPr>
        <w:t>年市民政局全面履行基本民生保障职责、全面履行基层社会治理职责、全面履行基本公共服务职责，保证机构正常运行，确保完成年度职能目标任务。满意度指标完成情况：服务对象及职工抽样满意度达到基本满意以上。</w:t>
      </w:r>
    </w:p>
    <w:p>
      <w:pPr>
        <w:pStyle w:val="5"/>
        <w:spacing w:line="600" w:lineRule="exact"/>
        <w:ind w:firstLine="640" w:firstLineChars="200"/>
        <w:jc w:val="left"/>
        <w:rPr>
          <w:rFonts w:ascii="Times New Roman" w:hAnsi="Times New Roman"/>
          <w:szCs w:val="32"/>
        </w:rPr>
      </w:pPr>
      <w:r>
        <w:rPr>
          <w:rFonts w:ascii="Times New Roman" w:hAnsi="Times New Roman"/>
          <w:szCs w:val="32"/>
        </w:rPr>
        <w:t>2.</w:t>
      </w:r>
      <w:r>
        <w:rPr>
          <w:rFonts w:ascii="Times New Roman" w:hAnsi="仿宋_GB2312"/>
          <w:szCs w:val="32"/>
        </w:rPr>
        <w:t>市级专项（项目）资金绩效目标完成情况</w:t>
      </w:r>
      <w:r>
        <w:rPr>
          <w:rFonts w:hint="eastAsia" w:ascii="Times New Roman" w:hAnsi="仿宋_GB2312"/>
          <w:szCs w:val="32"/>
        </w:rPr>
        <w:t>。</w:t>
      </w:r>
    </w:p>
    <w:p>
      <w:pPr>
        <w:pStyle w:val="5"/>
        <w:spacing w:line="600" w:lineRule="exact"/>
        <w:ind w:firstLine="640" w:firstLineChars="200"/>
        <w:jc w:val="left"/>
        <w:rPr>
          <w:rFonts w:ascii="Times New Roman" w:hAnsi="Times New Roman"/>
          <w:szCs w:val="32"/>
        </w:rPr>
      </w:pPr>
      <w:r>
        <w:rPr>
          <w:rFonts w:ascii="Times New Roman" w:hAnsi="仿宋_GB2312"/>
          <w:szCs w:val="32"/>
        </w:rPr>
        <w:t>追加</w:t>
      </w:r>
      <w:r>
        <w:rPr>
          <w:rFonts w:ascii="Times New Roman" w:hAnsi="Times New Roman"/>
          <w:szCs w:val="32"/>
        </w:rPr>
        <w:t>2020</w:t>
      </w:r>
      <w:r>
        <w:rPr>
          <w:rFonts w:ascii="Times New Roman" w:hAnsi="仿宋_GB2312"/>
          <w:szCs w:val="32"/>
        </w:rPr>
        <w:t>年度争取资金工作经费</w:t>
      </w:r>
      <w:r>
        <w:rPr>
          <w:rFonts w:ascii="Times New Roman" w:hAnsi="Times New Roman"/>
          <w:szCs w:val="32"/>
        </w:rPr>
        <w:t>5</w:t>
      </w:r>
      <w:r>
        <w:rPr>
          <w:rFonts w:ascii="Times New Roman" w:hAnsi="仿宋_GB2312"/>
          <w:szCs w:val="32"/>
        </w:rPr>
        <w:t>万元，支出</w:t>
      </w:r>
      <w:r>
        <w:rPr>
          <w:rFonts w:ascii="Times New Roman" w:hAnsi="Times New Roman"/>
          <w:szCs w:val="32"/>
        </w:rPr>
        <w:t>5</w:t>
      </w:r>
      <w:r>
        <w:rPr>
          <w:rFonts w:ascii="Times New Roman" w:hAnsi="仿宋_GB2312"/>
          <w:szCs w:val="32"/>
        </w:rPr>
        <w:t>万元，执行率为</w:t>
      </w:r>
      <w:r>
        <w:rPr>
          <w:rFonts w:ascii="Times New Roman" w:hAnsi="Times New Roman"/>
          <w:szCs w:val="32"/>
        </w:rPr>
        <w:t>100%</w:t>
      </w:r>
      <w:r>
        <w:rPr>
          <w:rFonts w:ascii="Times New Roman" w:hAnsi="仿宋_GB2312"/>
          <w:szCs w:val="32"/>
        </w:rPr>
        <w:t>。产出指标完成情况：数量指标和成本指标完成邮电费</w:t>
      </w:r>
      <w:r>
        <w:rPr>
          <w:rFonts w:ascii="Times New Roman" w:hAnsi="Times New Roman"/>
          <w:szCs w:val="32"/>
        </w:rPr>
        <w:t>0.1</w:t>
      </w:r>
      <w:r>
        <w:rPr>
          <w:rFonts w:ascii="Times New Roman" w:hAnsi="仿宋_GB2312"/>
          <w:szCs w:val="32"/>
        </w:rPr>
        <w:t>万元，差旅费</w:t>
      </w:r>
      <w:r>
        <w:rPr>
          <w:rFonts w:ascii="Times New Roman" w:hAnsi="Times New Roman"/>
          <w:szCs w:val="32"/>
        </w:rPr>
        <w:t>3.03</w:t>
      </w:r>
      <w:r>
        <w:rPr>
          <w:rFonts w:ascii="Times New Roman" w:hAnsi="仿宋_GB2312"/>
          <w:szCs w:val="32"/>
        </w:rPr>
        <w:t>万元，会议费</w:t>
      </w:r>
      <w:r>
        <w:rPr>
          <w:rFonts w:ascii="Times New Roman" w:hAnsi="Times New Roman"/>
          <w:szCs w:val="32"/>
        </w:rPr>
        <w:t>0.42</w:t>
      </w:r>
      <w:r>
        <w:rPr>
          <w:rFonts w:ascii="Times New Roman" w:hAnsi="仿宋_GB2312"/>
          <w:szCs w:val="32"/>
        </w:rPr>
        <w:t>万元，其他商品服务费用</w:t>
      </w:r>
      <w:r>
        <w:rPr>
          <w:rFonts w:ascii="Times New Roman" w:hAnsi="Times New Roman"/>
          <w:szCs w:val="32"/>
        </w:rPr>
        <w:t>1.45</w:t>
      </w:r>
      <w:r>
        <w:rPr>
          <w:rFonts w:ascii="Times New Roman" w:hAnsi="仿宋_GB2312"/>
          <w:szCs w:val="32"/>
        </w:rPr>
        <w:t>万元等，补充机关公用经费；时效指标能够按照工作计划于</w:t>
      </w:r>
      <w:r>
        <w:rPr>
          <w:rFonts w:ascii="Times New Roman" w:hAnsi="Times New Roman"/>
          <w:szCs w:val="32"/>
        </w:rPr>
        <w:t>2020</w:t>
      </w:r>
      <w:r>
        <w:rPr>
          <w:rFonts w:ascii="Times New Roman" w:hAnsi="仿宋_GB2312"/>
          <w:szCs w:val="32"/>
        </w:rPr>
        <w:t>年完成任务；质量指标能按质保障业务工作运行。效益指标完成情况：补充机关正常运行，确保完成年度职能目标任务，保障市民政局全面工作职责。满意度指标完成情况：服务对象及职工抽样满意度达到</w:t>
      </w:r>
      <w:r>
        <w:rPr>
          <w:rFonts w:ascii="Times New Roman" w:hAnsi="Times New Roman"/>
          <w:szCs w:val="32"/>
        </w:rPr>
        <w:t>100%</w:t>
      </w:r>
      <w:r>
        <w:rPr>
          <w:rFonts w:ascii="Times New Roman" w:hAnsi="仿宋_GB2312"/>
          <w:szCs w:val="32"/>
        </w:rPr>
        <w:t>。</w:t>
      </w:r>
    </w:p>
    <w:p>
      <w:pPr>
        <w:pStyle w:val="5"/>
        <w:spacing w:line="600" w:lineRule="exact"/>
        <w:ind w:firstLine="640" w:firstLineChars="200"/>
        <w:jc w:val="left"/>
        <w:rPr>
          <w:rFonts w:ascii="Times New Roman" w:hAnsi="Times New Roman"/>
          <w:szCs w:val="32"/>
        </w:rPr>
      </w:pPr>
      <w:r>
        <w:rPr>
          <w:rFonts w:ascii="Times New Roman" w:hAnsi="仿宋_GB2312"/>
          <w:szCs w:val="32"/>
        </w:rPr>
        <w:t>追加项目储备包装前期工作经费</w:t>
      </w:r>
      <w:r>
        <w:rPr>
          <w:rFonts w:ascii="Times New Roman" w:hAnsi="Times New Roman"/>
          <w:szCs w:val="32"/>
        </w:rPr>
        <w:t>10</w:t>
      </w:r>
      <w:r>
        <w:rPr>
          <w:rFonts w:ascii="Times New Roman" w:hAnsi="仿宋_GB2312"/>
          <w:szCs w:val="32"/>
        </w:rPr>
        <w:t>万元，支出</w:t>
      </w:r>
      <w:r>
        <w:rPr>
          <w:rFonts w:ascii="Times New Roman" w:hAnsi="Times New Roman"/>
          <w:szCs w:val="32"/>
        </w:rPr>
        <w:t>10</w:t>
      </w:r>
      <w:r>
        <w:rPr>
          <w:rFonts w:ascii="Times New Roman" w:hAnsi="仿宋_GB2312"/>
          <w:szCs w:val="32"/>
        </w:rPr>
        <w:t>万元，执行率为</w:t>
      </w:r>
      <w:r>
        <w:rPr>
          <w:rFonts w:ascii="Times New Roman" w:hAnsi="Times New Roman"/>
          <w:szCs w:val="32"/>
        </w:rPr>
        <w:t>100%</w:t>
      </w:r>
      <w:r>
        <w:rPr>
          <w:rFonts w:ascii="Times New Roman" w:hAnsi="仿宋_GB2312"/>
          <w:szCs w:val="32"/>
        </w:rPr>
        <w:t>。产出指标完成情况：数量指标和成本指标完成印刷费</w:t>
      </w:r>
      <w:r>
        <w:rPr>
          <w:rFonts w:ascii="Times New Roman" w:hAnsi="Times New Roman"/>
          <w:szCs w:val="32"/>
        </w:rPr>
        <w:t>1.48</w:t>
      </w:r>
      <w:r>
        <w:rPr>
          <w:rFonts w:ascii="Times New Roman" w:hAnsi="仿宋_GB2312"/>
          <w:szCs w:val="32"/>
        </w:rPr>
        <w:t>万元，差旅费</w:t>
      </w:r>
      <w:r>
        <w:rPr>
          <w:rFonts w:ascii="Times New Roman" w:hAnsi="Times New Roman"/>
          <w:szCs w:val="32"/>
        </w:rPr>
        <w:t>7.73</w:t>
      </w:r>
      <w:r>
        <w:rPr>
          <w:rFonts w:ascii="Times New Roman" w:hAnsi="仿宋_GB2312"/>
          <w:szCs w:val="32"/>
        </w:rPr>
        <w:t>万元，其他商品服务费用</w:t>
      </w:r>
      <w:r>
        <w:rPr>
          <w:rFonts w:ascii="Times New Roman" w:hAnsi="Times New Roman"/>
          <w:szCs w:val="32"/>
        </w:rPr>
        <w:t>0.79</w:t>
      </w:r>
      <w:r>
        <w:rPr>
          <w:rFonts w:ascii="Times New Roman" w:hAnsi="仿宋_GB2312"/>
          <w:szCs w:val="32"/>
        </w:rPr>
        <w:t>万元等，用于项目准备期间工作经费；时效指标能够按照工作计划于</w:t>
      </w:r>
      <w:r>
        <w:rPr>
          <w:rFonts w:ascii="Times New Roman" w:hAnsi="Times New Roman"/>
          <w:szCs w:val="32"/>
        </w:rPr>
        <w:t>2020</w:t>
      </w:r>
      <w:r>
        <w:rPr>
          <w:rFonts w:ascii="Times New Roman" w:hAnsi="仿宋_GB2312"/>
          <w:szCs w:val="32"/>
        </w:rPr>
        <w:t>年完成任务；质量指标能按质保障工作运行。效益指标完成情况：保障项目前期工作，确保更好的争取上级项目，保障市民政局全面工作。满意度指标完成情况：服务对象及职工抽样满意度达到</w:t>
      </w:r>
      <w:r>
        <w:rPr>
          <w:rFonts w:ascii="Times New Roman" w:hAnsi="Times New Roman"/>
          <w:szCs w:val="32"/>
        </w:rPr>
        <w:t>100%</w:t>
      </w:r>
      <w:r>
        <w:rPr>
          <w:rFonts w:ascii="Times New Roman" w:hAnsi="仿宋_GB2312"/>
          <w:szCs w:val="32"/>
        </w:rPr>
        <w:t>。</w:t>
      </w:r>
    </w:p>
    <w:p>
      <w:pPr>
        <w:pStyle w:val="5"/>
        <w:spacing w:line="600" w:lineRule="exact"/>
        <w:ind w:firstLine="640" w:firstLineChars="200"/>
        <w:jc w:val="left"/>
        <w:rPr>
          <w:rFonts w:ascii="Times New Roman" w:hAnsi="Times New Roman"/>
          <w:szCs w:val="32"/>
        </w:rPr>
      </w:pPr>
      <w:r>
        <w:rPr>
          <w:rFonts w:ascii="Times New Roman" w:hAnsi="仿宋_GB2312"/>
          <w:szCs w:val="32"/>
        </w:rPr>
        <w:t>追加对口木里县扶贫帮困爱心捐资助学项目</w:t>
      </w:r>
      <w:r>
        <w:rPr>
          <w:rFonts w:ascii="Times New Roman" w:hAnsi="Times New Roman"/>
          <w:szCs w:val="32"/>
        </w:rPr>
        <w:t>10</w:t>
      </w:r>
      <w:r>
        <w:rPr>
          <w:rFonts w:ascii="Times New Roman" w:hAnsi="仿宋_GB2312"/>
          <w:szCs w:val="32"/>
        </w:rPr>
        <w:t>万元，支出</w:t>
      </w:r>
      <w:r>
        <w:rPr>
          <w:rFonts w:ascii="Times New Roman" w:hAnsi="Times New Roman"/>
          <w:szCs w:val="32"/>
        </w:rPr>
        <w:t>10</w:t>
      </w:r>
      <w:r>
        <w:rPr>
          <w:rFonts w:ascii="Times New Roman" w:hAnsi="仿宋_GB2312"/>
          <w:szCs w:val="32"/>
        </w:rPr>
        <w:t>万元，执行率为</w:t>
      </w:r>
      <w:r>
        <w:rPr>
          <w:rFonts w:ascii="Times New Roman" w:hAnsi="Times New Roman"/>
          <w:szCs w:val="32"/>
        </w:rPr>
        <w:t>100%</w:t>
      </w:r>
      <w:r>
        <w:rPr>
          <w:rFonts w:ascii="Times New Roman" w:hAnsi="仿宋_GB2312"/>
          <w:szCs w:val="32"/>
        </w:rPr>
        <w:t>。产出指标完成情况：数量指标和成本指标完成助学金发放</w:t>
      </w:r>
      <w:r>
        <w:rPr>
          <w:rFonts w:ascii="Times New Roman" w:hAnsi="Times New Roman"/>
          <w:szCs w:val="32"/>
        </w:rPr>
        <w:t>10</w:t>
      </w:r>
      <w:r>
        <w:rPr>
          <w:rFonts w:ascii="Times New Roman" w:hAnsi="仿宋_GB2312"/>
          <w:szCs w:val="32"/>
        </w:rPr>
        <w:t>万元，用于对木里贫困学生助学活动；时效指标能够按照工作计划于</w:t>
      </w:r>
      <w:r>
        <w:rPr>
          <w:rFonts w:ascii="Times New Roman" w:hAnsi="Times New Roman"/>
          <w:szCs w:val="32"/>
        </w:rPr>
        <w:t>2020</w:t>
      </w:r>
      <w:r>
        <w:rPr>
          <w:rFonts w:ascii="Times New Roman" w:hAnsi="仿宋_GB2312"/>
          <w:szCs w:val="32"/>
        </w:rPr>
        <w:t>年完成任务；质量指标资助高中生、大学生入学。效益指标完成情况：帮扶贫困学子圆梦校园，传递慈善力量，促进社会和谐。满意度指标完成情况：受助学生满意度达到</w:t>
      </w:r>
      <w:r>
        <w:rPr>
          <w:rFonts w:ascii="Times New Roman" w:hAnsi="Times New Roman"/>
          <w:szCs w:val="32"/>
        </w:rPr>
        <w:t>100%</w:t>
      </w:r>
      <w:r>
        <w:rPr>
          <w:rFonts w:ascii="Times New Roman" w:hAnsi="仿宋_GB2312"/>
          <w:szCs w:val="32"/>
        </w:rPr>
        <w:t>。</w:t>
      </w:r>
    </w:p>
    <w:p>
      <w:pPr>
        <w:pStyle w:val="5"/>
        <w:spacing w:line="600" w:lineRule="exact"/>
        <w:ind w:firstLine="640" w:firstLineChars="200"/>
        <w:jc w:val="left"/>
        <w:rPr>
          <w:rFonts w:ascii="Times New Roman" w:hAnsi="Times New Roman"/>
          <w:szCs w:val="32"/>
        </w:rPr>
      </w:pPr>
      <w:r>
        <w:rPr>
          <w:rFonts w:ascii="Times New Roman" w:hAnsi="仿宋_GB2312"/>
          <w:szCs w:val="32"/>
        </w:rPr>
        <w:t>追加市级福彩公益金</w:t>
      </w:r>
      <w:r>
        <w:rPr>
          <w:rFonts w:ascii="Times New Roman" w:hAnsi="Times New Roman"/>
          <w:szCs w:val="32"/>
        </w:rPr>
        <w:t>58</w:t>
      </w:r>
      <w:r>
        <w:rPr>
          <w:rFonts w:ascii="Times New Roman" w:hAnsi="仿宋_GB2312"/>
          <w:szCs w:val="32"/>
        </w:rPr>
        <w:t>万元（全市养老人才队伍建设</w:t>
      </w:r>
      <w:r>
        <w:rPr>
          <w:rFonts w:ascii="Times New Roman" w:hAnsi="Times New Roman"/>
          <w:szCs w:val="32"/>
        </w:rPr>
        <w:t>50</w:t>
      </w:r>
      <w:r>
        <w:rPr>
          <w:rFonts w:ascii="Times New Roman" w:hAnsi="仿宋_GB2312"/>
          <w:szCs w:val="32"/>
        </w:rPr>
        <w:t>万元，社会组织法定代表人离任审计和注销清算报告审计</w:t>
      </w:r>
      <w:r>
        <w:rPr>
          <w:rFonts w:ascii="Times New Roman" w:hAnsi="Times New Roman"/>
          <w:szCs w:val="32"/>
        </w:rPr>
        <w:t>8</w:t>
      </w:r>
      <w:r>
        <w:rPr>
          <w:rFonts w:ascii="Times New Roman" w:hAnsi="仿宋_GB2312"/>
          <w:szCs w:val="32"/>
        </w:rPr>
        <w:t>万元），均未形成支出，执行率为</w:t>
      </w:r>
      <w:r>
        <w:rPr>
          <w:rFonts w:ascii="Times New Roman" w:hAnsi="Times New Roman"/>
          <w:szCs w:val="32"/>
        </w:rPr>
        <w:t>0%</w:t>
      </w:r>
      <w:r>
        <w:rPr>
          <w:rFonts w:ascii="Times New Roman" w:hAnsi="仿宋_GB2312"/>
          <w:szCs w:val="32"/>
        </w:rPr>
        <w:t>。因资金下达时间较晚，项目均计划于</w:t>
      </w:r>
      <w:r>
        <w:rPr>
          <w:rFonts w:ascii="Times New Roman" w:hAnsi="Times New Roman"/>
          <w:szCs w:val="32"/>
        </w:rPr>
        <w:t>2021</w:t>
      </w:r>
      <w:r>
        <w:rPr>
          <w:rFonts w:ascii="Times New Roman" w:hAnsi="仿宋_GB2312"/>
          <w:szCs w:val="32"/>
        </w:rPr>
        <w:t>年开展，资金按工作进度支付。</w:t>
      </w:r>
    </w:p>
    <w:p>
      <w:pPr>
        <w:pStyle w:val="5"/>
        <w:spacing w:line="600" w:lineRule="exact"/>
        <w:ind w:firstLine="640" w:firstLineChars="200"/>
        <w:jc w:val="left"/>
        <w:rPr>
          <w:rFonts w:ascii="楷体_GB2312" w:hAnsi="楷体" w:eastAsia="楷体_GB2312"/>
          <w:szCs w:val="32"/>
        </w:rPr>
      </w:pPr>
      <w:r>
        <w:rPr>
          <w:rFonts w:ascii="楷体_GB2312" w:hAnsi="楷体" w:eastAsia="楷体_GB2312"/>
          <w:szCs w:val="32"/>
        </w:rPr>
        <w:t>（二）上级专项（项目）资金绩效目标完成情况</w:t>
      </w:r>
      <w:r>
        <w:rPr>
          <w:rFonts w:hint="eastAsia" w:ascii="楷体_GB2312" w:hAnsi="楷体" w:eastAsia="楷体_GB2312"/>
          <w:szCs w:val="32"/>
        </w:rPr>
        <w:t>。</w:t>
      </w:r>
    </w:p>
    <w:p>
      <w:pPr>
        <w:pStyle w:val="5"/>
        <w:spacing w:line="600" w:lineRule="exact"/>
        <w:ind w:firstLine="640" w:firstLineChars="200"/>
        <w:jc w:val="left"/>
        <w:rPr>
          <w:rFonts w:ascii="Times New Roman" w:hAnsi="Times New Roman"/>
          <w:szCs w:val="32"/>
        </w:rPr>
      </w:pPr>
      <w:r>
        <w:rPr>
          <w:rFonts w:ascii="Times New Roman" w:hAnsi="仿宋_GB2312"/>
          <w:szCs w:val="32"/>
        </w:rPr>
        <w:t>上级安排区划地名工作经费</w:t>
      </w:r>
      <w:r>
        <w:rPr>
          <w:rFonts w:ascii="Times New Roman" w:hAnsi="Times New Roman"/>
          <w:szCs w:val="32"/>
        </w:rPr>
        <w:t>8</w:t>
      </w:r>
      <w:r>
        <w:rPr>
          <w:rFonts w:ascii="Times New Roman" w:hAnsi="仿宋_GB2312"/>
          <w:szCs w:val="32"/>
        </w:rPr>
        <w:t>万元，支出</w:t>
      </w:r>
      <w:r>
        <w:rPr>
          <w:rFonts w:ascii="Times New Roman" w:hAnsi="Times New Roman"/>
          <w:szCs w:val="32"/>
        </w:rPr>
        <w:t>8</w:t>
      </w:r>
      <w:r>
        <w:rPr>
          <w:rFonts w:ascii="Times New Roman" w:hAnsi="仿宋_GB2312"/>
          <w:szCs w:val="32"/>
        </w:rPr>
        <w:t>万元，执行率为</w:t>
      </w:r>
      <w:r>
        <w:rPr>
          <w:rFonts w:ascii="Times New Roman" w:hAnsi="Times New Roman"/>
          <w:szCs w:val="32"/>
        </w:rPr>
        <w:t>100%</w:t>
      </w:r>
      <w:r>
        <w:rPr>
          <w:rFonts w:ascii="Times New Roman" w:hAnsi="仿宋_GB2312"/>
          <w:szCs w:val="32"/>
        </w:rPr>
        <w:t>。产出指标完成情况：数量指标和成本指标完成办公费</w:t>
      </w:r>
      <w:r>
        <w:rPr>
          <w:rFonts w:ascii="Times New Roman" w:hAnsi="Times New Roman"/>
          <w:szCs w:val="32"/>
        </w:rPr>
        <w:t>1.26</w:t>
      </w:r>
      <w:r>
        <w:rPr>
          <w:rFonts w:ascii="Times New Roman" w:hAnsi="仿宋_GB2312"/>
          <w:szCs w:val="32"/>
        </w:rPr>
        <w:t>万元，印刷费</w:t>
      </w:r>
      <w:r>
        <w:rPr>
          <w:rFonts w:ascii="Times New Roman" w:hAnsi="Times New Roman"/>
          <w:szCs w:val="32"/>
        </w:rPr>
        <w:t>3.64</w:t>
      </w:r>
      <w:r>
        <w:rPr>
          <w:rFonts w:ascii="Times New Roman" w:hAnsi="仿宋_GB2312"/>
          <w:szCs w:val="32"/>
        </w:rPr>
        <w:t>万元，差旅费</w:t>
      </w:r>
      <w:r>
        <w:rPr>
          <w:rFonts w:ascii="Times New Roman" w:hAnsi="Times New Roman"/>
          <w:szCs w:val="32"/>
        </w:rPr>
        <w:t>1.67</w:t>
      </w:r>
      <w:r>
        <w:rPr>
          <w:rFonts w:ascii="Times New Roman" w:hAnsi="仿宋_GB2312"/>
          <w:szCs w:val="32"/>
        </w:rPr>
        <w:t>万元等；时效指标能够按照工作计划于</w:t>
      </w:r>
      <w:r>
        <w:rPr>
          <w:rFonts w:ascii="Times New Roman" w:hAnsi="Times New Roman"/>
          <w:szCs w:val="32"/>
        </w:rPr>
        <w:t>2020</w:t>
      </w:r>
      <w:r>
        <w:rPr>
          <w:rFonts w:ascii="Times New Roman" w:hAnsi="仿宋_GB2312"/>
          <w:szCs w:val="32"/>
        </w:rPr>
        <w:t>年完成任务；质量指标能按质保障业务工作运行。效益指标完成情况：保障市民政局区划地名管理工作有序开展，确保完成年度职能目标任务。满意度指标完成情况：服务对象及职工抽样满意度达到</w:t>
      </w:r>
      <w:r>
        <w:rPr>
          <w:rFonts w:ascii="Times New Roman" w:hAnsi="Times New Roman"/>
          <w:szCs w:val="32"/>
        </w:rPr>
        <w:t>95%</w:t>
      </w:r>
      <w:r>
        <w:rPr>
          <w:rFonts w:ascii="Times New Roman" w:hAnsi="仿宋_GB2312"/>
          <w:szCs w:val="32"/>
        </w:rPr>
        <w:t>。</w:t>
      </w:r>
    </w:p>
    <w:p>
      <w:pPr>
        <w:pStyle w:val="5"/>
        <w:spacing w:line="600" w:lineRule="exact"/>
        <w:ind w:firstLine="640" w:firstLineChars="200"/>
        <w:jc w:val="left"/>
        <w:rPr>
          <w:rFonts w:ascii="Times New Roman" w:hAnsi="Times New Roman"/>
          <w:szCs w:val="32"/>
        </w:rPr>
      </w:pPr>
      <w:r>
        <w:rPr>
          <w:rFonts w:ascii="Times New Roman" w:hAnsi="仿宋_GB2312"/>
          <w:szCs w:val="32"/>
        </w:rPr>
        <w:t>上级安排社会救助工作经费</w:t>
      </w:r>
      <w:r>
        <w:rPr>
          <w:rFonts w:ascii="Times New Roman" w:hAnsi="Times New Roman"/>
          <w:szCs w:val="32"/>
        </w:rPr>
        <w:t>7</w:t>
      </w:r>
      <w:r>
        <w:rPr>
          <w:rFonts w:ascii="Times New Roman" w:hAnsi="仿宋_GB2312"/>
          <w:szCs w:val="32"/>
        </w:rPr>
        <w:t>万元，支出</w:t>
      </w:r>
      <w:r>
        <w:rPr>
          <w:rFonts w:ascii="Times New Roman" w:hAnsi="Times New Roman"/>
          <w:szCs w:val="32"/>
        </w:rPr>
        <w:t>7</w:t>
      </w:r>
      <w:r>
        <w:rPr>
          <w:rFonts w:ascii="Times New Roman" w:hAnsi="仿宋_GB2312"/>
          <w:szCs w:val="32"/>
        </w:rPr>
        <w:t>万元，执行率为</w:t>
      </w:r>
      <w:r>
        <w:rPr>
          <w:rFonts w:ascii="Times New Roman" w:hAnsi="Times New Roman"/>
          <w:szCs w:val="32"/>
        </w:rPr>
        <w:t>100%</w:t>
      </w:r>
      <w:r>
        <w:rPr>
          <w:rFonts w:ascii="Times New Roman" w:hAnsi="仿宋_GB2312"/>
          <w:szCs w:val="32"/>
        </w:rPr>
        <w:t>。产出指标完成情况：数量指标和成本指标完成办公费</w:t>
      </w:r>
      <w:r>
        <w:rPr>
          <w:rFonts w:ascii="Times New Roman" w:hAnsi="Times New Roman"/>
          <w:szCs w:val="32"/>
        </w:rPr>
        <w:t>1.46</w:t>
      </w:r>
      <w:r>
        <w:rPr>
          <w:rFonts w:ascii="Times New Roman" w:hAnsi="仿宋_GB2312"/>
          <w:szCs w:val="32"/>
        </w:rPr>
        <w:t>万元，电费</w:t>
      </w:r>
      <w:r>
        <w:rPr>
          <w:rFonts w:ascii="Times New Roman" w:hAnsi="Times New Roman"/>
          <w:szCs w:val="32"/>
        </w:rPr>
        <w:t>2.20</w:t>
      </w:r>
      <w:r>
        <w:rPr>
          <w:rFonts w:ascii="Times New Roman" w:hAnsi="仿宋_GB2312"/>
          <w:szCs w:val="32"/>
        </w:rPr>
        <w:t>万元，邮电费</w:t>
      </w:r>
      <w:r>
        <w:rPr>
          <w:rFonts w:ascii="Times New Roman" w:hAnsi="Times New Roman"/>
          <w:szCs w:val="32"/>
        </w:rPr>
        <w:t>1.58</w:t>
      </w:r>
      <w:r>
        <w:rPr>
          <w:rFonts w:ascii="Times New Roman" w:hAnsi="仿宋_GB2312"/>
          <w:szCs w:val="32"/>
        </w:rPr>
        <w:t>万元，物业管理费</w:t>
      </w:r>
      <w:r>
        <w:rPr>
          <w:rFonts w:ascii="Times New Roman" w:hAnsi="Times New Roman"/>
          <w:szCs w:val="32"/>
        </w:rPr>
        <w:t>2.52</w:t>
      </w:r>
      <w:r>
        <w:rPr>
          <w:rFonts w:ascii="Times New Roman" w:hAnsi="仿宋_GB2312"/>
          <w:szCs w:val="32"/>
        </w:rPr>
        <w:t>万元，差旅费</w:t>
      </w:r>
      <w:r>
        <w:rPr>
          <w:rFonts w:ascii="Times New Roman" w:hAnsi="Times New Roman"/>
          <w:szCs w:val="32"/>
        </w:rPr>
        <w:t>9.10</w:t>
      </w:r>
      <w:r>
        <w:rPr>
          <w:rFonts w:ascii="Times New Roman" w:hAnsi="仿宋_GB2312"/>
          <w:szCs w:val="32"/>
        </w:rPr>
        <w:t>万元等；时效指标能够按照工作计划于</w:t>
      </w:r>
      <w:r>
        <w:rPr>
          <w:rFonts w:ascii="Times New Roman" w:hAnsi="Times New Roman"/>
          <w:szCs w:val="32"/>
        </w:rPr>
        <w:t>2019</w:t>
      </w:r>
      <w:r>
        <w:rPr>
          <w:rFonts w:ascii="Times New Roman" w:hAnsi="仿宋_GB2312"/>
          <w:szCs w:val="32"/>
        </w:rPr>
        <w:t>年完成任务；质量指标能按质保障业务工作运行。效益指标完成情况：保障市民政局社会救助工作有序开展，确保完成年度职能目标任务。满意度指标完成情况：服务对象及职工抽样满意度达到</w:t>
      </w:r>
      <w:r>
        <w:rPr>
          <w:rFonts w:ascii="Times New Roman" w:hAnsi="Times New Roman"/>
          <w:szCs w:val="32"/>
        </w:rPr>
        <w:t>95%</w:t>
      </w:r>
      <w:r>
        <w:rPr>
          <w:rFonts w:ascii="Times New Roman" w:hAnsi="仿宋_GB2312"/>
          <w:szCs w:val="32"/>
        </w:rPr>
        <w:t>以上。</w:t>
      </w:r>
    </w:p>
    <w:p>
      <w:pPr>
        <w:pStyle w:val="5"/>
        <w:spacing w:line="600" w:lineRule="exact"/>
        <w:ind w:firstLine="640" w:firstLineChars="200"/>
        <w:jc w:val="left"/>
        <w:rPr>
          <w:rFonts w:ascii="Times New Roman" w:hAnsi="Times New Roman"/>
          <w:szCs w:val="32"/>
        </w:rPr>
      </w:pPr>
      <w:r>
        <w:rPr>
          <w:rFonts w:ascii="Times New Roman" w:hAnsi="仿宋_GB2312"/>
          <w:szCs w:val="32"/>
        </w:rPr>
        <w:t>上级安排居家和社区养老服务标准化、规范化建设</w:t>
      </w:r>
      <w:r>
        <w:rPr>
          <w:rFonts w:ascii="Times New Roman" w:hAnsi="Times New Roman"/>
          <w:szCs w:val="32"/>
        </w:rPr>
        <w:t>70</w:t>
      </w:r>
      <w:r>
        <w:rPr>
          <w:rFonts w:ascii="Times New Roman" w:hAnsi="仿宋_GB2312"/>
          <w:szCs w:val="32"/>
        </w:rPr>
        <w:t>万元，支出</w:t>
      </w:r>
      <w:r>
        <w:rPr>
          <w:rFonts w:ascii="Times New Roman" w:hAnsi="Times New Roman"/>
          <w:szCs w:val="32"/>
        </w:rPr>
        <w:t>69.6</w:t>
      </w:r>
      <w:r>
        <w:rPr>
          <w:rFonts w:ascii="Times New Roman" w:hAnsi="仿宋_GB2312"/>
          <w:szCs w:val="32"/>
        </w:rPr>
        <w:t>万元，执行率为</w:t>
      </w:r>
      <w:r>
        <w:rPr>
          <w:rFonts w:ascii="Times New Roman" w:hAnsi="Times New Roman"/>
          <w:szCs w:val="32"/>
        </w:rPr>
        <w:t>100%</w:t>
      </w:r>
      <w:r>
        <w:rPr>
          <w:rFonts w:ascii="Times New Roman" w:hAnsi="仿宋_GB2312"/>
          <w:szCs w:val="32"/>
        </w:rPr>
        <w:t>。产出指标完成情况：数量指标和成本指标按计划完成；时效指标按照工作计划于</w:t>
      </w:r>
      <w:r>
        <w:rPr>
          <w:rFonts w:ascii="Times New Roman" w:hAnsi="Times New Roman"/>
          <w:szCs w:val="32"/>
        </w:rPr>
        <w:t>2020</w:t>
      </w:r>
      <w:r>
        <w:rPr>
          <w:rFonts w:ascii="Times New Roman" w:hAnsi="仿宋_GB2312"/>
          <w:szCs w:val="32"/>
        </w:rPr>
        <w:t>年完成任务；质量指标建立、发布我市养老服务标准化规范化政策体系。效益指标完成情况：与攀枝花市标准化委员会联合，探索与养老企业合作，将企业标准通过政府购买转化为政府地方标准，完成我市养老机构建设与养老服务标准建设，建立、发布我市养老服务标准化规范化政策体系。满意度指标完成情况：服务对象抽样满意度达到</w:t>
      </w:r>
      <w:r>
        <w:rPr>
          <w:rFonts w:ascii="Times New Roman" w:hAnsi="Times New Roman"/>
          <w:szCs w:val="32"/>
        </w:rPr>
        <w:t>95%</w:t>
      </w:r>
      <w:r>
        <w:rPr>
          <w:rFonts w:ascii="Times New Roman" w:hAnsi="仿宋_GB2312"/>
          <w:szCs w:val="32"/>
        </w:rPr>
        <w:t>以上。</w:t>
      </w:r>
    </w:p>
    <w:p>
      <w:pPr>
        <w:pStyle w:val="5"/>
        <w:spacing w:line="600" w:lineRule="exact"/>
        <w:ind w:firstLine="640" w:firstLineChars="200"/>
        <w:jc w:val="left"/>
        <w:rPr>
          <w:rFonts w:ascii="Times New Roman" w:hAnsi="Times New Roman"/>
          <w:szCs w:val="32"/>
        </w:rPr>
      </w:pPr>
      <w:r>
        <w:rPr>
          <w:rFonts w:ascii="Times New Roman" w:hAnsi="仿宋_GB2312"/>
          <w:szCs w:val="32"/>
        </w:rPr>
        <w:t>上级安排攀枝花市失能、半失能、失智老人集中照护中心</w:t>
      </w:r>
      <w:r>
        <w:rPr>
          <w:rFonts w:ascii="Times New Roman" w:hAnsi="Times New Roman"/>
          <w:szCs w:val="32"/>
        </w:rPr>
        <w:t>100</w:t>
      </w:r>
      <w:r>
        <w:rPr>
          <w:rFonts w:ascii="Times New Roman" w:hAnsi="仿宋_GB2312"/>
          <w:szCs w:val="32"/>
        </w:rPr>
        <w:t>万元，支出</w:t>
      </w:r>
      <w:r>
        <w:rPr>
          <w:rFonts w:ascii="Times New Roman" w:hAnsi="Times New Roman"/>
          <w:szCs w:val="32"/>
        </w:rPr>
        <w:t>100</w:t>
      </w:r>
      <w:r>
        <w:rPr>
          <w:rFonts w:ascii="Times New Roman" w:hAnsi="仿宋_GB2312"/>
          <w:szCs w:val="32"/>
        </w:rPr>
        <w:t>万元，执行率为</w:t>
      </w:r>
      <w:r>
        <w:rPr>
          <w:rFonts w:ascii="Times New Roman" w:hAnsi="Times New Roman"/>
          <w:szCs w:val="32"/>
        </w:rPr>
        <w:t>100%</w:t>
      </w:r>
      <w:r>
        <w:rPr>
          <w:rFonts w:ascii="Times New Roman" w:hAnsi="仿宋_GB2312"/>
          <w:szCs w:val="32"/>
        </w:rPr>
        <w:t>。产出指标完成情况：数量指标和成本指标按计划完成；时效指标按照工作计划于</w:t>
      </w:r>
      <w:r>
        <w:rPr>
          <w:rFonts w:ascii="Times New Roman" w:hAnsi="Times New Roman"/>
          <w:szCs w:val="32"/>
        </w:rPr>
        <w:t>2020</w:t>
      </w:r>
      <w:r>
        <w:rPr>
          <w:rFonts w:ascii="Times New Roman" w:hAnsi="仿宋_GB2312"/>
          <w:szCs w:val="32"/>
        </w:rPr>
        <w:t>年完成任务；质量指标和效益指标完成情况：打造攀枝花市市级照护失能、半失能、失智集中照护公办养老中心。满意度指标完成情况：服务对象抽样满意度达到</w:t>
      </w:r>
      <w:r>
        <w:rPr>
          <w:rFonts w:ascii="Times New Roman" w:hAnsi="Times New Roman"/>
          <w:szCs w:val="32"/>
        </w:rPr>
        <w:t>95%</w:t>
      </w:r>
      <w:r>
        <w:rPr>
          <w:rFonts w:ascii="Times New Roman" w:hAnsi="仿宋_GB2312"/>
          <w:szCs w:val="32"/>
        </w:rPr>
        <w:t>以上。</w:t>
      </w:r>
    </w:p>
    <w:p>
      <w:pPr>
        <w:pStyle w:val="5"/>
        <w:spacing w:line="600" w:lineRule="exact"/>
        <w:ind w:firstLine="640" w:firstLineChars="200"/>
        <w:jc w:val="left"/>
        <w:rPr>
          <w:rFonts w:ascii="Times New Roman" w:hAnsi="Times New Roman"/>
          <w:szCs w:val="32"/>
        </w:rPr>
      </w:pPr>
      <w:r>
        <w:rPr>
          <w:rFonts w:ascii="Times New Roman" w:hAnsi="仿宋_GB2312"/>
          <w:szCs w:val="32"/>
        </w:rPr>
        <w:t>上级安排项目</w:t>
      </w:r>
      <w:r>
        <w:rPr>
          <w:rFonts w:ascii="Times New Roman" w:hAnsi="Times New Roman"/>
          <w:szCs w:val="32"/>
        </w:rPr>
        <w:t>100</w:t>
      </w:r>
      <w:r>
        <w:rPr>
          <w:rFonts w:ascii="Times New Roman" w:hAnsi="仿宋_GB2312"/>
          <w:szCs w:val="32"/>
        </w:rPr>
        <w:t>万元（全市</w:t>
      </w:r>
      <w:r>
        <w:rPr>
          <w:rFonts w:ascii="Times New Roman" w:hAnsi="Times New Roman"/>
          <w:szCs w:val="32"/>
        </w:rPr>
        <w:t>60</w:t>
      </w:r>
      <w:r>
        <w:rPr>
          <w:rFonts w:ascii="Times New Roman" w:hAnsi="仿宋_GB2312"/>
          <w:szCs w:val="32"/>
        </w:rPr>
        <w:t>周岁以上老年人行为能力评估</w:t>
      </w:r>
      <w:r>
        <w:rPr>
          <w:rFonts w:ascii="Times New Roman" w:hAnsi="Times New Roman"/>
          <w:szCs w:val="32"/>
        </w:rPr>
        <w:t>50</w:t>
      </w:r>
      <w:r>
        <w:rPr>
          <w:rFonts w:ascii="Times New Roman" w:hAnsi="仿宋_GB2312"/>
          <w:szCs w:val="32"/>
        </w:rPr>
        <w:t>万元，全市养老机构星级评定</w:t>
      </w:r>
      <w:r>
        <w:rPr>
          <w:rFonts w:ascii="Times New Roman" w:hAnsi="Times New Roman"/>
          <w:szCs w:val="32"/>
        </w:rPr>
        <w:t>8</w:t>
      </w:r>
      <w:r>
        <w:rPr>
          <w:rFonts w:ascii="Times New Roman" w:hAnsi="仿宋_GB2312"/>
          <w:szCs w:val="32"/>
        </w:rPr>
        <w:t>万元），均未形成支出，执行率为</w:t>
      </w:r>
      <w:r>
        <w:rPr>
          <w:rFonts w:ascii="Times New Roman" w:hAnsi="Times New Roman"/>
          <w:szCs w:val="32"/>
        </w:rPr>
        <w:t>0%</w:t>
      </w:r>
      <w:r>
        <w:rPr>
          <w:rFonts w:ascii="Times New Roman" w:hAnsi="仿宋_GB2312"/>
          <w:szCs w:val="32"/>
        </w:rPr>
        <w:t>。项目均计划于</w:t>
      </w:r>
      <w:r>
        <w:rPr>
          <w:rFonts w:ascii="Times New Roman" w:hAnsi="Times New Roman"/>
          <w:szCs w:val="32"/>
        </w:rPr>
        <w:t>2021</w:t>
      </w:r>
      <w:r>
        <w:rPr>
          <w:rFonts w:ascii="Times New Roman" w:hAnsi="仿宋_GB2312"/>
          <w:szCs w:val="32"/>
        </w:rPr>
        <w:t>年开展，资金按工作进度支付。</w:t>
      </w:r>
    </w:p>
    <w:p>
      <w:pPr>
        <w:pStyle w:val="5"/>
        <w:spacing w:line="600" w:lineRule="exact"/>
        <w:ind w:firstLine="640" w:firstLineChars="200"/>
        <w:jc w:val="left"/>
        <w:rPr>
          <w:rFonts w:ascii="楷体_GB2312" w:hAnsi="楷体" w:eastAsia="楷体_GB2312"/>
          <w:szCs w:val="32"/>
        </w:rPr>
      </w:pPr>
      <w:r>
        <w:rPr>
          <w:rFonts w:ascii="楷体_GB2312" w:hAnsi="楷体" w:eastAsia="楷体_GB2312"/>
          <w:szCs w:val="32"/>
        </w:rPr>
        <w:t>（三）其他需要说明的情况</w:t>
      </w:r>
      <w:r>
        <w:rPr>
          <w:rFonts w:hint="eastAsia" w:ascii="楷体_GB2312" w:hAnsi="楷体" w:eastAsia="楷体_GB2312"/>
          <w:szCs w:val="32"/>
        </w:rPr>
        <w:t>。</w:t>
      </w:r>
    </w:p>
    <w:p>
      <w:pPr>
        <w:pStyle w:val="5"/>
        <w:spacing w:line="600" w:lineRule="exact"/>
        <w:ind w:firstLine="640" w:firstLineChars="200"/>
        <w:jc w:val="left"/>
        <w:rPr>
          <w:rFonts w:ascii="Times New Roman" w:hAnsi="Times New Roman"/>
          <w:szCs w:val="32"/>
        </w:rPr>
      </w:pPr>
      <w:r>
        <w:rPr>
          <w:rFonts w:ascii="Times New Roman" w:hAnsi="楷体" w:eastAsia="楷体"/>
          <w:szCs w:val="32"/>
        </w:rPr>
        <w:t>无</w:t>
      </w:r>
    </w:p>
    <w:p>
      <w:pPr>
        <w:pStyle w:val="5"/>
        <w:spacing w:line="600" w:lineRule="exact"/>
        <w:ind w:firstLine="640" w:firstLineChars="200"/>
        <w:jc w:val="left"/>
        <w:rPr>
          <w:rFonts w:ascii="楷体_GB2312" w:hAnsi="楷体" w:eastAsia="楷体_GB2312"/>
          <w:szCs w:val="32"/>
        </w:rPr>
      </w:pPr>
      <w:r>
        <w:rPr>
          <w:rFonts w:ascii="楷体_GB2312" w:hAnsi="楷体" w:eastAsia="楷体_GB2312"/>
          <w:szCs w:val="32"/>
        </w:rPr>
        <w:t>（四）自评结论</w:t>
      </w:r>
      <w:r>
        <w:rPr>
          <w:rFonts w:hint="eastAsia" w:ascii="楷体_GB2312" w:hAnsi="楷体" w:eastAsia="楷体_GB2312"/>
          <w:szCs w:val="32"/>
        </w:rPr>
        <w:t>。</w:t>
      </w:r>
    </w:p>
    <w:p>
      <w:pPr>
        <w:pStyle w:val="5"/>
        <w:spacing w:line="600" w:lineRule="exact"/>
        <w:ind w:firstLine="640" w:firstLineChars="200"/>
        <w:jc w:val="left"/>
        <w:rPr>
          <w:rFonts w:ascii="Times New Roman" w:hAnsi="Times New Roman"/>
          <w:szCs w:val="32"/>
        </w:rPr>
      </w:pPr>
      <w:r>
        <w:rPr>
          <w:rFonts w:ascii="Times New Roman" w:hAnsi="仿宋_GB2312"/>
          <w:szCs w:val="32"/>
        </w:rPr>
        <w:t>通过对我局收支情况、预决算编制、预算执行管理、支出绩效及财政管理等方面的综合评价，我单位支出绩效总体较好，对财政资金的使用能够严格执行行政单位会计制度及财政相关规定，立足民政职能职责，全面履行基本民生保障、基层社会治理、基本公共服务，康复辅助器具试点实现新突破，行政区划调整改革超额完成，兜底保障各类特殊困难群体，为攀枝花高质量发展贡献了民政力量。</w:t>
      </w:r>
    </w:p>
    <w:p>
      <w:pPr>
        <w:pStyle w:val="5"/>
        <w:spacing w:line="600" w:lineRule="exact"/>
        <w:ind w:firstLine="640" w:firstLineChars="200"/>
        <w:jc w:val="left"/>
        <w:rPr>
          <w:rFonts w:ascii="Times New Roman" w:hAnsi="Times New Roman" w:eastAsia="黑体"/>
          <w:szCs w:val="32"/>
        </w:rPr>
      </w:pPr>
      <w:r>
        <w:rPr>
          <w:rFonts w:ascii="Times New Roman" w:hAnsi="黑体" w:eastAsia="黑体"/>
          <w:szCs w:val="32"/>
        </w:rPr>
        <w:t>四、偏离绩效目标的原因和下一步改进措施</w:t>
      </w:r>
    </w:p>
    <w:p>
      <w:pPr>
        <w:pStyle w:val="5"/>
        <w:spacing w:line="600" w:lineRule="exact"/>
        <w:ind w:firstLine="640" w:firstLineChars="200"/>
        <w:jc w:val="left"/>
        <w:rPr>
          <w:rFonts w:ascii="Times New Roman" w:hAnsi="Times New Roman"/>
          <w:szCs w:val="32"/>
        </w:rPr>
      </w:pPr>
      <w:r>
        <w:rPr>
          <w:rFonts w:ascii="Times New Roman" w:hAnsi="仿宋_GB2312"/>
          <w:szCs w:val="32"/>
        </w:rPr>
        <w:t>在项目实施工作中，由于个别项目实施时间长，需要跨年度完成等原因，导致部分项目资金需结转至第二年使用，致使执行进度缓慢。</w:t>
      </w:r>
    </w:p>
    <w:p>
      <w:pPr>
        <w:pStyle w:val="5"/>
        <w:spacing w:line="600" w:lineRule="exact"/>
        <w:ind w:firstLine="640" w:firstLineChars="200"/>
        <w:jc w:val="left"/>
        <w:rPr>
          <w:rFonts w:ascii="Times New Roman" w:hAnsi="Times New Roman"/>
          <w:szCs w:val="32"/>
        </w:rPr>
      </w:pPr>
      <w:r>
        <w:rPr>
          <w:rFonts w:ascii="Times New Roman" w:hAnsi="仿宋_GB2312"/>
          <w:szCs w:val="32"/>
        </w:rPr>
        <w:t>在下一步工作中：一是继续完善年初预算特别是项目预算的编制工作，保证预算编制的完整性和准确性。二是合理安排项目预算执行，对项目任务要提前计划，及时分解、落实，切实提高财政资金使用效率，确保能按工作职能高效运行。三是加快未完成项目的实施，按进度及时拨付资金。</w:t>
      </w:r>
      <w:r>
        <w:rPr>
          <w:rFonts w:ascii="Times New Roman" w:hAnsi="Times New Roman"/>
          <w:szCs w:val="32"/>
        </w:rPr>
        <w:t xml:space="preserve"> </w:t>
      </w: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420" w:firstLineChars="200"/>
        <w:rPr>
          <w:rFonts w:hAnsi="仿宋_GB231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走访慰问和临时性救助资金</w:t>
      </w:r>
    </w:p>
    <w:p>
      <w:pPr>
        <w:spacing w:line="600" w:lineRule="exact"/>
        <w:jc w:val="center"/>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落实好市委、市政府对困难群众的关心关怀，让困难群众和民政系统服务的一线职工感受到党和政府的关爱，履行好市民政局负责城乡居民最低生活保障、特困人员救助供养、临时救助等关爱保护的职能职责，每年特在春节前由市财政拨给市民政局走访慰问和临时性救助经费5万元，开展对困难群众的走访慰问，开展临时性救助，维护社会稳定。</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主要内容是元旦、春节期间为攀枝花市享受城乡居民最低生活保障、特困人员救助供养、临时救助等补贴的人员开展走访慰问。市财政按每年5万元纳入预算拨付市民政局。2020年的5万元资金已全额用于2020年元旦、春节期间困难群众走访慰问。</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二、项目绩效情况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5"/>
        <w:spacing w:line="600" w:lineRule="exact"/>
        <w:ind w:firstLine="640" w:firstLineChars="200"/>
        <w:jc w:val="left"/>
        <w:rPr>
          <w:rFonts w:ascii="Times New Roman" w:hAnsi="Times New Roman"/>
          <w:szCs w:val="32"/>
        </w:rPr>
      </w:pPr>
      <w:r>
        <w:rPr>
          <w:rFonts w:ascii="Times New Roman" w:hAnsi="Times New Roman"/>
          <w:szCs w:val="32"/>
        </w:rPr>
        <w:t>2020</w:t>
      </w:r>
      <w:r>
        <w:rPr>
          <w:rFonts w:ascii="Times New Roman" w:hAnsi="仿宋_GB2312"/>
          <w:szCs w:val="32"/>
        </w:rPr>
        <w:t>年度</w:t>
      </w:r>
      <w:r>
        <w:rPr>
          <w:rFonts w:hint="eastAsia" w:ascii="Times New Roman" w:hAnsi="Times New Roman"/>
          <w:szCs w:val="32"/>
        </w:rPr>
        <w:t>走访慰问和临时性救助资金5</w:t>
      </w:r>
      <w:r>
        <w:rPr>
          <w:rFonts w:ascii="Times New Roman" w:hAnsi="仿宋_GB2312"/>
          <w:szCs w:val="32"/>
        </w:rPr>
        <w:t>万元，支出</w:t>
      </w:r>
      <w:r>
        <w:rPr>
          <w:rFonts w:hint="eastAsia" w:ascii="Times New Roman" w:hAnsi="Times New Roman"/>
          <w:szCs w:val="32"/>
        </w:rPr>
        <w:t>5</w:t>
      </w:r>
      <w:r>
        <w:rPr>
          <w:rFonts w:ascii="Times New Roman" w:hAnsi="仿宋_GB2312"/>
          <w:szCs w:val="32"/>
        </w:rPr>
        <w:t>万元，执行率为</w:t>
      </w:r>
      <w:r>
        <w:rPr>
          <w:rFonts w:ascii="Times New Roman" w:hAnsi="Times New Roman"/>
          <w:szCs w:val="32"/>
        </w:rPr>
        <w:t>100%</w:t>
      </w:r>
      <w:r>
        <w:rPr>
          <w:rFonts w:ascii="Times New Roman" w:hAnsi="仿宋_GB2312"/>
          <w:szCs w:val="32"/>
        </w:rPr>
        <w:t>。产出指标完成情况：数量指标</w:t>
      </w:r>
      <w:r>
        <w:rPr>
          <w:rFonts w:hint="eastAsia" w:ascii="Times New Roman" w:hAnsi="仿宋_GB2312"/>
          <w:szCs w:val="32"/>
        </w:rPr>
        <w:t>完成春节对全市90户困难群众的慰问，</w:t>
      </w:r>
      <w:r>
        <w:rPr>
          <w:rFonts w:ascii="Times New Roman" w:hAnsi="仿宋_GB2312"/>
          <w:szCs w:val="32"/>
        </w:rPr>
        <w:t>成本指标完成</w:t>
      </w:r>
      <w:r>
        <w:rPr>
          <w:rFonts w:hint="eastAsia" w:ascii="Times New Roman" w:hAnsi="仿宋_GB2312"/>
          <w:szCs w:val="32"/>
        </w:rPr>
        <w:t>5</w:t>
      </w:r>
      <w:r>
        <w:rPr>
          <w:rFonts w:ascii="Times New Roman" w:hAnsi="仿宋_GB2312"/>
          <w:szCs w:val="32"/>
        </w:rPr>
        <w:t>万元；时效指标能够按照工作计划于</w:t>
      </w:r>
      <w:r>
        <w:rPr>
          <w:rFonts w:ascii="Times New Roman" w:hAnsi="Times New Roman"/>
          <w:szCs w:val="32"/>
        </w:rPr>
        <w:t>2020</w:t>
      </w:r>
      <w:r>
        <w:rPr>
          <w:rFonts w:ascii="Times New Roman" w:hAnsi="仿宋_GB2312"/>
          <w:szCs w:val="32"/>
        </w:rPr>
        <w:t>年完成任务；质量指标能按质保障业务工作运行。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5"/>
        <w:spacing w:line="600" w:lineRule="exact"/>
        <w:ind w:firstLine="640" w:firstLineChars="200"/>
        <w:jc w:val="left"/>
        <w:rPr>
          <w:rFonts w:ascii="Times New Roman" w:hAnsi="Times New Roman"/>
          <w:szCs w:val="32"/>
        </w:rPr>
      </w:pPr>
      <w:r>
        <w:rPr>
          <w:rFonts w:ascii="Times New Roman" w:hAnsi="仿宋_GB2312"/>
          <w:szCs w:val="32"/>
        </w:rPr>
        <w:t>效益指标完成情况：</w:t>
      </w:r>
      <w:r>
        <w:rPr>
          <w:rFonts w:hint="eastAsia" w:ascii="Times New Roman" w:hAnsi="仿宋_GB2312"/>
          <w:szCs w:val="32"/>
        </w:rPr>
        <w:t>充分体现党和政府对困难群众的关爱，对保障社会稳定有重要作用</w:t>
      </w:r>
      <w:r>
        <w:rPr>
          <w:rFonts w:ascii="Times New Roman" w:hAnsi="仿宋_GB2312"/>
          <w:szCs w:val="32"/>
        </w:rPr>
        <w:t>。满意度指标完成情况：</w:t>
      </w:r>
      <w:r>
        <w:rPr>
          <w:rFonts w:hint="eastAsia" w:ascii="Times New Roman" w:hAnsi="仿宋_GB2312"/>
          <w:szCs w:val="32"/>
        </w:rPr>
        <w:t>困难群众</w:t>
      </w:r>
      <w:r>
        <w:rPr>
          <w:rFonts w:ascii="Times New Roman" w:hAnsi="仿宋_GB2312"/>
          <w:szCs w:val="32"/>
        </w:rPr>
        <w:t>满意</w:t>
      </w:r>
      <w:r>
        <w:rPr>
          <w:rFonts w:hint="eastAsia" w:ascii="Times New Roman" w:hAnsi="仿宋_GB2312"/>
          <w:szCs w:val="32"/>
        </w:rPr>
        <w:t>度≥95%。</w:t>
      </w:r>
    </w:p>
    <w:p>
      <w:pPr>
        <w:spacing w:line="580" w:lineRule="exact"/>
        <w:ind w:firstLine="640" w:firstLineChars="200"/>
        <w:rPr>
          <w:rFonts w:eastAsia="黑体"/>
          <w:color w:val="000000"/>
          <w:sz w:val="32"/>
          <w:szCs w:val="32"/>
        </w:rPr>
      </w:pPr>
      <w:r>
        <w:rPr>
          <w:rFonts w:hint="eastAsia" w:eastAsia="黑体"/>
          <w:color w:val="000000"/>
          <w:sz w:val="32"/>
          <w:szCs w:val="32"/>
        </w:rPr>
        <w:t>三</w:t>
      </w:r>
      <w:r>
        <w:rPr>
          <w:rFonts w:eastAsia="黑体"/>
          <w:color w:val="000000"/>
          <w:sz w:val="32"/>
          <w:szCs w:val="32"/>
        </w:rPr>
        <w:t>、相关措施建议</w:t>
      </w:r>
    </w:p>
    <w:p>
      <w:pPr>
        <w:spacing w:line="580" w:lineRule="exact"/>
        <w:ind w:firstLine="643" w:firstLineChars="200"/>
        <w:rPr>
          <w:rFonts w:eastAsia="仿宋_GB2312"/>
          <w:color w:val="000000"/>
          <w:sz w:val="32"/>
          <w:szCs w:val="32"/>
        </w:rPr>
      </w:pPr>
      <w:r>
        <w:rPr>
          <w:rFonts w:eastAsia="仿宋_GB2312"/>
          <w:b/>
          <w:bCs/>
          <w:color w:val="000000"/>
          <w:sz w:val="32"/>
          <w:szCs w:val="32"/>
        </w:rPr>
        <w:t>1.强化预算编制工作。</w:t>
      </w:r>
      <w:r>
        <w:rPr>
          <w:rFonts w:eastAsia="仿宋_GB2312"/>
          <w:color w:val="000000"/>
          <w:sz w:val="32"/>
          <w:szCs w:val="32"/>
        </w:rPr>
        <w:t>严格按照预算编制的相关规定和要求，结合本部门工作实际，预算编制范围尽可能全面。进一步提高预算编制的科学性、合理性。</w:t>
      </w:r>
    </w:p>
    <w:p>
      <w:pPr>
        <w:spacing w:line="580" w:lineRule="exact"/>
        <w:ind w:firstLine="643" w:firstLineChars="200"/>
        <w:rPr>
          <w:rFonts w:eastAsia="仿宋_GB2312"/>
          <w:color w:val="000000"/>
          <w:sz w:val="32"/>
          <w:szCs w:val="32"/>
        </w:rPr>
      </w:pPr>
      <w:r>
        <w:rPr>
          <w:rFonts w:eastAsia="仿宋_GB2312"/>
          <w:b/>
          <w:bCs/>
          <w:color w:val="000000"/>
          <w:sz w:val="32"/>
          <w:szCs w:val="32"/>
        </w:rPr>
        <w:t>2.严格预算执行管理。</w:t>
      </w:r>
      <w:r>
        <w:rPr>
          <w:rFonts w:eastAsia="仿宋_GB2312"/>
          <w:color w:val="000000"/>
          <w:sz w:val="32"/>
          <w:szCs w:val="32"/>
        </w:rPr>
        <w:t>规范部门收支核算，完善各项支出标准，严格按项目和进度执行预算，增强预算的约束力和严肃性，减少存量资金。遵循预算管理办法，从严控制年中追加预算规模。对于年度无法预计的临时追加的相关工作所需经费，严格按照预算调整追加程序，逐级申报报批，有效降低预算控制率。落实预算执行分析，及时了解预算执行差异，合理调整、纠正执行偏差，切实提高部门预算收支管理水平。</w:t>
      </w:r>
    </w:p>
    <w:p>
      <w:pPr>
        <w:spacing w:line="580" w:lineRule="exact"/>
        <w:ind w:firstLine="643" w:firstLineChars="200"/>
        <w:rPr>
          <w:rFonts w:eastAsia="仿宋_GB2312"/>
          <w:color w:val="000000"/>
          <w:sz w:val="32"/>
          <w:szCs w:val="32"/>
        </w:rPr>
      </w:pPr>
      <w:r>
        <w:rPr>
          <w:rFonts w:eastAsia="仿宋_GB2312"/>
          <w:b/>
          <w:bCs/>
          <w:color w:val="000000"/>
          <w:sz w:val="32"/>
          <w:szCs w:val="32"/>
        </w:rPr>
        <w:t>3. 保障预算执行进度。</w:t>
      </w:r>
      <w:r>
        <w:rPr>
          <w:rFonts w:eastAsia="仿宋_GB2312"/>
          <w:color w:val="000000"/>
          <w:sz w:val="32"/>
          <w:szCs w:val="32"/>
        </w:rPr>
        <w:t>加快推进项目实施进度，加强项目开展进度的跟踪，开展项目绩效的跟踪和评价，确保项目绩效的完成，发挥资金的使用效益，提高预算完成率。</w:t>
      </w:r>
    </w:p>
    <w:p>
      <w:pPr>
        <w:spacing w:line="580" w:lineRule="exact"/>
        <w:ind w:firstLine="643" w:firstLineChars="200"/>
        <w:rPr>
          <w:rFonts w:eastAsia="仿宋_GB2312"/>
          <w:color w:val="000000"/>
          <w:sz w:val="32"/>
          <w:szCs w:val="32"/>
        </w:rPr>
      </w:pPr>
      <w:r>
        <w:rPr>
          <w:rFonts w:eastAsia="仿宋_GB2312"/>
          <w:b/>
          <w:bCs/>
          <w:color w:val="000000"/>
          <w:sz w:val="32"/>
          <w:szCs w:val="32"/>
        </w:rPr>
        <w:t>4.加强内部控制信息化建设，防范财务风险。</w:t>
      </w:r>
      <w:r>
        <w:rPr>
          <w:rFonts w:eastAsia="仿宋_GB2312"/>
          <w:color w:val="000000"/>
          <w:sz w:val="32"/>
          <w:szCs w:val="32"/>
        </w:rPr>
        <w:t>在不断完善内控体系建设的基础上，开展内部控制信息化建设，集成日常业务运行、后台管理、风险防控等功能，为财务内控体系建设提供坚实的信息化支撑。</w:t>
      </w:r>
    </w:p>
    <w:p>
      <w:pPr>
        <w:spacing w:line="580" w:lineRule="exact"/>
        <w:ind w:firstLine="640" w:firstLineChars="200"/>
        <w:rPr>
          <w:rFonts w:eastAsia="仿宋_GB2312"/>
          <w:color w:val="000000"/>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13"/>
          <w:rFonts w:ascii="黑体" w:hAnsi="黑体" w:eastAsia="黑体"/>
          <w:b w:val="0"/>
        </w:rPr>
      </w:pPr>
    </w:p>
    <w:p>
      <w:pPr>
        <w:widowControl/>
        <w:jc w:val="left"/>
        <w:rPr>
          <w:rStyle w:val="13"/>
          <w:rFonts w:ascii="黑体" w:hAnsi="黑体" w:eastAsia="黑体"/>
          <w:b w:val="0"/>
        </w:rPr>
      </w:pPr>
      <w:r>
        <w:rPr>
          <w:rStyle w:val="13"/>
          <w:rFonts w:ascii="黑体" w:hAnsi="黑体" w:eastAsia="黑体"/>
          <w:b w:val="0"/>
        </w:rPr>
        <w:br w:type="page"/>
      </w:r>
    </w:p>
    <w:p>
      <w:pPr>
        <w:numPr>
          <w:numId w:val="0"/>
        </w:numPr>
        <w:spacing w:line="600" w:lineRule="exact"/>
        <w:ind w:leftChars="150"/>
        <w:jc w:val="center"/>
        <w:outlineLvl w:val="0"/>
        <w:rPr>
          <w:rStyle w:val="13"/>
          <w:rFonts w:hint="eastAsia" w:ascii="黑体" w:hAnsi="黑体" w:eastAsia="黑体"/>
          <w:b w:val="0"/>
        </w:rPr>
      </w:pPr>
      <w:bookmarkStart w:id="53" w:name="_Toc15396618"/>
      <w:r>
        <w:rPr>
          <w:rStyle w:val="13"/>
          <w:rFonts w:hint="eastAsia" w:ascii="黑体" w:hAnsi="黑体" w:eastAsia="黑体" w:cstheme="minorBidi"/>
          <w:b w:val="0"/>
          <w:lang w:eastAsia="zh-CN"/>
        </w:rPr>
        <w:t>第四部分</w:t>
      </w:r>
      <w:r>
        <w:rPr>
          <w:rStyle w:val="13"/>
          <w:rFonts w:hint="eastAsia" w:ascii="黑体" w:hAnsi="黑体" w:eastAsia="黑体" w:cstheme="minorBidi"/>
          <w:b w:val="0"/>
        </w:rPr>
        <w:t>附</w:t>
      </w:r>
      <w:r>
        <w:rPr>
          <w:rStyle w:val="13"/>
          <w:rFonts w:hint="eastAsia" w:ascii="黑体" w:hAnsi="黑体" w:eastAsia="黑体"/>
          <w:b w:val="0"/>
        </w:rPr>
        <w:t>表</w:t>
      </w:r>
      <w:bookmarkEnd w:id="51"/>
      <w:bookmarkEnd w:id="53"/>
      <w:bookmarkStart w:id="54" w:name="_Toc15396619"/>
    </w:p>
    <w:p>
      <w:pPr>
        <w:numPr>
          <w:numId w:val="0"/>
        </w:numPr>
        <w:spacing w:line="600" w:lineRule="exact"/>
        <w:jc w:val="both"/>
        <w:outlineLvl w:val="0"/>
        <w:rPr>
          <w:rStyle w:val="14"/>
          <w:rFonts w:hint="eastAsia" w:ascii="仿宋" w:hAnsi="仿宋" w:eastAsia="仿宋" w:cstheme="minorBidi"/>
          <w:b w:val="0"/>
          <w:bCs w:val="0"/>
        </w:rPr>
      </w:pPr>
      <w:bookmarkStart w:id="67" w:name="_GoBack"/>
      <w:bookmarkEnd w:id="67"/>
      <w:r>
        <w:rPr>
          <w:rStyle w:val="14"/>
          <w:rFonts w:hint="eastAsia" w:ascii="仿宋" w:hAnsi="仿宋" w:eastAsia="仿宋" w:cstheme="minorBidi"/>
          <w:b w:val="0"/>
          <w:bCs w:val="0"/>
        </w:rPr>
        <w:t>一、收入支出决算总表</w:t>
      </w:r>
      <w:bookmarkEnd w:id="54"/>
    </w:p>
    <w:p>
      <w:pPr>
        <w:pStyle w:val="3"/>
        <w:rPr>
          <w:rFonts w:ascii="仿宋" w:hAnsi="仿宋" w:eastAsia="仿宋"/>
          <w:color w:val="000000"/>
        </w:rPr>
      </w:pPr>
      <w:bookmarkStart w:id="55" w:name="_Toc15396620"/>
      <w:r>
        <w:rPr>
          <w:rFonts w:hint="eastAsia" w:ascii="仿宋" w:hAnsi="仿宋" w:eastAsia="仿宋"/>
          <w:b w:val="0"/>
          <w:color w:val="000000"/>
        </w:rPr>
        <w:t>二、收</w:t>
      </w:r>
      <w:r>
        <w:rPr>
          <w:rStyle w:val="14"/>
          <w:rFonts w:hint="eastAsia" w:ascii="仿宋" w:hAnsi="仿宋" w:eastAsia="仿宋"/>
          <w:b w:val="0"/>
          <w:bCs w:val="0"/>
        </w:rPr>
        <w:t>入决算表</w:t>
      </w:r>
      <w:bookmarkEnd w:id="55"/>
    </w:p>
    <w:p>
      <w:pPr>
        <w:pStyle w:val="3"/>
        <w:rPr>
          <w:rFonts w:ascii="仿宋" w:hAnsi="仿宋" w:eastAsia="仿宋"/>
          <w:color w:val="000000"/>
        </w:rPr>
      </w:pPr>
      <w:bookmarkStart w:id="56" w:name="_Toc15396621"/>
      <w:r>
        <w:rPr>
          <w:rStyle w:val="14"/>
          <w:rFonts w:hint="eastAsia" w:ascii="仿宋" w:hAnsi="仿宋" w:eastAsia="仿宋"/>
          <w:b w:val="0"/>
          <w:bCs w:val="0"/>
        </w:rPr>
        <w:t>三、</w:t>
      </w:r>
      <w:r>
        <w:rPr>
          <w:rFonts w:hint="eastAsia" w:ascii="仿宋" w:hAnsi="仿宋" w:eastAsia="仿宋"/>
          <w:b w:val="0"/>
          <w:color w:val="000000"/>
        </w:rPr>
        <w:t>支</w:t>
      </w:r>
      <w:r>
        <w:rPr>
          <w:rStyle w:val="14"/>
          <w:rFonts w:hint="eastAsia" w:ascii="仿宋" w:hAnsi="仿宋" w:eastAsia="仿宋"/>
          <w:b w:val="0"/>
          <w:bCs w:val="0"/>
        </w:rPr>
        <w:t>出决算表</w:t>
      </w:r>
      <w:bookmarkEnd w:id="56"/>
    </w:p>
    <w:p>
      <w:pPr>
        <w:pStyle w:val="3"/>
        <w:rPr>
          <w:rFonts w:ascii="仿宋" w:hAnsi="仿宋" w:eastAsia="仿宋"/>
          <w:b w:val="0"/>
          <w:color w:val="000000"/>
        </w:rPr>
      </w:pPr>
      <w:bookmarkStart w:id="57" w:name="_Toc15396622"/>
      <w:r>
        <w:rPr>
          <w:rStyle w:val="14"/>
          <w:rFonts w:hint="eastAsia" w:ascii="仿宋" w:hAnsi="仿宋" w:eastAsia="仿宋"/>
          <w:b w:val="0"/>
          <w:bCs w:val="0"/>
        </w:rPr>
        <w:t>四、</w:t>
      </w:r>
      <w:r>
        <w:rPr>
          <w:rFonts w:hint="eastAsia" w:ascii="仿宋" w:hAnsi="仿宋" w:eastAsia="仿宋"/>
          <w:b w:val="0"/>
          <w:color w:val="000000"/>
        </w:rPr>
        <w:t>财</w:t>
      </w:r>
      <w:r>
        <w:rPr>
          <w:rStyle w:val="14"/>
          <w:rFonts w:hint="eastAsia" w:ascii="仿宋" w:hAnsi="仿宋" w:eastAsia="仿宋"/>
          <w:b w:val="0"/>
          <w:bCs w:val="0"/>
        </w:rPr>
        <w:t>政拨款收入支出决算总表</w:t>
      </w:r>
      <w:bookmarkEnd w:id="57"/>
    </w:p>
    <w:p>
      <w:pPr>
        <w:pStyle w:val="3"/>
        <w:rPr>
          <w:rStyle w:val="14"/>
          <w:rFonts w:ascii="仿宋" w:hAnsi="仿宋" w:eastAsia="仿宋"/>
          <w:b w:val="0"/>
          <w:bCs w:val="0"/>
        </w:rPr>
      </w:pPr>
      <w:bookmarkStart w:id="58" w:name="_Toc15396623"/>
      <w:r>
        <w:rPr>
          <w:rStyle w:val="14"/>
          <w:rFonts w:hint="eastAsia" w:ascii="仿宋" w:hAnsi="仿宋" w:eastAsia="仿宋"/>
          <w:b w:val="0"/>
          <w:bCs w:val="0"/>
        </w:rPr>
        <w:t>五、</w:t>
      </w:r>
      <w:r>
        <w:rPr>
          <w:rFonts w:hint="eastAsia" w:ascii="仿宋" w:hAnsi="仿宋" w:eastAsia="仿宋"/>
          <w:b w:val="0"/>
          <w:color w:val="000000"/>
        </w:rPr>
        <w:t>财</w:t>
      </w:r>
      <w:r>
        <w:rPr>
          <w:rStyle w:val="14"/>
          <w:rFonts w:hint="eastAsia" w:ascii="仿宋" w:hAnsi="仿宋" w:eastAsia="仿宋"/>
          <w:b w:val="0"/>
          <w:bCs w:val="0"/>
        </w:rPr>
        <w:t>政拨款支出决算明细表</w:t>
      </w:r>
      <w:bookmarkEnd w:id="58"/>
      <w:bookmarkStart w:id="59" w:name="_Toc15396624"/>
    </w:p>
    <w:p>
      <w:pPr>
        <w:pStyle w:val="3"/>
        <w:rPr>
          <w:rFonts w:ascii="仿宋" w:hAnsi="仿宋" w:eastAsia="仿宋"/>
          <w:color w:val="000000"/>
        </w:rPr>
      </w:pPr>
      <w:r>
        <w:rPr>
          <w:rStyle w:val="14"/>
          <w:rFonts w:hint="eastAsia" w:ascii="仿宋" w:hAnsi="仿宋" w:eastAsia="仿宋"/>
          <w:b w:val="0"/>
          <w:bCs w:val="0"/>
        </w:rPr>
        <w:t>六、</w:t>
      </w:r>
      <w:r>
        <w:rPr>
          <w:rFonts w:hint="eastAsia" w:ascii="仿宋" w:hAnsi="仿宋" w:eastAsia="仿宋"/>
          <w:b w:val="0"/>
          <w:color w:val="000000"/>
        </w:rPr>
        <w:t>一</w:t>
      </w:r>
      <w:r>
        <w:rPr>
          <w:rStyle w:val="14"/>
          <w:rFonts w:hint="eastAsia" w:ascii="仿宋" w:hAnsi="仿宋" w:eastAsia="仿宋"/>
          <w:b w:val="0"/>
          <w:bCs w:val="0"/>
        </w:rPr>
        <w:t>般公共预算财政拨款支出决算表</w:t>
      </w:r>
      <w:bookmarkEnd w:id="59"/>
    </w:p>
    <w:p>
      <w:pPr>
        <w:pStyle w:val="3"/>
        <w:rPr>
          <w:rFonts w:ascii="仿宋" w:hAnsi="仿宋" w:eastAsia="仿宋"/>
          <w:color w:val="000000"/>
        </w:rPr>
      </w:pPr>
      <w:bookmarkStart w:id="60" w:name="_Toc15396625"/>
      <w:r>
        <w:rPr>
          <w:rStyle w:val="14"/>
          <w:rFonts w:hint="eastAsia" w:ascii="仿宋" w:hAnsi="仿宋" w:eastAsia="仿宋"/>
          <w:b w:val="0"/>
          <w:bCs w:val="0"/>
        </w:rPr>
        <w:t>七、</w:t>
      </w:r>
      <w:r>
        <w:rPr>
          <w:rFonts w:hint="eastAsia" w:ascii="仿宋" w:hAnsi="仿宋" w:eastAsia="仿宋"/>
          <w:b w:val="0"/>
          <w:color w:val="000000"/>
        </w:rPr>
        <w:t>一</w:t>
      </w:r>
      <w:r>
        <w:rPr>
          <w:rStyle w:val="14"/>
          <w:rFonts w:hint="eastAsia" w:ascii="仿宋" w:hAnsi="仿宋" w:eastAsia="仿宋"/>
          <w:b w:val="0"/>
          <w:bCs w:val="0"/>
        </w:rPr>
        <w:t>般公共预算财政拨款支出决算明细表</w:t>
      </w:r>
      <w:bookmarkEnd w:id="60"/>
    </w:p>
    <w:p>
      <w:pPr>
        <w:pStyle w:val="3"/>
        <w:rPr>
          <w:rFonts w:ascii="仿宋" w:hAnsi="仿宋" w:eastAsia="仿宋"/>
          <w:color w:val="000000"/>
        </w:rPr>
      </w:pPr>
      <w:bookmarkStart w:id="61" w:name="_Toc15396626"/>
      <w:r>
        <w:rPr>
          <w:rStyle w:val="14"/>
          <w:rFonts w:hint="eastAsia" w:ascii="仿宋" w:hAnsi="仿宋" w:eastAsia="仿宋"/>
          <w:b w:val="0"/>
          <w:bCs w:val="0"/>
        </w:rPr>
        <w:t>八、</w:t>
      </w:r>
      <w:r>
        <w:rPr>
          <w:rFonts w:hint="eastAsia" w:ascii="仿宋" w:hAnsi="仿宋" w:eastAsia="仿宋"/>
          <w:b w:val="0"/>
          <w:color w:val="000000"/>
        </w:rPr>
        <w:t>一</w:t>
      </w:r>
      <w:r>
        <w:rPr>
          <w:rStyle w:val="14"/>
          <w:rFonts w:hint="eastAsia" w:ascii="仿宋" w:hAnsi="仿宋" w:eastAsia="仿宋"/>
          <w:b w:val="0"/>
          <w:bCs w:val="0"/>
        </w:rPr>
        <w:t>般公共预算财政拨款基本支出决算表</w:t>
      </w:r>
      <w:bookmarkEnd w:id="61"/>
    </w:p>
    <w:p>
      <w:pPr>
        <w:pStyle w:val="3"/>
        <w:rPr>
          <w:rFonts w:ascii="仿宋" w:hAnsi="仿宋" w:eastAsia="仿宋"/>
          <w:color w:val="000000"/>
        </w:rPr>
      </w:pPr>
      <w:bookmarkStart w:id="62" w:name="_Toc15396627"/>
      <w:r>
        <w:rPr>
          <w:rStyle w:val="14"/>
          <w:rFonts w:hint="eastAsia" w:ascii="仿宋" w:hAnsi="仿宋" w:eastAsia="仿宋"/>
          <w:b w:val="0"/>
          <w:bCs w:val="0"/>
        </w:rPr>
        <w:t>九、</w:t>
      </w:r>
      <w:r>
        <w:rPr>
          <w:rFonts w:hint="eastAsia" w:ascii="仿宋" w:hAnsi="仿宋" w:eastAsia="仿宋"/>
          <w:b w:val="0"/>
          <w:color w:val="000000"/>
        </w:rPr>
        <w:t>一</w:t>
      </w:r>
      <w:r>
        <w:rPr>
          <w:rStyle w:val="14"/>
          <w:rFonts w:hint="eastAsia" w:ascii="仿宋" w:hAnsi="仿宋" w:eastAsia="仿宋"/>
          <w:b w:val="0"/>
          <w:bCs w:val="0"/>
        </w:rPr>
        <w:t>般公共预算财政拨款项目支出决算表</w:t>
      </w:r>
      <w:bookmarkEnd w:id="62"/>
    </w:p>
    <w:p>
      <w:pPr>
        <w:pStyle w:val="3"/>
        <w:rPr>
          <w:rFonts w:ascii="仿宋" w:hAnsi="仿宋" w:eastAsia="仿宋"/>
          <w:color w:val="000000"/>
        </w:rPr>
      </w:pPr>
      <w:bookmarkStart w:id="63" w:name="_Toc15396628"/>
      <w:r>
        <w:rPr>
          <w:rStyle w:val="14"/>
          <w:rFonts w:hint="eastAsia" w:ascii="仿宋" w:hAnsi="仿宋" w:eastAsia="仿宋"/>
          <w:b w:val="0"/>
          <w:bCs w:val="0"/>
        </w:rPr>
        <w:t>十、</w:t>
      </w:r>
      <w:r>
        <w:rPr>
          <w:rFonts w:hint="eastAsia" w:ascii="仿宋" w:hAnsi="仿宋" w:eastAsia="仿宋"/>
          <w:b w:val="0"/>
          <w:color w:val="000000"/>
        </w:rPr>
        <w:t>一</w:t>
      </w:r>
      <w:r>
        <w:rPr>
          <w:rStyle w:val="14"/>
          <w:rFonts w:hint="eastAsia" w:ascii="仿宋" w:hAnsi="仿宋" w:eastAsia="仿宋"/>
          <w:b w:val="0"/>
          <w:bCs w:val="0"/>
        </w:rPr>
        <w:t>般公共预算财政拨款“三公”经费支出决算表</w:t>
      </w:r>
      <w:bookmarkEnd w:id="63"/>
    </w:p>
    <w:p>
      <w:pPr>
        <w:pStyle w:val="3"/>
        <w:rPr>
          <w:rFonts w:ascii="仿宋" w:hAnsi="仿宋" w:eastAsia="仿宋"/>
          <w:color w:val="000000"/>
        </w:rPr>
      </w:pPr>
      <w:bookmarkStart w:id="64" w:name="_Toc15396629"/>
      <w:r>
        <w:rPr>
          <w:rStyle w:val="14"/>
          <w:rFonts w:hint="eastAsia" w:ascii="仿宋" w:hAnsi="仿宋" w:eastAsia="仿宋"/>
          <w:b w:val="0"/>
          <w:bCs w:val="0"/>
        </w:rPr>
        <w:t>十一、</w:t>
      </w:r>
      <w:r>
        <w:rPr>
          <w:rFonts w:hint="eastAsia" w:ascii="仿宋" w:hAnsi="仿宋" w:eastAsia="仿宋"/>
          <w:b w:val="0"/>
          <w:color w:val="000000"/>
        </w:rPr>
        <w:t>政</w:t>
      </w:r>
      <w:r>
        <w:rPr>
          <w:rStyle w:val="14"/>
          <w:rFonts w:hint="eastAsia" w:ascii="仿宋" w:hAnsi="仿宋" w:eastAsia="仿宋"/>
          <w:b w:val="0"/>
          <w:bCs w:val="0"/>
        </w:rPr>
        <w:t>府性基金预算财政拨款收入支出决算表</w:t>
      </w:r>
      <w:bookmarkEnd w:id="64"/>
    </w:p>
    <w:p>
      <w:pPr>
        <w:pStyle w:val="3"/>
        <w:rPr>
          <w:rFonts w:ascii="仿宋" w:hAnsi="仿宋" w:eastAsia="仿宋"/>
          <w:color w:val="000000"/>
        </w:rPr>
      </w:pPr>
      <w:bookmarkStart w:id="65" w:name="_Toc15396630"/>
      <w:r>
        <w:rPr>
          <w:rStyle w:val="14"/>
          <w:rFonts w:hint="eastAsia" w:ascii="仿宋" w:hAnsi="仿宋" w:eastAsia="仿宋"/>
          <w:b w:val="0"/>
          <w:bCs w:val="0"/>
        </w:rPr>
        <w:t>十二、</w:t>
      </w:r>
      <w:r>
        <w:rPr>
          <w:rFonts w:hint="eastAsia" w:ascii="仿宋" w:hAnsi="仿宋" w:eastAsia="仿宋"/>
          <w:b w:val="0"/>
          <w:color w:val="000000"/>
        </w:rPr>
        <w:t>政</w:t>
      </w:r>
      <w:r>
        <w:rPr>
          <w:rStyle w:val="14"/>
          <w:rFonts w:hint="eastAsia" w:ascii="仿宋" w:hAnsi="仿宋" w:eastAsia="仿宋"/>
          <w:b w:val="0"/>
          <w:bCs w:val="0"/>
        </w:rPr>
        <w:t>府性基金预算财政拨款“三公”经费支出决算表</w:t>
      </w:r>
      <w:bookmarkEnd w:id="65"/>
      <w:r>
        <w:rPr>
          <w:rStyle w:val="14"/>
          <w:rFonts w:hint="eastAsia" w:ascii="仿宋" w:hAnsi="仿宋" w:eastAsia="仿宋"/>
          <w:b w:val="0"/>
          <w:bCs w:val="0"/>
        </w:rPr>
        <w:t>（此表无数据）</w:t>
      </w:r>
    </w:p>
    <w:p>
      <w:pPr>
        <w:pStyle w:val="3"/>
        <w:rPr>
          <w:rStyle w:val="14"/>
          <w:rFonts w:hint="eastAsia" w:ascii="仿宋" w:hAnsi="仿宋" w:eastAsia="仿宋"/>
          <w:b/>
          <w:bCs/>
          <w:color w:val="000000"/>
        </w:rPr>
      </w:pPr>
      <w:bookmarkStart w:id="66" w:name="_Toc15396631"/>
      <w:r>
        <w:rPr>
          <w:rStyle w:val="14"/>
          <w:rFonts w:hint="eastAsia" w:ascii="仿宋" w:hAnsi="仿宋" w:eastAsia="仿宋"/>
          <w:b w:val="0"/>
          <w:bCs w:val="0"/>
        </w:rPr>
        <w:t>十三、</w:t>
      </w:r>
      <w:r>
        <w:rPr>
          <w:rFonts w:hint="eastAsia" w:ascii="仿宋" w:hAnsi="仿宋" w:eastAsia="仿宋"/>
          <w:b w:val="0"/>
          <w:color w:val="000000"/>
        </w:rPr>
        <w:t>国</w:t>
      </w:r>
      <w:r>
        <w:rPr>
          <w:rStyle w:val="14"/>
          <w:rFonts w:hint="eastAsia" w:ascii="仿宋" w:hAnsi="仿宋" w:eastAsia="仿宋"/>
          <w:b w:val="0"/>
          <w:bCs w:val="0"/>
        </w:rPr>
        <w:t>有资本经营预算财政拨款支出决算表</w:t>
      </w:r>
      <w:bookmarkEnd w:id="66"/>
      <w:r>
        <w:rPr>
          <w:rStyle w:val="14"/>
          <w:rFonts w:hint="eastAsia" w:ascii="仿宋" w:hAnsi="仿宋" w:eastAsia="仿宋"/>
          <w:b w:val="0"/>
          <w:bCs w:val="0"/>
        </w:rPr>
        <w:t>（此表无数据）</w:t>
      </w:r>
    </w:p>
    <w:p>
      <w:pPr>
        <w:pStyle w:val="3"/>
        <w:rPr>
          <w:rStyle w:val="14"/>
          <w:rFonts w:hint="eastAsia" w:ascii="仿宋" w:hAnsi="仿宋" w:eastAsia="仿宋"/>
          <w:b/>
          <w:bCs/>
          <w:color w:val="000000"/>
        </w:rPr>
      </w:pPr>
      <w:r>
        <w:rPr>
          <w:rStyle w:val="14"/>
          <w:rFonts w:hint="eastAsia" w:ascii="仿宋" w:hAnsi="仿宋" w:eastAsia="仿宋"/>
          <w:b w:val="0"/>
          <w:bCs w:val="0"/>
        </w:rPr>
        <w:t>十四、国有资本经营预算财政拨款支出决算表（此表无数据）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195A1E3C"/>
    <w:multiLevelType w:val="singleLevel"/>
    <w:tmpl w:val="195A1E3C"/>
    <w:lvl w:ilvl="0" w:tentative="0">
      <w:start w:val="1"/>
      <w:numFmt w:val="chineseCounting"/>
      <w:suff w:val="nothing"/>
      <w:lvlText w:val="%1、"/>
      <w:lvlJc w:val="left"/>
      <w:rPr>
        <w:rFonts w:hint="eastAsia"/>
      </w:rPr>
    </w:lvl>
  </w:abstractNum>
  <w:abstractNum w:abstractNumId="4">
    <w:nsid w:val="7894B323"/>
    <w:multiLevelType w:val="singleLevel"/>
    <w:tmpl w:val="7894B323"/>
    <w:lvl w:ilvl="0" w:tentative="0">
      <w:start w:val="1"/>
      <w:numFmt w:val="decimal"/>
      <w:lvlText w:val="%1."/>
      <w:lvlJc w:val="left"/>
      <w:pPr>
        <w:tabs>
          <w:tab w:val="left" w:pos="312"/>
        </w:tabs>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6F"/>
    <w:rsid w:val="003B4438"/>
    <w:rsid w:val="0063456F"/>
    <w:rsid w:val="006B556F"/>
    <w:rsid w:val="00AA68B5"/>
    <w:rsid w:val="00BA225E"/>
    <w:rsid w:val="00FB7345"/>
    <w:rsid w:val="011861C2"/>
    <w:rsid w:val="018E33D8"/>
    <w:rsid w:val="02111004"/>
    <w:rsid w:val="02F24555"/>
    <w:rsid w:val="035B2FBC"/>
    <w:rsid w:val="04046822"/>
    <w:rsid w:val="0417699C"/>
    <w:rsid w:val="04A866C9"/>
    <w:rsid w:val="04FA5762"/>
    <w:rsid w:val="055B615A"/>
    <w:rsid w:val="05921E84"/>
    <w:rsid w:val="06587104"/>
    <w:rsid w:val="081C5C7C"/>
    <w:rsid w:val="08352875"/>
    <w:rsid w:val="08AC1653"/>
    <w:rsid w:val="08DB0519"/>
    <w:rsid w:val="08E61519"/>
    <w:rsid w:val="09F83270"/>
    <w:rsid w:val="0BE335E5"/>
    <w:rsid w:val="0CF24990"/>
    <w:rsid w:val="0D187CE3"/>
    <w:rsid w:val="0D210DD6"/>
    <w:rsid w:val="0EE95E61"/>
    <w:rsid w:val="103D4792"/>
    <w:rsid w:val="105100C7"/>
    <w:rsid w:val="10B2522F"/>
    <w:rsid w:val="10DA4200"/>
    <w:rsid w:val="113C1628"/>
    <w:rsid w:val="11AF6255"/>
    <w:rsid w:val="11B07D8B"/>
    <w:rsid w:val="13065E38"/>
    <w:rsid w:val="14B01E06"/>
    <w:rsid w:val="15275EEF"/>
    <w:rsid w:val="15282A3F"/>
    <w:rsid w:val="1538038D"/>
    <w:rsid w:val="1561317E"/>
    <w:rsid w:val="15AF4FCA"/>
    <w:rsid w:val="15D81615"/>
    <w:rsid w:val="183E3D7D"/>
    <w:rsid w:val="189630A5"/>
    <w:rsid w:val="18AF61D4"/>
    <w:rsid w:val="18D84645"/>
    <w:rsid w:val="191F3CB5"/>
    <w:rsid w:val="19894A63"/>
    <w:rsid w:val="19EC34C6"/>
    <w:rsid w:val="1A163018"/>
    <w:rsid w:val="1A6713F6"/>
    <w:rsid w:val="1ABF65DF"/>
    <w:rsid w:val="1C6401BA"/>
    <w:rsid w:val="1C917EF5"/>
    <w:rsid w:val="1D58787E"/>
    <w:rsid w:val="1E8D429F"/>
    <w:rsid w:val="1F131333"/>
    <w:rsid w:val="1F3D43E7"/>
    <w:rsid w:val="1F4C20AB"/>
    <w:rsid w:val="1F640C09"/>
    <w:rsid w:val="1FB40F76"/>
    <w:rsid w:val="200E2AD9"/>
    <w:rsid w:val="215063A3"/>
    <w:rsid w:val="217E671B"/>
    <w:rsid w:val="21A1039C"/>
    <w:rsid w:val="21BC09CC"/>
    <w:rsid w:val="21C37D14"/>
    <w:rsid w:val="2325390A"/>
    <w:rsid w:val="23577D50"/>
    <w:rsid w:val="23C07F82"/>
    <w:rsid w:val="24163AEC"/>
    <w:rsid w:val="25933AF0"/>
    <w:rsid w:val="25940121"/>
    <w:rsid w:val="25C860BD"/>
    <w:rsid w:val="25EB1B45"/>
    <w:rsid w:val="260521CD"/>
    <w:rsid w:val="277E556B"/>
    <w:rsid w:val="27C911C7"/>
    <w:rsid w:val="281D6FED"/>
    <w:rsid w:val="28F768DD"/>
    <w:rsid w:val="290B3B4B"/>
    <w:rsid w:val="290F7DB9"/>
    <w:rsid w:val="2A5C3EC0"/>
    <w:rsid w:val="2C2456E5"/>
    <w:rsid w:val="2DFE40B2"/>
    <w:rsid w:val="2E7778D9"/>
    <w:rsid w:val="2FCA63A8"/>
    <w:rsid w:val="300767A6"/>
    <w:rsid w:val="30B704E3"/>
    <w:rsid w:val="30F65DDC"/>
    <w:rsid w:val="30FB677F"/>
    <w:rsid w:val="31093A43"/>
    <w:rsid w:val="31C47599"/>
    <w:rsid w:val="33CF54B0"/>
    <w:rsid w:val="340C5D79"/>
    <w:rsid w:val="34177E59"/>
    <w:rsid w:val="3435468C"/>
    <w:rsid w:val="34733308"/>
    <w:rsid w:val="34B673FF"/>
    <w:rsid w:val="35385A67"/>
    <w:rsid w:val="35CA2259"/>
    <w:rsid w:val="366F3880"/>
    <w:rsid w:val="36BE5512"/>
    <w:rsid w:val="378E730F"/>
    <w:rsid w:val="37DC3541"/>
    <w:rsid w:val="38CC74B5"/>
    <w:rsid w:val="394F2B51"/>
    <w:rsid w:val="39876F2F"/>
    <w:rsid w:val="3AE8213E"/>
    <w:rsid w:val="3C5C4F7F"/>
    <w:rsid w:val="3CA34D51"/>
    <w:rsid w:val="3DA66CA7"/>
    <w:rsid w:val="3E024BFC"/>
    <w:rsid w:val="40224318"/>
    <w:rsid w:val="41030369"/>
    <w:rsid w:val="414B0113"/>
    <w:rsid w:val="42B52755"/>
    <w:rsid w:val="42BA5EB9"/>
    <w:rsid w:val="43CD35C1"/>
    <w:rsid w:val="45D759ED"/>
    <w:rsid w:val="46707227"/>
    <w:rsid w:val="468C463F"/>
    <w:rsid w:val="46C82A77"/>
    <w:rsid w:val="46E53B42"/>
    <w:rsid w:val="485E1720"/>
    <w:rsid w:val="486B6028"/>
    <w:rsid w:val="4A786A3B"/>
    <w:rsid w:val="4B1021AB"/>
    <w:rsid w:val="4B443ED1"/>
    <w:rsid w:val="4B5749AE"/>
    <w:rsid w:val="4B8E539A"/>
    <w:rsid w:val="4BC109F5"/>
    <w:rsid w:val="4BF272A0"/>
    <w:rsid w:val="4CAE358F"/>
    <w:rsid w:val="4CBD191B"/>
    <w:rsid w:val="4D224771"/>
    <w:rsid w:val="4D386FE4"/>
    <w:rsid w:val="4D6F7908"/>
    <w:rsid w:val="4DA51E40"/>
    <w:rsid w:val="4DAA09DE"/>
    <w:rsid w:val="4ED967AE"/>
    <w:rsid w:val="504C2333"/>
    <w:rsid w:val="50C545F0"/>
    <w:rsid w:val="521875A5"/>
    <w:rsid w:val="52C6306B"/>
    <w:rsid w:val="532719E3"/>
    <w:rsid w:val="543267E4"/>
    <w:rsid w:val="54BF1CD6"/>
    <w:rsid w:val="54C36DCD"/>
    <w:rsid w:val="55611C97"/>
    <w:rsid w:val="57AA7C7B"/>
    <w:rsid w:val="57B513B0"/>
    <w:rsid w:val="5893356B"/>
    <w:rsid w:val="591372F0"/>
    <w:rsid w:val="59B175AC"/>
    <w:rsid w:val="59EA37E2"/>
    <w:rsid w:val="5A8D6E37"/>
    <w:rsid w:val="5B59630D"/>
    <w:rsid w:val="5C6E3C3B"/>
    <w:rsid w:val="5DB74CFD"/>
    <w:rsid w:val="5E67214A"/>
    <w:rsid w:val="5E7101F5"/>
    <w:rsid w:val="5FE07373"/>
    <w:rsid w:val="5FE348DA"/>
    <w:rsid w:val="60862342"/>
    <w:rsid w:val="61E52839"/>
    <w:rsid w:val="65941E71"/>
    <w:rsid w:val="67B558B5"/>
    <w:rsid w:val="68962312"/>
    <w:rsid w:val="69287C5F"/>
    <w:rsid w:val="6B4D36C5"/>
    <w:rsid w:val="6BF458D0"/>
    <w:rsid w:val="6C012268"/>
    <w:rsid w:val="6C651F9D"/>
    <w:rsid w:val="6CEC2D5F"/>
    <w:rsid w:val="6D0B3969"/>
    <w:rsid w:val="6D20722A"/>
    <w:rsid w:val="6D9E507A"/>
    <w:rsid w:val="6E463D5F"/>
    <w:rsid w:val="6F0C13CA"/>
    <w:rsid w:val="700F6029"/>
    <w:rsid w:val="70CC2261"/>
    <w:rsid w:val="72727A76"/>
    <w:rsid w:val="732948C4"/>
    <w:rsid w:val="738F49E4"/>
    <w:rsid w:val="73A222FA"/>
    <w:rsid w:val="74BC2CC3"/>
    <w:rsid w:val="752D1A8C"/>
    <w:rsid w:val="756C6424"/>
    <w:rsid w:val="76F9286A"/>
    <w:rsid w:val="77D90FE4"/>
    <w:rsid w:val="7806646C"/>
    <w:rsid w:val="78270CAD"/>
    <w:rsid w:val="783E0FBE"/>
    <w:rsid w:val="78D808E4"/>
    <w:rsid w:val="79424EBA"/>
    <w:rsid w:val="7A2B6CEE"/>
    <w:rsid w:val="7B032D09"/>
    <w:rsid w:val="7C29799F"/>
    <w:rsid w:val="7D0A5628"/>
    <w:rsid w:val="7D0F5E51"/>
    <w:rsid w:val="7D4060DF"/>
    <w:rsid w:val="7E9017EC"/>
    <w:rsid w:val="7FC1703F"/>
    <w:rsid w:val="7FFB060D"/>
    <w:rsid w:val="7FFB6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微软雅黑" w:cs="Times New Roman"/>
      <w:kern w:val="2"/>
      <w:sz w:val="21"/>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Plain Text"/>
    <w:basedOn w:val="1"/>
    <w:uiPriority w:val="0"/>
    <w:rPr>
      <w:rFonts w:ascii="仿宋_GB2312" w:hAnsi="Courier New" w:eastAsia="仿宋_GB2312"/>
      <w:sz w:val="32"/>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20"/>
      <w:lang w:val="zh-CN"/>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character" w:styleId="12">
    <w:name w:val="Strong"/>
    <w:qFormat/>
    <w:uiPriority w:val="99"/>
    <w:rPr>
      <w:rFonts w:cs="Times New Roman"/>
      <w:b/>
    </w:rPr>
  </w:style>
  <w:style w:type="character" w:customStyle="1" w:styleId="13">
    <w:name w:val="标题 1 字符"/>
    <w:link w:val="2"/>
    <w:qFormat/>
    <w:locked/>
    <w:uiPriority w:val="9"/>
    <w:rPr>
      <w:b/>
      <w:bCs/>
      <w:kern w:val="44"/>
      <w:sz w:val="44"/>
      <w:szCs w:val="44"/>
    </w:rPr>
  </w:style>
  <w:style w:type="character" w:customStyle="1" w:styleId="14">
    <w:name w:val="标题 2 字符"/>
    <w:link w:val="3"/>
    <w:qFormat/>
    <w:locked/>
    <w:uiPriority w:val="9"/>
    <w:rPr>
      <w:rFonts w:ascii="Cambria" w:hAnsi="Cambria"/>
      <w:b/>
      <w:bCs/>
      <w:sz w:val="32"/>
      <w:szCs w:val="32"/>
    </w:rPr>
  </w:style>
  <w:style w:type="paragraph" w:customStyle="1" w:styleId="15">
    <w:name w:val="列出段落1"/>
    <w:basedOn w:val="1"/>
    <w:qFormat/>
    <w:uiPriority w:val="34"/>
    <w:pPr>
      <w:ind w:firstLine="420" w:firstLineChars="200"/>
    </w:pPr>
  </w:style>
  <w:style w:type="paragraph" w:customStyle="1" w:styleId="1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收、支决算总计变动情况图（单位：万元）</a:t>
            </a:r>
            <a:endParaRPr lang="zh-CN" altLang="en-US"/>
          </a:p>
        </c:rich>
      </c:tx>
      <c:layout>
        <c:manualLayout>
          <c:xMode val="edge"/>
          <c:yMode val="edge"/>
          <c:x val="0.176125"/>
          <c:y val="0.0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3218.44</c:v>
                </c:pt>
                <c:pt idx="1">
                  <c:v>3178.67</c:v>
                </c:pt>
              </c:numCache>
            </c:numRef>
          </c:val>
        </c:ser>
        <c:dLbls>
          <c:showLegendKey val="0"/>
          <c:showVal val="1"/>
          <c:showCatName val="0"/>
          <c:showSerName val="0"/>
          <c:showPercent val="0"/>
          <c:showBubbleSize val="0"/>
        </c:dLbls>
        <c:gapWidth val="219"/>
        <c:overlap val="-27"/>
        <c:axId val="226002900"/>
        <c:axId val="704112325"/>
      </c:barChart>
      <c:catAx>
        <c:axId val="2260029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4112325"/>
        <c:crosses val="autoZero"/>
        <c:auto val="1"/>
        <c:lblAlgn val="ctr"/>
        <c:lblOffset val="100"/>
        <c:noMultiLvlLbl val="0"/>
      </c:catAx>
      <c:valAx>
        <c:axId val="70411232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0029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收入决算结构图（单位：万元）</a:t>
            </a:r>
            <a:endParaRPr lang="zh-CN" altLang="en-US"/>
          </a:p>
        </c:rich>
      </c:tx>
      <c:layout>
        <c:manualLayout>
          <c:xMode val="edge"/>
          <c:yMode val="edge"/>
          <c:x val="0.281125"/>
          <c:y val="0.0225"/>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一般公共预算财政拨款收入</c:v>
                </c:pt>
                <c:pt idx="1">
                  <c:v>政府性基金预算财政拨款收入</c:v>
                </c:pt>
                <c:pt idx="2">
                  <c:v>其他收入</c:v>
                </c:pt>
              </c:strCache>
            </c:strRef>
          </c:cat>
          <c:val>
            <c:numRef>
              <c:f>Sheet1!$B$2:$B$4</c:f>
              <c:numCache>
                <c:formatCode>General</c:formatCode>
                <c:ptCount val="3"/>
                <c:pt idx="0">
                  <c:v>969.62</c:v>
                </c:pt>
                <c:pt idx="1">
                  <c:v>200.38</c:v>
                </c:pt>
                <c:pt idx="2">
                  <c:v>0.96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742.6</c:v>
                </c:pt>
                <c:pt idx="1">
                  <c:v>1265.11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财政拨款收、支决算总计变动情况图（单位：万元）</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财政拨款收、支决算总计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3206.65</c:v>
                </c:pt>
                <c:pt idx="1">
                  <c:v>3176.73</c:v>
                </c:pt>
              </c:numCache>
            </c:numRef>
          </c:val>
        </c:ser>
        <c:dLbls>
          <c:showLegendKey val="0"/>
          <c:showVal val="0"/>
          <c:showCatName val="0"/>
          <c:showSerName val="0"/>
          <c:showPercent val="0"/>
          <c:showBubbleSize val="0"/>
        </c:dLbls>
        <c:gapWidth val="219"/>
        <c:overlap val="-27"/>
        <c:axId val="662705587"/>
        <c:axId val="37205979"/>
      </c:barChart>
      <c:catAx>
        <c:axId val="6627055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05979"/>
        <c:crosses val="autoZero"/>
        <c:auto val="1"/>
        <c:lblAlgn val="ctr"/>
        <c:lblOffset val="100"/>
        <c:noMultiLvlLbl val="0"/>
      </c:catAx>
      <c:valAx>
        <c:axId val="372059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270558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           （单位：万元）</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1237.19</c:v>
                </c:pt>
                <c:pt idx="1">
                  <c:v>1351.97</c:v>
                </c:pt>
              </c:numCache>
            </c:numRef>
          </c:val>
        </c:ser>
        <c:dLbls>
          <c:showLegendKey val="0"/>
          <c:showVal val="1"/>
          <c:showCatName val="0"/>
          <c:showSerName val="0"/>
          <c:showPercent val="0"/>
          <c:showBubbleSize val="0"/>
        </c:dLbls>
        <c:gapWidth val="219"/>
        <c:overlap val="-27"/>
        <c:axId val="212199340"/>
        <c:axId val="749075865"/>
      </c:barChart>
      <c:catAx>
        <c:axId val="2121993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9075865"/>
        <c:crosses val="autoZero"/>
        <c:auto val="1"/>
        <c:lblAlgn val="ctr"/>
        <c:lblOffset val="100"/>
        <c:noMultiLvlLbl val="0"/>
      </c:catAx>
      <c:valAx>
        <c:axId val="74907586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21993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一般公共预算财政拨款支出决算结构图               （单位：万元）</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2"/>
              <c:layout>
                <c:manualLayout>
                  <c:x val="-0.0365984722034381"/>
                  <c:y val="0.0060499796976715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一般公共服务</c:v>
                </c:pt>
                <c:pt idx="1">
                  <c:v>社会保障和就业</c:v>
                </c:pt>
                <c:pt idx="2">
                  <c:v>住房保障</c:v>
                </c:pt>
              </c:strCache>
            </c:strRef>
          </c:cat>
          <c:val>
            <c:numRef>
              <c:f>Sheet1!$B$2:$B$4</c:f>
              <c:numCache>
                <c:formatCode>General</c:formatCode>
                <c:ptCount val="3"/>
                <c:pt idx="0">
                  <c:v>4.47</c:v>
                </c:pt>
                <c:pt idx="1">
                  <c:v>1298.33</c:v>
                </c:pt>
                <c:pt idx="2">
                  <c:v>49.17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“三公”经费财政拨款支出结构图（单位：万元）</a:t>
            </a:r>
            <a:endParaRPr lang="zh-CN" altLang="en-US"/>
          </a:p>
        </c:rich>
      </c:tx>
      <c:layout>
        <c:manualLayout>
          <c:xMode val="edge"/>
          <c:yMode val="edge"/>
          <c:x val="0.172375"/>
          <c:y val="0.0175"/>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6.13</c:v>
                </c:pt>
                <c:pt idx="1">
                  <c:v>0.86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3364</Words>
  <Characters>19178</Characters>
  <Lines>159</Lines>
  <Paragraphs>44</Paragraphs>
  <TotalTime>2</TotalTime>
  <ScaleCrop>false</ScaleCrop>
  <LinksUpToDate>false</LinksUpToDate>
  <CharactersWithSpaces>22498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2021-10-15T01:52:00Z</dcterms:created>
  <dc:creator>Administrator</dc:creator>
  <cp:lastModifiedBy>7、</cp:lastModifiedBy>
  <dcterms:modified xsi:type="dcterms:W3CDTF">2021-10-15T02:23:34Z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8B30B084CF234417BE8DAB2EC891A2AA</vt:lpwstr>
  </property>
</Properties>
</file>