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8441"/>
      <w:bookmarkStart w:id="2" w:name="_Toc15396475"/>
      <w:bookmarkStart w:id="3" w:name="_Toc15377193"/>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8442"/>
      <w:bookmarkStart w:id="8" w:name="_Toc15396598"/>
      <w:bookmarkStart w:id="9" w:name="_Toc15377194"/>
      <w:bookmarkStart w:id="10" w:name="_Toc15396476"/>
      <w:r>
        <w:rPr>
          <w:rFonts w:hint="eastAsia" w:ascii="方正小标宋简体" w:hAnsi="方正小标宋简体" w:eastAsia="方正小标宋简体" w:cs="方正小标宋简体"/>
          <w:sz w:val="72"/>
          <w:szCs w:val="72"/>
        </w:rPr>
        <w:t>四川省</w:t>
      </w:r>
      <w:bookmarkEnd w:id="5"/>
      <w:bookmarkStart w:id="11" w:name="_Toc15306268"/>
      <w:r>
        <w:rPr>
          <w:rFonts w:hint="eastAsia" w:ascii="方正小标宋简体" w:hAnsi="方正小标宋简体" w:eastAsia="方正小标宋简体" w:cs="方正小标宋简体"/>
          <w:sz w:val="72"/>
          <w:szCs w:val="72"/>
        </w:rPr>
        <w:t>攀枝花市民政局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公开时间：2022年9月14日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2"/>
        <w:adjustRightInd w:val="0"/>
        <w:snapToGrid w:val="0"/>
        <w:spacing w:line="440" w:lineRule="exact"/>
        <w:jc w:val="left"/>
        <w:rPr>
          <w:rFonts w:ascii="仿宋" w:hAnsi="仿宋"/>
          <w:sz w:val="24"/>
        </w:rPr>
      </w:pPr>
      <w:r>
        <w:rPr>
          <w:rFonts w:hint="eastAsia"/>
          <w:sz w:val="24"/>
        </w:rPr>
        <w:t>一、基本职能及主要工作--------------------------------------------------------------4</w:t>
      </w:r>
    </w:p>
    <w:p>
      <w:pPr>
        <w:pStyle w:val="12"/>
        <w:adjustRightInd w:val="0"/>
        <w:snapToGrid w:val="0"/>
        <w:spacing w:line="440" w:lineRule="exact"/>
        <w:jc w:val="left"/>
        <w:rPr>
          <w:rFonts w:ascii="仿宋" w:hAnsi="仿宋" w:eastAsia="仿宋" w:cstheme="minorBidi"/>
          <w:sz w:val="24"/>
        </w:rPr>
      </w:pPr>
      <w:r>
        <w:rPr>
          <w:rFonts w:hint="eastAsia"/>
          <w:sz w:val="24"/>
        </w:rPr>
        <w:t>二、机构设置-----------------------------------------------------------------------------7</w:t>
      </w:r>
    </w:p>
    <w:p>
      <w:pPr>
        <w:pStyle w:val="11"/>
        <w:tabs>
          <w:tab w:val="right" w:leader="dot" w:pos="8080"/>
          <w:tab w:val="clear" w:pos="8296"/>
        </w:tabs>
        <w:adjustRightInd w:val="0"/>
        <w:snapToGrid w:val="0"/>
        <w:spacing w:before="0" w:line="440" w:lineRule="exact"/>
        <w:jc w:val="left"/>
        <w:rPr>
          <w:sz w:val="24"/>
          <w:szCs w:val="24"/>
        </w:rPr>
      </w:pPr>
      <w:r>
        <w:rPr>
          <w:rFonts w:hint="eastAsia"/>
          <w:sz w:val="24"/>
        </w:rPr>
        <w:t>第二部分 2021年度部门决算情况说明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一、收入支出决算总体情况说明-----------------------------------------------------9</w:t>
      </w:r>
    </w:p>
    <w:p>
      <w:pPr>
        <w:pStyle w:val="12"/>
        <w:tabs>
          <w:tab w:val="right" w:leader="dot" w:pos="8080"/>
          <w:tab w:val="clear" w:pos="8296"/>
        </w:tabs>
        <w:adjustRightInd w:val="0"/>
        <w:snapToGrid w:val="0"/>
        <w:spacing w:line="440" w:lineRule="exact"/>
        <w:jc w:val="left"/>
        <w:rPr>
          <w:rFonts w:ascii="仿宋" w:hAnsi="仿宋" w:eastAsia="仿宋" w:cstheme="minorBidi"/>
          <w:sz w:val="24"/>
        </w:rPr>
      </w:pPr>
      <w:r>
        <w:rPr>
          <w:rFonts w:hint="eastAsia"/>
          <w:sz w:val="24"/>
        </w:rPr>
        <w:t>二、收入决算情况说明-----------------------------------------------------------------9</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三、支出决算情况说明----------------------------------------------------------------10</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四、财政拨款收入支出决算总体情况说明----------------------------------------10</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五、一般公共预算财政拨款支出决算情况说明----------------------------------11</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六、一般公共预算财政拨款基本支出决算情况说明----------------------------14</w:t>
      </w:r>
    </w:p>
    <w:p>
      <w:pPr>
        <w:pStyle w:val="12"/>
        <w:tabs>
          <w:tab w:val="clear" w:pos="8296"/>
        </w:tabs>
        <w:adjustRightInd w:val="0"/>
        <w:snapToGrid w:val="0"/>
        <w:spacing w:line="440" w:lineRule="exact"/>
        <w:ind w:right="225" w:rightChars="107"/>
        <w:jc w:val="left"/>
        <w:rPr>
          <w:rFonts w:ascii="仿宋" w:hAnsi="仿宋" w:eastAsia="仿宋" w:cstheme="minorBidi"/>
          <w:sz w:val="24"/>
        </w:rPr>
      </w:pPr>
      <w:r>
        <w:rPr>
          <w:rFonts w:hint="eastAsia"/>
          <w:sz w:val="24"/>
        </w:rPr>
        <w:t>七、“三公”经费财政拨款支出决算情况说明------------------------------------15</w:t>
      </w:r>
    </w:p>
    <w:p>
      <w:pPr>
        <w:pStyle w:val="12"/>
        <w:tabs>
          <w:tab w:val="right" w:leader="dot" w:pos="8080"/>
          <w:tab w:val="clear" w:pos="8296"/>
        </w:tabs>
        <w:adjustRightInd w:val="0"/>
        <w:snapToGrid w:val="0"/>
        <w:spacing w:line="440" w:lineRule="exact"/>
        <w:ind w:right="-57" w:rightChars="-27"/>
        <w:jc w:val="left"/>
        <w:rPr>
          <w:rFonts w:ascii="仿宋" w:hAnsi="仿宋" w:eastAsia="仿宋" w:cstheme="minorBidi"/>
          <w:sz w:val="24"/>
        </w:rPr>
      </w:pPr>
      <w:r>
        <w:rPr>
          <w:rFonts w:hint="eastAsia"/>
          <w:sz w:val="24"/>
        </w:rPr>
        <w:t>八、政府性基金预算支出决算情况说明-------------------------------------------17</w:t>
      </w:r>
    </w:p>
    <w:p>
      <w:pPr>
        <w:pStyle w:val="12"/>
        <w:tabs>
          <w:tab w:val="right" w:leader="dot" w:pos="8080"/>
          <w:tab w:val="clear" w:pos="8296"/>
        </w:tabs>
        <w:adjustRightInd w:val="0"/>
        <w:snapToGrid w:val="0"/>
        <w:spacing w:line="440" w:lineRule="exact"/>
        <w:ind w:leftChars="0" w:right="84" w:rightChars="4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r>
        <w:rPr>
          <w:rFonts w:hint="eastAsia"/>
          <w:sz w:val="24"/>
        </w:rPr>
        <w:t>----------------------------------------17</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6"/>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sz w:val="24"/>
        </w:rPr>
        <w:t>-------------------------------------------------------18</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名词解释-------------------------------------------------20</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附件-----------------------------------------------------23</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二、收入决算表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五、财政拨款支出决算明细表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六、一般公共预算财政拨款支出决算表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七、一般公共预算财政拨款支出决算明细表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八、一般公共预算财政拨款基本支出决算表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十、一般公共预算财政拨款“三公”经费支出决算表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十一、政府性基金预算财政拨款收入支出决算表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十二、政府性基金预算财政拨款“三公”经费支出决算表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十三、国有资本经营预算财政拨款收入支出决算表</w:t>
      </w:r>
      <w:r>
        <w:rPr>
          <w:rFonts w:hint="eastAsia"/>
          <w:sz w:val="24"/>
        </w:rPr>
        <w:t>--------------------------49</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十四、国有资本经营预算财政拨款支出决算表</w:t>
      </w:r>
      <w:r>
        <w:rPr>
          <w:rFonts w:hint="eastAsia"/>
          <w:sz w:val="24"/>
        </w:rPr>
        <w:t>--------------------------------49</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spacing w:line="580" w:lineRule="exact"/>
        <w:rPr>
          <w:rFonts w:ascii="黑体" w:hAnsi="黑体" w:eastAsia="黑体" w:cs="黑体"/>
          <w:sz w:val="32"/>
          <w:szCs w:val="32"/>
        </w:rPr>
      </w:pPr>
      <w:bookmarkStart w:id="14" w:name="_Toc15377197"/>
      <w:bookmarkStart w:id="15" w:name="_Toc15396600"/>
      <w:r>
        <w:rPr>
          <w:rFonts w:hint="eastAsia" w:ascii="黑体" w:hAnsi="黑体" w:eastAsia="黑体" w:cs="黑体"/>
          <w:sz w:val="32"/>
          <w:szCs w:val="32"/>
        </w:rPr>
        <w:t>一、基本职能及主要工作</w:t>
      </w:r>
      <w:bookmarkEnd w:id="14"/>
      <w:bookmarkEnd w:id="15"/>
      <w:bookmarkStart w:id="16" w:name="_Toc15378445"/>
      <w:bookmarkStart w:id="17" w:name="_Toc15377198"/>
    </w:p>
    <w:p>
      <w:pPr>
        <w:spacing w:line="580" w:lineRule="exact"/>
        <w:ind w:firstLine="640" w:firstLineChars="200"/>
        <w:rPr>
          <w:rFonts w:ascii="仿宋" w:hAnsi="仿宋" w:eastAsia="仿宋"/>
          <w:sz w:val="32"/>
          <w:szCs w:val="32"/>
        </w:rPr>
      </w:pPr>
      <w:r>
        <w:rPr>
          <w:rFonts w:hint="eastAsia" w:ascii="仿宋" w:hAnsi="仿宋" w:eastAsia="仿宋"/>
          <w:sz w:val="32"/>
          <w:szCs w:val="32"/>
        </w:rPr>
        <w:t>（一）主要职能</w:t>
      </w:r>
      <w:bookmarkEnd w:id="16"/>
      <w:bookmarkEnd w:id="17"/>
    </w:p>
    <w:p>
      <w:pPr>
        <w:spacing w:line="580" w:lineRule="exact"/>
        <w:ind w:firstLine="640" w:firstLineChars="200"/>
        <w:rPr>
          <w:rFonts w:eastAsia="仿宋_GB2312"/>
          <w:sz w:val="32"/>
          <w:szCs w:val="32"/>
        </w:rPr>
      </w:pPr>
      <w:r>
        <w:rPr>
          <w:rFonts w:eastAsia="仿宋_GB2312"/>
          <w:sz w:val="32"/>
          <w:szCs w:val="32"/>
        </w:rPr>
        <w:t xml:space="preserve">1.贯彻执行党和国家有关民政工作的方针政策和法律法规，拟订全市民政事业发展规划、政策、标准并组织实施。 </w:t>
      </w:r>
    </w:p>
    <w:p>
      <w:pPr>
        <w:spacing w:line="580" w:lineRule="exact"/>
        <w:ind w:firstLine="640" w:firstLineChars="200"/>
        <w:rPr>
          <w:rFonts w:eastAsia="仿宋_GB2312"/>
          <w:sz w:val="32"/>
          <w:szCs w:val="32"/>
        </w:rPr>
      </w:pPr>
      <w:r>
        <w:rPr>
          <w:rFonts w:eastAsia="仿宋_GB2312"/>
          <w:sz w:val="32"/>
          <w:szCs w:val="32"/>
        </w:rPr>
        <w:t xml:space="preserve">2.拟订社会团体、社会服务机构等社会组织登记和监督管理办法并组织实施，按照管理权限依法对社会组织进行登记管理和执法监督。 </w:t>
      </w:r>
    </w:p>
    <w:p>
      <w:pPr>
        <w:spacing w:line="580" w:lineRule="exact"/>
        <w:ind w:firstLine="640" w:firstLineChars="200"/>
        <w:rPr>
          <w:rFonts w:eastAsia="仿宋_GB2312"/>
          <w:sz w:val="32"/>
          <w:szCs w:val="32"/>
        </w:rPr>
      </w:pPr>
      <w:r>
        <w:rPr>
          <w:rFonts w:eastAsia="仿宋_GB2312"/>
          <w:sz w:val="32"/>
          <w:szCs w:val="32"/>
        </w:rPr>
        <w:t xml:space="preserve">3.牵头拟订社会救助规划、政策、标准，统筹推进社会救助体系建设，负责城乡居民最低生活保障、特困人员救助供养、临时救助、生活无着流浪乞讨人员救助工作。 </w:t>
      </w:r>
    </w:p>
    <w:p>
      <w:pPr>
        <w:spacing w:line="580" w:lineRule="exact"/>
        <w:ind w:firstLine="640" w:firstLineChars="200"/>
        <w:rPr>
          <w:rFonts w:eastAsia="仿宋_GB2312"/>
          <w:sz w:val="32"/>
          <w:szCs w:val="32"/>
        </w:rPr>
      </w:pPr>
      <w:r>
        <w:rPr>
          <w:rFonts w:eastAsia="仿宋_GB2312"/>
          <w:sz w:val="32"/>
          <w:szCs w:val="32"/>
        </w:rPr>
        <w:t xml:space="preserve">4.拟订城乡基层群众自治建设和社区治理政策，指导城乡社区治理体系、服务体系和治理能力建设，提出加强和改进城乡基层政权建设的建议，推动基层民主政治建设。 </w:t>
      </w:r>
    </w:p>
    <w:p>
      <w:pPr>
        <w:spacing w:line="580" w:lineRule="exact"/>
        <w:ind w:firstLine="640" w:firstLineChars="200"/>
        <w:rPr>
          <w:rFonts w:eastAsia="仿宋_GB2312"/>
          <w:sz w:val="32"/>
          <w:szCs w:val="32"/>
        </w:rPr>
      </w:pPr>
      <w:r>
        <w:rPr>
          <w:rFonts w:eastAsia="仿宋_GB2312"/>
          <w:sz w:val="32"/>
          <w:szCs w:val="32"/>
        </w:rPr>
        <w:t xml:space="preserve">5.拟订行政区划管理政策和行政区域界线、地名管理办法，负责县（区）、乡（镇）行政区划设立、命名、撤销、变更和政府驻地迁移审核报批工作，组织并指导全市行政区域界线的勘定和管理工作。调处行政区域边界争议，负责全市地名管理工作。 </w:t>
      </w:r>
    </w:p>
    <w:p>
      <w:pPr>
        <w:spacing w:line="580" w:lineRule="exact"/>
        <w:ind w:firstLine="640" w:firstLineChars="200"/>
        <w:rPr>
          <w:rFonts w:eastAsia="仿宋_GB2312"/>
          <w:sz w:val="32"/>
          <w:szCs w:val="32"/>
        </w:rPr>
      </w:pPr>
      <w:r>
        <w:rPr>
          <w:rFonts w:eastAsia="仿宋_GB2312"/>
          <w:sz w:val="32"/>
          <w:szCs w:val="32"/>
        </w:rPr>
        <w:t xml:space="preserve">6.组织实施婚姻管理政策，推进婚俗改革。 </w:t>
      </w:r>
    </w:p>
    <w:p>
      <w:pPr>
        <w:spacing w:line="580" w:lineRule="exact"/>
        <w:ind w:firstLine="640" w:firstLineChars="200"/>
        <w:rPr>
          <w:rFonts w:eastAsia="仿宋_GB2312"/>
          <w:sz w:val="32"/>
          <w:szCs w:val="32"/>
        </w:rPr>
      </w:pPr>
      <w:r>
        <w:rPr>
          <w:rFonts w:eastAsia="仿宋_GB2312"/>
          <w:sz w:val="32"/>
          <w:szCs w:val="32"/>
        </w:rPr>
        <w:t xml:space="preserve">7.拟订殡葬管理政策、服务规范并组织实施，负责殡葬管理工作，推进殡葬改革。 </w:t>
      </w:r>
    </w:p>
    <w:p>
      <w:pPr>
        <w:spacing w:line="580" w:lineRule="exact"/>
        <w:ind w:firstLine="640" w:firstLineChars="200"/>
        <w:rPr>
          <w:rFonts w:eastAsia="仿宋_GB2312"/>
          <w:sz w:val="32"/>
          <w:szCs w:val="32"/>
        </w:rPr>
      </w:pPr>
      <w:r>
        <w:rPr>
          <w:rFonts w:eastAsia="仿宋_GB2312"/>
          <w:sz w:val="32"/>
          <w:szCs w:val="32"/>
        </w:rPr>
        <w:t xml:space="preserve">8.拟订社会福利事业发展规划、政策、标准，拟订社会福利机构管理办法并指导实施，拟订残疾人权益保护政策并监督实施。负责康复辅助器具行业管理，统筹推进残疾人福利制度建设和康复辅助器具产业发展。 </w:t>
      </w:r>
    </w:p>
    <w:p>
      <w:pPr>
        <w:spacing w:line="580" w:lineRule="exact"/>
        <w:ind w:firstLine="640" w:firstLineChars="200"/>
        <w:rPr>
          <w:rFonts w:eastAsia="仿宋_GB2312"/>
          <w:sz w:val="32"/>
          <w:szCs w:val="32"/>
        </w:rPr>
      </w:pPr>
      <w:r>
        <w:rPr>
          <w:rFonts w:eastAsia="仿宋_GB2312"/>
          <w:sz w:val="32"/>
          <w:szCs w:val="32"/>
        </w:rPr>
        <w:t xml:space="preserve">9.统筹推进、督促指导、监督管理养老服务工作，拟订养老服务体系建设规划、政策、标准并组织实施，承担老年人福利和特殊困难老年人救助工作，协调推进农村留守老年人关爱服务工作，承担城乡老年社会组织管理工作。 </w:t>
      </w:r>
    </w:p>
    <w:p>
      <w:pPr>
        <w:spacing w:line="580" w:lineRule="exact"/>
        <w:ind w:firstLine="640" w:firstLineChars="200"/>
        <w:rPr>
          <w:rFonts w:eastAsia="仿宋_GB2312"/>
          <w:sz w:val="32"/>
          <w:szCs w:val="32"/>
        </w:rPr>
      </w:pPr>
      <w:r>
        <w:rPr>
          <w:rFonts w:eastAsia="仿宋_GB2312"/>
          <w:sz w:val="32"/>
          <w:szCs w:val="32"/>
        </w:rPr>
        <w:t xml:space="preserve">10.拟订儿童福利、孤弃儿童保障、儿童收养、儿童救助保护政策和标准并组织实施，健全农村留守儿童关爱服务体系和困境儿童保障制度。 </w:t>
      </w:r>
    </w:p>
    <w:p>
      <w:pPr>
        <w:spacing w:line="580" w:lineRule="exact"/>
        <w:ind w:firstLine="640" w:firstLineChars="200"/>
        <w:rPr>
          <w:rFonts w:eastAsia="仿宋_GB2312"/>
          <w:sz w:val="32"/>
          <w:szCs w:val="32"/>
        </w:rPr>
      </w:pPr>
      <w:r>
        <w:rPr>
          <w:rFonts w:eastAsia="仿宋_GB2312"/>
          <w:sz w:val="32"/>
          <w:szCs w:val="32"/>
        </w:rPr>
        <w:t xml:space="preserve">11.组织拟订促进慈善事业发展政策，指导社会捐赠工作。指导福利彩票销售工作，管理本级福利彩票公益金，监督全市福利彩票公益金的管理、使用。 </w:t>
      </w:r>
    </w:p>
    <w:p>
      <w:pPr>
        <w:spacing w:line="580" w:lineRule="exact"/>
        <w:ind w:firstLine="640" w:firstLineChars="200"/>
        <w:rPr>
          <w:rFonts w:eastAsia="仿宋_GB2312"/>
          <w:sz w:val="32"/>
          <w:szCs w:val="32"/>
        </w:rPr>
      </w:pPr>
      <w:r>
        <w:rPr>
          <w:rFonts w:eastAsia="仿宋_GB2312"/>
          <w:sz w:val="32"/>
          <w:szCs w:val="32"/>
        </w:rPr>
        <w:t xml:space="preserve">12.拟订社会工作、志愿服务政策和标准，会同有关部门推进社会工作人才队伍建设和相关志愿者队伍建设。 </w:t>
      </w:r>
    </w:p>
    <w:p>
      <w:pPr>
        <w:spacing w:line="580" w:lineRule="exact"/>
        <w:ind w:firstLine="640" w:firstLineChars="200"/>
        <w:rPr>
          <w:rFonts w:eastAsia="仿宋_GB2312"/>
          <w:sz w:val="32"/>
          <w:szCs w:val="32"/>
        </w:rPr>
      </w:pPr>
      <w:r>
        <w:rPr>
          <w:rFonts w:eastAsia="仿宋_GB2312"/>
          <w:sz w:val="32"/>
          <w:szCs w:val="32"/>
        </w:rPr>
        <w:t xml:space="preserve">13.依法依规负责康复辅助器具行业和社会福利、养老服务、殡葬服务、救助管理机构安全生产监督管理工作。负责职责范围内的职业健康、生态环境保护、审批服务便民化等工作。 </w:t>
      </w:r>
    </w:p>
    <w:p>
      <w:pPr>
        <w:spacing w:line="580" w:lineRule="exact"/>
        <w:ind w:firstLine="640" w:firstLineChars="200"/>
        <w:rPr>
          <w:rFonts w:eastAsia="仿宋_GB2312"/>
          <w:sz w:val="32"/>
          <w:szCs w:val="32"/>
        </w:rPr>
      </w:pPr>
      <w:r>
        <w:rPr>
          <w:rFonts w:eastAsia="仿宋_GB2312"/>
          <w:sz w:val="32"/>
          <w:szCs w:val="32"/>
        </w:rPr>
        <w:t>14.完成市委、市政府交办的其他任务。</w:t>
      </w:r>
    </w:p>
    <w:p>
      <w:pPr>
        <w:spacing w:line="580" w:lineRule="exact"/>
        <w:ind w:firstLine="640" w:firstLineChars="200"/>
        <w:rPr>
          <w:rFonts w:ascii="楷体" w:hAnsi="楷体" w:eastAsia="楷体"/>
          <w:sz w:val="32"/>
          <w:szCs w:val="32"/>
        </w:rPr>
      </w:pPr>
      <w:bookmarkStart w:id="18" w:name="_Toc15378446"/>
      <w:bookmarkStart w:id="19" w:name="_Toc15377199"/>
      <w:r>
        <w:rPr>
          <w:rFonts w:hint="eastAsia" w:ascii="楷体" w:hAnsi="楷体" w:eastAsia="楷体"/>
          <w:sz w:val="32"/>
          <w:szCs w:val="32"/>
        </w:rPr>
        <w:t>（二）2021年重点工作完成情况</w:t>
      </w:r>
      <w:bookmarkEnd w:id="18"/>
      <w:bookmarkEnd w:id="19"/>
    </w:p>
    <w:p>
      <w:pPr>
        <w:spacing w:line="580" w:lineRule="exact"/>
        <w:ind w:firstLine="640" w:firstLineChars="200"/>
        <w:rPr>
          <w:rFonts w:eastAsia="仿宋_GB2312"/>
          <w:sz w:val="32"/>
          <w:szCs w:val="32"/>
        </w:rPr>
      </w:pPr>
      <w:r>
        <w:rPr>
          <w:rFonts w:eastAsia="仿宋_GB2312"/>
          <w:sz w:val="32"/>
          <w:szCs w:val="32"/>
        </w:rPr>
        <w:t>1.两项改革“后半篇”文章稳步推进。建立“1+3+21+22”组织架构，由党政领导班子一把手亲自带队，聚焦改革过程中重点难点问题，围绕基层治理、村级集体经济融合发展等工作深入开展专题调研，形成我市26个专项方案，将“后半篇”文章175项重点工作项目化、载体化、清单化。</w:t>
      </w:r>
    </w:p>
    <w:p>
      <w:pPr>
        <w:spacing w:line="580" w:lineRule="exact"/>
        <w:ind w:firstLine="640" w:firstLineChars="200"/>
        <w:rPr>
          <w:rFonts w:eastAsia="仿宋_GB2312"/>
          <w:sz w:val="32"/>
          <w:szCs w:val="32"/>
        </w:rPr>
      </w:pPr>
      <w:r>
        <w:rPr>
          <w:rFonts w:eastAsia="仿宋_GB2312"/>
          <w:sz w:val="32"/>
          <w:szCs w:val="32"/>
        </w:rPr>
        <w:t>2.聚焦“三个圈层”，建设川西南滇西北养老服务高地。</w:t>
      </w:r>
    </w:p>
    <w:p>
      <w:pPr>
        <w:spacing w:line="580" w:lineRule="exact"/>
        <w:ind w:firstLine="640" w:firstLineChars="200"/>
        <w:rPr>
          <w:rFonts w:eastAsia="仿宋_GB2312"/>
          <w:sz w:val="32"/>
          <w:szCs w:val="32"/>
        </w:rPr>
      </w:pPr>
      <w:r>
        <w:rPr>
          <w:rFonts w:eastAsia="仿宋_GB2312"/>
          <w:sz w:val="32"/>
          <w:szCs w:val="32"/>
        </w:rPr>
        <w:t>一是印发《攀枝花市高层次人才养老服务补贴实施细则（试行）》的通知，为来攀高层次人才父母提供居家养老上门服务和入住养老机构补贴；统筹推进养老综合体建设，加强养老服务人才培养和选拔；稳步推进康养标准贯标工作，将地方康养标准作为养老服务培训重要内容。二是利用攀枝花市康养名城的自然资源禀赋优势和领先于川西南滇西北的养老服务基础和养老服务质量，努力打造川西南滇西北区域养老服务高地。三是与重庆市大足区、长寿区签订了养老服务合作战略框架协议，推进川渝养老服务合作。</w:t>
      </w:r>
    </w:p>
    <w:p>
      <w:pPr>
        <w:spacing w:line="580" w:lineRule="exact"/>
        <w:ind w:firstLine="640" w:firstLineChars="200"/>
        <w:rPr>
          <w:rFonts w:eastAsia="仿宋_GB2312"/>
          <w:sz w:val="32"/>
          <w:szCs w:val="32"/>
        </w:rPr>
      </w:pPr>
      <w:r>
        <w:rPr>
          <w:rFonts w:eastAsia="仿宋_GB2312"/>
          <w:sz w:val="32"/>
          <w:szCs w:val="32"/>
        </w:rPr>
        <w:t>3.城乡社区治理持续向好，基层群众自治实践深化。</w:t>
      </w:r>
    </w:p>
    <w:p>
      <w:pPr>
        <w:spacing w:line="580" w:lineRule="exact"/>
        <w:ind w:firstLine="640" w:firstLineChars="200"/>
        <w:rPr>
          <w:rFonts w:eastAsia="仿宋_GB2312"/>
          <w:sz w:val="32"/>
          <w:szCs w:val="32"/>
        </w:rPr>
      </w:pPr>
      <w:r>
        <w:rPr>
          <w:rFonts w:eastAsia="仿宋_GB2312"/>
          <w:sz w:val="32"/>
          <w:szCs w:val="32"/>
        </w:rPr>
        <w:t>构建社区工作者“3岗12级”的岗位等级序列和发展体系，实行社区专职工作者报酬“岗位报酬+绩效报酬”制度。开展城乡社区治理试点，东区社区治理试点省级绩效评价为优，东华街道、民建社区和兰尖社区分别被评为2020年省级基层治理示范街道和社区。高质量完成第十一届村（居）委会换届选举，选民参选率、当选得票率为历年最高。</w:t>
      </w:r>
    </w:p>
    <w:p>
      <w:pPr>
        <w:spacing w:line="580" w:lineRule="exact"/>
        <w:ind w:firstLine="640" w:firstLineChars="200"/>
        <w:rPr>
          <w:rFonts w:eastAsia="仿宋_GB2312"/>
          <w:sz w:val="32"/>
          <w:szCs w:val="32"/>
        </w:rPr>
      </w:pPr>
      <w:r>
        <w:rPr>
          <w:rFonts w:eastAsia="仿宋_GB2312"/>
          <w:sz w:val="32"/>
          <w:szCs w:val="32"/>
        </w:rPr>
        <w:t>4.政策兜底保民生促和谐。</w:t>
      </w:r>
    </w:p>
    <w:p>
      <w:pPr>
        <w:spacing w:line="580" w:lineRule="exact"/>
        <w:ind w:firstLine="640" w:firstLineChars="200"/>
        <w:rPr>
          <w:rFonts w:eastAsia="仿宋_GB2312"/>
          <w:sz w:val="32"/>
          <w:szCs w:val="32"/>
        </w:rPr>
      </w:pPr>
      <w:r>
        <w:rPr>
          <w:rFonts w:eastAsia="仿宋_GB2312"/>
          <w:sz w:val="32"/>
          <w:szCs w:val="32"/>
        </w:rPr>
        <w:t xml:space="preserve">一是巩固拓展脱贫攻坚成果和乡村振兴有效衔接，实施全市农村低保专项治理巩固提升行动，持续巩固农村低保专项治理成果。截至10月，累计支出城乡低保9674.9万元，城乡特困供养2153.8万元；实施临时救助3153人次，累计支出331.1万元；救助流浪乞讨人员960人次，累计支出355.8万元。二是开展公益性康复辅助器具租赁服务项目。截至10月，累计为822名特殊困难群众免费办理康复辅助器具租赁服务。 </w:t>
      </w:r>
    </w:p>
    <w:p>
      <w:pPr>
        <w:spacing w:line="580" w:lineRule="exact"/>
        <w:ind w:firstLine="640" w:firstLineChars="200"/>
        <w:rPr>
          <w:rFonts w:eastAsia="仿宋_GB2312"/>
          <w:sz w:val="32"/>
          <w:szCs w:val="32"/>
        </w:rPr>
      </w:pPr>
      <w:r>
        <w:rPr>
          <w:rFonts w:eastAsia="仿宋_GB2312"/>
          <w:sz w:val="32"/>
          <w:szCs w:val="32"/>
        </w:rPr>
        <w:t>5.社会事务创新实践，更加便民利民。</w:t>
      </w:r>
    </w:p>
    <w:p>
      <w:pPr>
        <w:spacing w:line="580" w:lineRule="exact"/>
        <w:ind w:firstLine="640" w:firstLineChars="200"/>
        <w:rPr>
          <w:rFonts w:eastAsia="仿宋_GB2312"/>
          <w:sz w:val="32"/>
          <w:szCs w:val="32"/>
        </w:rPr>
      </w:pPr>
      <w:r>
        <w:rPr>
          <w:rFonts w:eastAsia="仿宋_GB2312"/>
          <w:sz w:val="32"/>
          <w:szCs w:val="32"/>
        </w:rPr>
        <w:t>一是深入推进惠民殡葬工作，倡导殡葬祭祀移风易俗。扩大惠民殡葬保障对象范围，实现群众办理火化和申领补助一步到位。攀枝花公众祭祀网和微信小程序正式上线投入使用，“云端祭祀”得到推广。二是推进“互联网+民政”便民服务。民政领域婚姻登记、民政救助补贴等“全市通办”、“省内通办”“跨省通办”试点工作有序推进。</w:t>
      </w:r>
    </w:p>
    <w:p>
      <w:pPr>
        <w:pStyle w:val="2"/>
        <w:spacing w:before="0" w:after="0" w:line="580" w:lineRule="exact"/>
        <w:rPr>
          <w:rStyle w:val="26"/>
          <w:b w:val="0"/>
          <w:bCs w:val="0"/>
        </w:rPr>
      </w:pPr>
      <w:bookmarkStart w:id="20" w:name="_Toc15396601"/>
      <w:bookmarkStart w:id="21" w:name="_Toc15377200"/>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spacing w:line="580" w:lineRule="exact"/>
        <w:ind w:firstLine="640" w:firstLineChars="200"/>
        <w:rPr>
          <w:rFonts w:ascii="仿宋" w:hAnsi="仿宋" w:eastAsia="仿宋"/>
          <w:sz w:val="32"/>
          <w:szCs w:val="32"/>
        </w:rPr>
      </w:pPr>
      <w:r>
        <w:rPr>
          <w:rFonts w:hint="eastAsia" w:ascii="仿宋" w:hAnsi="仿宋" w:eastAsia="仿宋"/>
          <w:sz w:val="32"/>
          <w:szCs w:val="32"/>
        </w:rPr>
        <w:t>攀枝花市民政局下属二级单位5个，其中行政单位0个，参照公务员法管理的事业单位0个，其他事业单位5个。</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纳入攀枝花市民政局2021年度部门决算编制范围的二级预算单位包括：</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1.攀枝花市社会福利院</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2.攀枝花市儿童福利院</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3.攀枝花市救助站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4.攀枝花市殡葬服务中心</w:t>
      </w:r>
    </w:p>
    <w:p>
      <w:pPr>
        <w:pStyle w:val="3"/>
        <w:ind w:right="440"/>
        <w:jc w:val="center"/>
        <w:rPr>
          <w:rStyle w:val="25"/>
          <w:rFonts w:ascii="黑体" w:hAnsi="黑体" w:eastAsia="黑体"/>
          <w:b w:val="0"/>
          <w:bCs/>
        </w:rPr>
      </w:pPr>
      <w:bookmarkStart w:id="22" w:name="_Toc15396602"/>
      <w:bookmarkStart w:id="23" w:name="_Toc15377204"/>
      <w:r>
        <w:rPr>
          <w:rFonts w:hint="eastAsia" w:ascii="黑体" w:hAnsi="黑体" w:eastAsia="黑体"/>
          <w:b w:val="0"/>
        </w:rPr>
        <w:t>第二部分 2021年度</w:t>
      </w:r>
      <w:r>
        <w:rPr>
          <w:rStyle w:val="25"/>
          <w:rFonts w:hint="eastAsia" w:ascii="黑体" w:hAnsi="黑体" w:eastAsia="黑体"/>
          <w:b w:val="0"/>
          <w:bCs/>
        </w:rPr>
        <w:t>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eastAsia="仿宋_GB2312"/>
          <w:sz w:val="32"/>
          <w:szCs w:val="32"/>
        </w:rPr>
      </w:pPr>
      <w:r>
        <w:rPr>
          <w:rFonts w:eastAsia="仿宋_GB2312"/>
          <w:sz w:val="32"/>
          <w:szCs w:val="32"/>
        </w:rPr>
        <w:t>2021年度收、支总计8021.89万元，</w:t>
      </w:r>
      <w:r>
        <w:rPr>
          <w:rFonts w:eastAsia="仿宋_GB2312"/>
          <w:color w:val="000000"/>
          <w:sz w:val="32"/>
          <w:szCs w:val="32"/>
        </w:rPr>
        <w:t>年初结转结余690.69万元，与2020年相比，收入减少524.53万元，下降13%；支出</w:t>
      </w:r>
      <w:r>
        <w:rPr>
          <w:rFonts w:hint="eastAsia" w:eastAsia="仿宋_GB2312"/>
          <w:color w:val="000000"/>
          <w:sz w:val="32"/>
          <w:szCs w:val="32"/>
        </w:rPr>
        <w:t>增加</w:t>
      </w:r>
      <w:r>
        <w:rPr>
          <w:rFonts w:eastAsia="仿宋_GB2312"/>
          <w:color w:val="000000"/>
          <w:sz w:val="32"/>
          <w:szCs w:val="32"/>
        </w:rPr>
        <w:t>1082.69万元，增加20%。</w:t>
      </w:r>
      <w:r>
        <w:rPr>
          <w:rFonts w:eastAsia="仿宋_GB2312"/>
          <w:sz w:val="32"/>
          <w:szCs w:val="32"/>
        </w:rPr>
        <w:t>主要变动原因是2021年项目收入和年初项目结转结余减少。</w:t>
      </w:r>
    </w:p>
    <w:p>
      <w:pPr>
        <w:pStyle w:val="5"/>
        <w:spacing w:before="93"/>
        <w:rPr>
          <w:sz w:val="32"/>
          <w:szCs w:val="32"/>
        </w:rPr>
      </w:pPr>
      <w:r>
        <w:rPr>
          <w:rFonts w:hint="eastAsia"/>
          <w:sz w:val="32"/>
          <w:szCs w:val="32"/>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eastAsia="仿宋_GB2312"/>
          <w:sz w:val="32"/>
          <w:szCs w:val="32"/>
        </w:rPr>
      </w:pPr>
      <w:r>
        <w:rPr>
          <w:rFonts w:eastAsia="仿宋_GB2312"/>
          <w:sz w:val="32"/>
          <w:szCs w:val="32"/>
        </w:rPr>
        <w:t>2021年本年收入合计3698.63万元，其中：一般公共预算财政拨款收入3554.41万元，占96.1%；政府性基金预算财政拨款收入120.86万元，占3.27%；其他收入23.37万元，占0.63%。</w:t>
      </w:r>
    </w:p>
    <w:p>
      <w:pPr>
        <w:pStyle w:val="5"/>
        <w:spacing w:before="93"/>
        <w:rPr>
          <w:sz w:val="32"/>
          <w:szCs w:val="32"/>
        </w:rPr>
      </w:pPr>
      <w:r>
        <w:rPr>
          <w:rFonts w:hint="eastAsia" w:ascii="仿宋" w:hAnsi="仿宋" w:eastAsia="仿宋"/>
          <w:sz w:val="32"/>
          <w:szCs w:val="32"/>
        </w:rPr>
        <w:drawing>
          <wp:inline distT="0" distB="0" distL="114300" distR="114300">
            <wp:extent cx="5080000" cy="3343910"/>
            <wp:effectExtent l="4445" t="4445" r="20955"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eastAsia="仿宋_GB2312"/>
          <w:sz w:val="32"/>
          <w:szCs w:val="32"/>
        </w:rPr>
      </w:pPr>
      <w:r>
        <w:rPr>
          <w:rFonts w:eastAsia="仿宋_GB2312"/>
          <w:sz w:val="32"/>
          <w:szCs w:val="32"/>
        </w:rPr>
        <w:t>2021年本年支出合计4323.26万元，其中：基本支出2471.67万元，占57.17%；项目支出1851.59万元，占42.83%。</w:t>
      </w:r>
    </w:p>
    <w:p>
      <w:pPr>
        <w:spacing w:line="600" w:lineRule="exact"/>
        <w:ind w:firstLine="640" w:firstLineChars="200"/>
        <w:rPr>
          <w:rFonts w:ascii="仿宋" w:hAnsi="仿宋" w:eastAsia="仿宋"/>
          <w:sz w:val="32"/>
          <w:szCs w:val="32"/>
        </w:rPr>
      </w:pPr>
      <w:r>
        <w:rPr>
          <w:rFonts w:hint="eastAsia" w:ascii="仿宋_GB2312" w:eastAsia="仿宋_GB2312"/>
          <w:sz w:val="32"/>
          <w:szCs w:val="32"/>
        </w:rPr>
        <w:drawing>
          <wp:anchor distT="0" distB="0" distL="114300" distR="114300" simplePos="0" relativeHeight="251658240" behindDoc="1" locked="0" layoutInCell="1" allowOverlap="1">
            <wp:simplePos x="0" y="0"/>
            <wp:positionH relativeFrom="column">
              <wp:posOffset>4445</wp:posOffset>
            </wp:positionH>
            <wp:positionV relativeFrom="paragraph">
              <wp:posOffset>166370</wp:posOffset>
            </wp:positionV>
            <wp:extent cx="5080000" cy="3029585"/>
            <wp:effectExtent l="4445" t="4445" r="20955" b="1397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_GB2312" w:eastAsia="仿宋_GB2312"/>
          <w:sz w:val="32"/>
          <w:szCs w:val="32"/>
        </w:rPr>
      </w:pPr>
    </w:p>
    <w:p>
      <w:pPr>
        <w:spacing w:line="600" w:lineRule="exact"/>
        <w:ind w:firstLine="640" w:firstLineChars="200"/>
        <w:outlineLvl w:val="1"/>
        <w:rPr>
          <w:rFonts w:ascii="黑体" w:hAnsi="黑体" w:eastAsia="黑体"/>
          <w:sz w:val="32"/>
          <w:szCs w:val="32"/>
        </w:rPr>
      </w:pPr>
      <w:bookmarkStart w:id="30" w:name="_Toc15396606"/>
      <w:bookmarkStart w:id="31" w:name="_Toc15377208"/>
    </w:p>
    <w:p>
      <w:pPr>
        <w:spacing w:line="600" w:lineRule="exact"/>
        <w:ind w:firstLine="640" w:firstLineChars="200"/>
        <w:outlineLvl w:val="1"/>
        <w:rPr>
          <w:rStyle w:val="26"/>
          <w:rFonts w:ascii="黑体" w:hAnsi="黑体" w:eastAsia="黑体"/>
          <w:b w:val="0"/>
        </w:rPr>
      </w:pPr>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rPr>
          <w:rFonts w:eastAsia="仿宋_GB2312"/>
          <w:sz w:val="32"/>
          <w:szCs w:val="32"/>
        </w:rPr>
      </w:pPr>
      <w:r>
        <w:rPr>
          <w:rFonts w:eastAsia="仿宋_GB2312"/>
          <w:sz w:val="32"/>
          <w:szCs w:val="32"/>
        </w:rPr>
        <w:t>2021年财政拨款收、支总计7916万元。与2020年相比，</w:t>
      </w:r>
      <w:r>
        <w:rPr>
          <w:rFonts w:eastAsia="仿宋_GB2312"/>
          <w:color w:val="000000"/>
          <w:sz w:val="32"/>
          <w:szCs w:val="32"/>
        </w:rPr>
        <w:t>财政拨款收入减少498.15万元，下降11.94%；支出</w:t>
      </w:r>
      <w:r>
        <w:rPr>
          <w:rFonts w:eastAsia="仿宋_GB2312"/>
          <w:sz w:val="32"/>
          <w:szCs w:val="32"/>
        </w:rPr>
        <w:t>减少</w:t>
      </w:r>
      <w:r>
        <w:rPr>
          <w:rFonts w:eastAsia="仿宋_GB2312"/>
          <w:color w:val="000000"/>
          <w:sz w:val="32"/>
          <w:szCs w:val="32"/>
        </w:rPr>
        <w:t>1155.92万元，下降21.42%</w:t>
      </w:r>
      <w:r>
        <w:rPr>
          <w:rFonts w:eastAsia="仿宋_GB2312"/>
          <w:sz w:val="32"/>
          <w:szCs w:val="32"/>
        </w:rPr>
        <w:t>。主要变动原因是2021年项目经费减少。</w:t>
      </w:r>
    </w:p>
    <w:p>
      <w:pPr>
        <w:pStyle w:val="5"/>
        <w:spacing w:before="93"/>
        <w:rPr>
          <w:rFonts w:ascii="仿宋" w:hAnsi="仿宋" w:eastAsia="仿宋"/>
          <w:b/>
          <w:sz w:val="32"/>
          <w:szCs w:val="32"/>
        </w:rPr>
      </w:pPr>
      <w:r>
        <w:rPr>
          <w:rFonts w:hint="eastAsia" w:ascii="仿宋" w:hAnsi="仿宋" w:eastAsia="仿宋"/>
          <w:b/>
          <w:sz w:val="32"/>
          <w:szCs w:val="32"/>
        </w:rPr>
        <w:drawing>
          <wp:inline distT="0" distB="0" distL="114300" distR="114300">
            <wp:extent cx="5080000" cy="3582035"/>
            <wp:effectExtent l="4445" t="4445" r="20955" b="139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eastAsia="仿宋_GB2312"/>
          <w:sz w:val="32"/>
          <w:szCs w:val="32"/>
        </w:rPr>
      </w:pPr>
      <w:r>
        <w:rPr>
          <w:rFonts w:eastAsia="仿宋_GB2312"/>
          <w:sz w:val="32"/>
          <w:szCs w:val="32"/>
        </w:rPr>
        <w:t>2021年一般公共预算财政拨款支出3670.32万元，占本年支出合计的84.9%。与2020年相比，一般公共预算财政拨款支出增加62.37万元，增长1.73%。主要变动原因是2020年从政府性基金安排的项目改为一般公共预算安排。</w:t>
      </w:r>
    </w:p>
    <w:p>
      <w:pPr>
        <w:spacing w:line="600" w:lineRule="exact"/>
        <w:ind w:firstLine="640" w:firstLineChars="200"/>
        <w:rPr>
          <w:rFonts w:ascii="仿宋" w:hAnsi="仿宋" w:eastAsia="仿宋"/>
          <w:sz w:val="32"/>
          <w:szCs w:val="32"/>
        </w:rPr>
      </w:pPr>
    </w:p>
    <w:p>
      <w:pPr>
        <w:pStyle w:val="5"/>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495675"/>
            <wp:effectExtent l="4445" t="4445" r="2095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eastAsia="仿宋_GB2312"/>
          <w:sz w:val="32"/>
          <w:szCs w:val="32"/>
        </w:rPr>
      </w:pPr>
      <w:r>
        <w:rPr>
          <w:rFonts w:eastAsia="仿宋_GB2312"/>
          <w:sz w:val="32"/>
          <w:szCs w:val="32"/>
        </w:rPr>
        <w:t>2021年一般公共预算财政拨款支出3670.32万元，主要用于以下方面:一般公共服务（类）支出22.04万元，占0.6%；社会保障和就业（类）支出3487.04万元，占95.01%；</w:t>
      </w:r>
      <w:r>
        <w:rPr>
          <w:rFonts w:eastAsia="仿宋_GB2312"/>
          <w:bCs/>
          <w:sz w:val="32"/>
          <w:szCs w:val="32"/>
        </w:rPr>
        <w:t>住房保障支出</w:t>
      </w:r>
      <w:r>
        <w:rPr>
          <w:rFonts w:eastAsia="仿宋_GB2312"/>
          <w:sz w:val="32"/>
          <w:szCs w:val="32"/>
        </w:rPr>
        <w:t>161.22万元，占4.39%。</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1" locked="0" layoutInCell="1" allowOverlap="1">
            <wp:simplePos x="0" y="0"/>
            <wp:positionH relativeFrom="column">
              <wp:posOffset>134620</wp:posOffset>
            </wp:positionH>
            <wp:positionV relativeFrom="paragraph">
              <wp:posOffset>22860</wp:posOffset>
            </wp:positionV>
            <wp:extent cx="5080000" cy="3295650"/>
            <wp:effectExtent l="4445" t="4445" r="20955"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5"/>
        <w:spacing w:before="93"/>
        <w:rPr>
          <w:rFonts w:ascii="仿宋" w:hAnsi="仿宋" w:eastAsia="仿宋"/>
          <w:sz w:val="32"/>
          <w:szCs w:val="32"/>
        </w:rPr>
      </w:pPr>
    </w:p>
    <w:p>
      <w:pPr>
        <w:pStyle w:val="5"/>
        <w:spacing w:before="93"/>
        <w:rPr>
          <w:rFonts w:ascii="仿宋" w:hAnsi="仿宋" w:eastAsia="仿宋"/>
          <w:sz w:val="32"/>
          <w:szCs w:val="32"/>
        </w:rPr>
      </w:pPr>
    </w:p>
    <w:p>
      <w:pPr>
        <w:pStyle w:val="5"/>
        <w:spacing w:before="93"/>
        <w:rPr>
          <w:rFonts w:ascii="仿宋" w:hAnsi="仿宋" w:eastAsia="仿宋"/>
          <w:sz w:val="32"/>
          <w:szCs w:val="32"/>
        </w:rPr>
      </w:pPr>
    </w:p>
    <w:p>
      <w:pPr>
        <w:pStyle w:val="5"/>
        <w:spacing w:before="93"/>
        <w:rPr>
          <w:rFonts w:ascii="仿宋" w:hAnsi="仿宋" w:eastAsia="仿宋"/>
          <w:sz w:val="32"/>
          <w:szCs w:val="32"/>
        </w:rPr>
      </w:pPr>
    </w:p>
    <w:p>
      <w:pPr>
        <w:pStyle w:val="5"/>
        <w:spacing w:before="93"/>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36" w:name="_Toc15377212"/>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6"/>
    </w:p>
    <w:p>
      <w:pPr>
        <w:spacing w:line="600" w:lineRule="exact"/>
        <w:ind w:firstLine="640" w:firstLineChars="200"/>
        <w:outlineLvl w:val="2"/>
        <w:rPr>
          <w:rFonts w:eastAsia="仿宋_GB2312"/>
          <w:sz w:val="32"/>
          <w:szCs w:val="32"/>
        </w:rPr>
      </w:pPr>
      <w:bookmarkStart w:id="37" w:name="_Toc15377213"/>
      <w:bookmarkStart w:id="38" w:name="_Toc15378460"/>
      <w:bookmarkStart w:id="39" w:name="_Toc15377444"/>
      <w:r>
        <w:rPr>
          <w:rFonts w:eastAsia="仿宋_GB2312"/>
          <w:sz w:val="32"/>
          <w:szCs w:val="32"/>
        </w:rPr>
        <w:t>2021年一般公共预算支出决算数为3670.32，</w:t>
      </w:r>
      <w:r>
        <w:rPr>
          <w:rStyle w:val="15"/>
          <w:rFonts w:eastAsia="仿宋_GB2312"/>
          <w:b w:val="0"/>
          <w:bCs/>
          <w:sz w:val="32"/>
          <w:szCs w:val="32"/>
        </w:rPr>
        <w:t>完成预算100%。其中：</w:t>
      </w:r>
      <w:bookmarkEnd w:id="37"/>
      <w:bookmarkEnd w:id="38"/>
      <w:bookmarkEnd w:id="39"/>
    </w:p>
    <w:p>
      <w:pPr>
        <w:spacing w:line="600" w:lineRule="exact"/>
        <w:ind w:firstLine="640" w:firstLineChars="200"/>
        <w:rPr>
          <w:rFonts w:eastAsia="仿宋_GB2312"/>
          <w:sz w:val="32"/>
          <w:szCs w:val="32"/>
        </w:rPr>
      </w:pPr>
      <w:r>
        <w:rPr>
          <w:rStyle w:val="15"/>
          <w:rFonts w:eastAsia="仿宋_GB2312"/>
          <w:b w:val="0"/>
          <w:bCs/>
          <w:sz w:val="32"/>
          <w:szCs w:val="32"/>
        </w:rPr>
        <w:t>1.一般公共服务（类）商贸事务（款）招商引资（项）: 支出决算为20万元，完成预算100%。</w:t>
      </w:r>
    </w:p>
    <w:p>
      <w:pPr>
        <w:spacing w:line="600" w:lineRule="exact"/>
        <w:ind w:firstLine="640" w:firstLineChars="200"/>
        <w:rPr>
          <w:rFonts w:eastAsia="仿宋_GB2312"/>
          <w:sz w:val="32"/>
          <w:szCs w:val="32"/>
        </w:rPr>
      </w:pPr>
      <w:r>
        <w:rPr>
          <w:rStyle w:val="15"/>
          <w:rFonts w:eastAsia="仿宋_GB2312"/>
          <w:b w:val="0"/>
          <w:bCs/>
          <w:sz w:val="32"/>
          <w:szCs w:val="32"/>
        </w:rPr>
        <w:t>2.一般公共服务（类）组织事务（款）其他组织事务支出（项）:支出决算为2.04万元，完成预算100%。</w:t>
      </w:r>
    </w:p>
    <w:p>
      <w:pPr>
        <w:spacing w:line="600" w:lineRule="exact"/>
        <w:ind w:firstLine="640" w:firstLineChars="200"/>
        <w:rPr>
          <w:rFonts w:eastAsia="仿宋_GB2312"/>
          <w:sz w:val="32"/>
          <w:szCs w:val="32"/>
        </w:rPr>
      </w:pPr>
      <w:r>
        <w:rPr>
          <w:rStyle w:val="15"/>
          <w:rFonts w:eastAsia="仿宋_GB2312"/>
          <w:b w:val="0"/>
          <w:bCs/>
          <w:sz w:val="32"/>
          <w:szCs w:val="32"/>
        </w:rPr>
        <w:t>3.</w:t>
      </w:r>
      <w:r>
        <w:rPr>
          <w:rStyle w:val="15"/>
          <w:rFonts w:eastAsia="仿宋_GB2312"/>
          <w:b w:val="0"/>
          <w:bCs/>
          <w:color w:val="000000"/>
          <w:sz w:val="32"/>
          <w:szCs w:val="32"/>
        </w:rPr>
        <w:t>社会保障和就业</w:t>
      </w:r>
      <w:r>
        <w:rPr>
          <w:rStyle w:val="15"/>
          <w:rFonts w:eastAsia="仿宋_GB2312"/>
          <w:b w:val="0"/>
          <w:bCs/>
          <w:sz w:val="32"/>
          <w:szCs w:val="32"/>
        </w:rPr>
        <w:t>（类）人力资源和社会保障管理事务（款）其他人力资源和社会保障管理事务支出（项）:支出决算为18万元，完成预算100%。</w:t>
      </w:r>
    </w:p>
    <w:p>
      <w:pPr>
        <w:spacing w:line="600" w:lineRule="exact"/>
        <w:ind w:firstLine="640" w:firstLineChars="200"/>
        <w:rPr>
          <w:rFonts w:eastAsia="仿宋_GB2312"/>
          <w:sz w:val="32"/>
          <w:szCs w:val="32"/>
        </w:rPr>
      </w:pPr>
      <w:r>
        <w:rPr>
          <w:rStyle w:val="15"/>
          <w:rFonts w:eastAsia="仿宋_GB2312"/>
          <w:b w:val="0"/>
          <w:bCs/>
          <w:sz w:val="32"/>
          <w:szCs w:val="32"/>
        </w:rPr>
        <w:t>4.</w:t>
      </w:r>
      <w:r>
        <w:rPr>
          <w:rStyle w:val="15"/>
          <w:rFonts w:eastAsia="仿宋_GB2312"/>
          <w:b w:val="0"/>
          <w:bCs/>
          <w:color w:val="000000"/>
          <w:sz w:val="32"/>
          <w:szCs w:val="32"/>
        </w:rPr>
        <w:t>社会保障和就业</w:t>
      </w:r>
      <w:r>
        <w:rPr>
          <w:rStyle w:val="15"/>
          <w:rFonts w:eastAsia="仿宋_GB2312"/>
          <w:b w:val="0"/>
          <w:bCs/>
          <w:sz w:val="32"/>
          <w:szCs w:val="32"/>
        </w:rPr>
        <w:t>（类）民政管理事务（款）行政运行（项）:支出决算为529.88万元，完成预算100%。</w:t>
      </w:r>
    </w:p>
    <w:p>
      <w:pPr>
        <w:spacing w:line="600" w:lineRule="exact"/>
        <w:ind w:firstLine="640" w:firstLineChars="200"/>
        <w:rPr>
          <w:rFonts w:eastAsia="仿宋_GB2312"/>
          <w:sz w:val="32"/>
          <w:szCs w:val="32"/>
        </w:rPr>
      </w:pPr>
      <w:r>
        <w:rPr>
          <w:rStyle w:val="15"/>
          <w:rFonts w:eastAsia="仿宋_GB2312"/>
          <w:b w:val="0"/>
          <w:bCs/>
          <w:sz w:val="32"/>
          <w:szCs w:val="32"/>
        </w:rPr>
        <w:t>5.</w:t>
      </w:r>
      <w:r>
        <w:rPr>
          <w:rStyle w:val="15"/>
          <w:rFonts w:eastAsia="仿宋_GB2312"/>
          <w:b w:val="0"/>
          <w:bCs/>
          <w:color w:val="000000"/>
          <w:sz w:val="32"/>
          <w:szCs w:val="32"/>
        </w:rPr>
        <w:t>社会保障和就业</w:t>
      </w:r>
      <w:r>
        <w:rPr>
          <w:rStyle w:val="15"/>
          <w:rFonts w:eastAsia="仿宋_GB2312"/>
          <w:b w:val="0"/>
          <w:bCs/>
          <w:sz w:val="32"/>
          <w:szCs w:val="32"/>
        </w:rPr>
        <w:t>（类）民政管理事务（款）一般行政管理事务（项）:支出决算为47.32万元，完成预算100%。</w:t>
      </w:r>
    </w:p>
    <w:p>
      <w:pPr>
        <w:spacing w:line="600" w:lineRule="exact"/>
        <w:ind w:firstLine="640" w:firstLineChars="200"/>
        <w:rPr>
          <w:rFonts w:eastAsia="仿宋_GB2312"/>
          <w:sz w:val="32"/>
          <w:szCs w:val="32"/>
        </w:rPr>
      </w:pPr>
      <w:r>
        <w:rPr>
          <w:rStyle w:val="15"/>
          <w:rFonts w:eastAsia="仿宋_GB2312"/>
          <w:b w:val="0"/>
          <w:bCs/>
          <w:sz w:val="32"/>
          <w:szCs w:val="32"/>
        </w:rPr>
        <w:t>6.</w:t>
      </w:r>
      <w:r>
        <w:rPr>
          <w:rStyle w:val="15"/>
          <w:rFonts w:eastAsia="仿宋_GB2312"/>
          <w:b w:val="0"/>
          <w:bCs/>
          <w:color w:val="000000"/>
          <w:sz w:val="32"/>
          <w:szCs w:val="32"/>
        </w:rPr>
        <w:t>社会保障和就业</w:t>
      </w:r>
      <w:r>
        <w:rPr>
          <w:rStyle w:val="15"/>
          <w:rFonts w:eastAsia="仿宋_GB2312"/>
          <w:b w:val="0"/>
          <w:bCs/>
          <w:sz w:val="32"/>
          <w:szCs w:val="32"/>
        </w:rPr>
        <w:t>（类）民政管理事务（款）行政区划和地名管理（项）:支出决算为12万元，完成预算100%。</w:t>
      </w:r>
    </w:p>
    <w:p>
      <w:pPr>
        <w:spacing w:line="600" w:lineRule="exact"/>
        <w:ind w:firstLine="640" w:firstLineChars="200"/>
        <w:rPr>
          <w:rStyle w:val="15"/>
          <w:rFonts w:eastAsia="仿宋_GB2312"/>
          <w:b w:val="0"/>
          <w:bCs/>
          <w:color w:val="000000"/>
          <w:sz w:val="32"/>
          <w:szCs w:val="32"/>
        </w:rPr>
      </w:pPr>
      <w:r>
        <w:rPr>
          <w:rStyle w:val="15"/>
          <w:rFonts w:eastAsia="仿宋_GB2312"/>
          <w:b w:val="0"/>
          <w:bCs/>
          <w:color w:val="000000"/>
          <w:sz w:val="32"/>
          <w:szCs w:val="32"/>
        </w:rPr>
        <w:t>7.社会保障和就业（类）</w:t>
      </w:r>
      <w:r>
        <w:rPr>
          <w:rStyle w:val="15"/>
          <w:rFonts w:eastAsia="仿宋_GB2312"/>
          <w:b w:val="0"/>
          <w:bCs/>
          <w:sz w:val="32"/>
          <w:szCs w:val="32"/>
        </w:rPr>
        <w:t>民政管理事务</w:t>
      </w:r>
      <w:r>
        <w:rPr>
          <w:rStyle w:val="15"/>
          <w:rFonts w:eastAsia="仿宋_GB2312"/>
          <w:b w:val="0"/>
          <w:bCs/>
          <w:color w:val="000000"/>
          <w:sz w:val="32"/>
          <w:szCs w:val="32"/>
        </w:rPr>
        <w:t>（款）基层政权建设和社区治理（项）:支出决算为8.29万元，完成预算100%。</w:t>
      </w:r>
    </w:p>
    <w:p>
      <w:pPr>
        <w:pStyle w:val="5"/>
        <w:spacing w:before="93"/>
        <w:ind w:firstLine="640" w:firstLineChars="200"/>
        <w:rPr>
          <w:rStyle w:val="15"/>
          <w:rFonts w:ascii="Times New Roman"/>
          <w:b w:val="0"/>
          <w:bCs/>
          <w:color w:val="000000"/>
          <w:sz w:val="32"/>
          <w:szCs w:val="32"/>
        </w:rPr>
      </w:pPr>
      <w:r>
        <w:rPr>
          <w:rStyle w:val="15"/>
          <w:rFonts w:ascii="Times New Roman"/>
          <w:b w:val="0"/>
          <w:bCs/>
          <w:color w:val="000000"/>
          <w:kern w:val="2"/>
          <w:sz w:val="32"/>
          <w:szCs w:val="32"/>
        </w:rPr>
        <w:t>8.</w:t>
      </w:r>
      <w:r>
        <w:rPr>
          <w:rStyle w:val="15"/>
          <w:rFonts w:ascii="Times New Roman"/>
          <w:b w:val="0"/>
          <w:bCs/>
          <w:color w:val="000000"/>
          <w:sz w:val="32"/>
          <w:szCs w:val="32"/>
        </w:rPr>
        <w:t>社会保障和就业（类）</w:t>
      </w:r>
      <w:r>
        <w:rPr>
          <w:rStyle w:val="15"/>
          <w:rFonts w:ascii="Times New Roman"/>
          <w:b w:val="0"/>
          <w:bCs/>
          <w:sz w:val="32"/>
          <w:szCs w:val="32"/>
        </w:rPr>
        <w:t>民政管理事务</w:t>
      </w:r>
      <w:r>
        <w:rPr>
          <w:rStyle w:val="15"/>
          <w:rFonts w:ascii="Times New Roman"/>
          <w:b w:val="0"/>
          <w:bCs/>
          <w:color w:val="000000"/>
          <w:sz w:val="32"/>
          <w:szCs w:val="32"/>
        </w:rPr>
        <w:t>（款）其他民政管理事务支出（项）:支出决算为48.29万元，完成预算100%。</w:t>
      </w:r>
    </w:p>
    <w:p>
      <w:pPr>
        <w:spacing w:line="600" w:lineRule="exact"/>
        <w:ind w:firstLine="640" w:firstLineChars="200"/>
        <w:rPr>
          <w:rStyle w:val="15"/>
          <w:rFonts w:eastAsia="仿宋_GB2312"/>
          <w:b w:val="0"/>
          <w:bCs/>
          <w:color w:val="000000"/>
          <w:sz w:val="32"/>
          <w:szCs w:val="32"/>
        </w:rPr>
      </w:pPr>
      <w:r>
        <w:rPr>
          <w:rStyle w:val="15"/>
          <w:rFonts w:eastAsia="仿宋_GB2312"/>
          <w:b w:val="0"/>
          <w:bCs/>
          <w:color w:val="000000"/>
          <w:sz w:val="32"/>
          <w:szCs w:val="32"/>
        </w:rPr>
        <w:t>9.社会保障和就业（类）</w:t>
      </w:r>
      <w:r>
        <w:rPr>
          <w:rStyle w:val="15"/>
          <w:rFonts w:eastAsia="仿宋_GB2312"/>
          <w:b w:val="0"/>
          <w:bCs/>
          <w:sz w:val="32"/>
          <w:szCs w:val="32"/>
        </w:rPr>
        <w:t>行政事业单位养老支出</w:t>
      </w:r>
      <w:r>
        <w:rPr>
          <w:rStyle w:val="15"/>
          <w:rFonts w:eastAsia="仿宋_GB2312"/>
          <w:b w:val="0"/>
          <w:bCs/>
          <w:color w:val="000000"/>
          <w:sz w:val="32"/>
          <w:szCs w:val="32"/>
        </w:rPr>
        <w:t>（款）行政单位离退休（项）:支出决算为88.65万元，完成预算100%。</w:t>
      </w:r>
    </w:p>
    <w:p>
      <w:pPr>
        <w:spacing w:line="600" w:lineRule="exact"/>
        <w:ind w:firstLine="640" w:firstLineChars="200"/>
        <w:rPr>
          <w:rStyle w:val="15"/>
          <w:rFonts w:eastAsia="仿宋_GB2312"/>
          <w:b w:val="0"/>
          <w:bCs/>
          <w:color w:val="000000"/>
          <w:sz w:val="32"/>
          <w:szCs w:val="32"/>
        </w:rPr>
      </w:pPr>
      <w:r>
        <w:rPr>
          <w:rStyle w:val="15"/>
          <w:rFonts w:eastAsia="仿宋_GB2312"/>
          <w:b w:val="0"/>
          <w:color w:val="000000"/>
          <w:sz w:val="32"/>
          <w:szCs w:val="32"/>
        </w:rPr>
        <w:t>10.社会保障和就业（类）行政事业单位养老支出（款）事业单位离退休（项）</w:t>
      </w:r>
      <w:r>
        <w:rPr>
          <w:rStyle w:val="15"/>
          <w:rFonts w:eastAsia="仿宋_GB2312"/>
          <w:b w:val="0"/>
          <w:bCs/>
          <w:color w:val="000000"/>
          <w:sz w:val="32"/>
          <w:szCs w:val="32"/>
        </w:rPr>
        <w:t>:支出决算为64.22万元，完成预算100%。</w:t>
      </w:r>
    </w:p>
    <w:p>
      <w:pPr>
        <w:spacing w:line="600" w:lineRule="exact"/>
        <w:ind w:firstLine="640" w:firstLineChars="200"/>
        <w:rPr>
          <w:rStyle w:val="15"/>
          <w:rFonts w:eastAsia="仿宋_GB2312"/>
          <w:b w:val="0"/>
          <w:bCs/>
          <w:color w:val="000000"/>
          <w:sz w:val="32"/>
          <w:szCs w:val="32"/>
        </w:rPr>
      </w:pPr>
      <w:r>
        <w:rPr>
          <w:rStyle w:val="15"/>
          <w:rFonts w:eastAsia="仿宋_GB2312"/>
          <w:b w:val="0"/>
          <w:color w:val="000000"/>
          <w:sz w:val="32"/>
          <w:szCs w:val="32"/>
        </w:rPr>
        <w:t>11.社会保障和就业（类）行政事业单位养老支出（款）机关事业单位基本养老保险缴费支出（项）</w:t>
      </w:r>
      <w:r>
        <w:rPr>
          <w:rStyle w:val="15"/>
          <w:rFonts w:eastAsia="仿宋_GB2312"/>
          <w:b w:val="0"/>
          <w:bCs/>
          <w:color w:val="000000"/>
          <w:sz w:val="32"/>
          <w:szCs w:val="32"/>
        </w:rPr>
        <w:t>:支出决算为154.31万元，完成预算100%。</w:t>
      </w:r>
    </w:p>
    <w:p>
      <w:pPr>
        <w:spacing w:line="600" w:lineRule="exact"/>
        <w:ind w:firstLine="640" w:firstLineChars="200"/>
        <w:rPr>
          <w:rStyle w:val="15"/>
          <w:rFonts w:eastAsia="仿宋_GB2312"/>
          <w:b w:val="0"/>
          <w:bCs/>
          <w:color w:val="000000"/>
          <w:sz w:val="32"/>
          <w:szCs w:val="32"/>
        </w:rPr>
      </w:pPr>
      <w:r>
        <w:rPr>
          <w:rStyle w:val="15"/>
          <w:rFonts w:eastAsia="仿宋_GB2312"/>
          <w:b w:val="0"/>
          <w:color w:val="000000"/>
          <w:sz w:val="32"/>
          <w:szCs w:val="32"/>
        </w:rPr>
        <w:t>12.社会保障和就业（类）抚恤（款）死亡抚恤（项）:</w:t>
      </w:r>
      <w:r>
        <w:rPr>
          <w:rStyle w:val="15"/>
          <w:rFonts w:eastAsia="仿宋_GB2312"/>
          <w:b w:val="0"/>
          <w:bCs/>
          <w:color w:val="000000"/>
          <w:sz w:val="32"/>
          <w:szCs w:val="32"/>
        </w:rPr>
        <w:t>支出决算为23.03万元，完成预算100%。</w:t>
      </w:r>
    </w:p>
    <w:p>
      <w:pPr>
        <w:spacing w:line="600" w:lineRule="exact"/>
        <w:ind w:firstLine="640" w:firstLineChars="200"/>
        <w:rPr>
          <w:rStyle w:val="15"/>
          <w:rFonts w:eastAsia="仿宋_GB2312"/>
          <w:b w:val="0"/>
          <w:bCs/>
          <w:color w:val="000000"/>
          <w:sz w:val="32"/>
          <w:szCs w:val="32"/>
        </w:rPr>
      </w:pPr>
      <w:r>
        <w:rPr>
          <w:rStyle w:val="15"/>
          <w:rFonts w:eastAsia="仿宋_GB2312"/>
          <w:b w:val="0"/>
          <w:color w:val="000000"/>
          <w:sz w:val="32"/>
          <w:szCs w:val="32"/>
        </w:rPr>
        <w:t>13.社会保障和就业（类）社会福利（款）儿童福利（项）:</w:t>
      </w:r>
      <w:r>
        <w:rPr>
          <w:rStyle w:val="15"/>
          <w:rFonts w:eastAsia="仿宋_GB2312"/>
          <w:b w:val="0"/>
          <w:bCs/>
          <w:color w:val="000000"/>
          <w:sz w:val="32"/>
          <w:szCs w:val="32"/>
        </w:rPr>
        <w:t>支出决算为444.28万元，完成预算100%。</w:t>
      </w:r>
    </w:p>
    <w:p>
      <w:pPr>
        <w:spacing w:line="600" w:lineRule="exact"/>
        <w:ind w:firstLine="640" w:firstLineChars="200"/>
        <w:rPr>
          <w:rStyle w:val="15"/>
          <w:rFonts w:eastAsia="仿宋_GB2312"/>
          <w:b w:val="0"/>
          <w:bCs/>
          <w:color w:val="000000"/>
          <w:sz w:val="32"/>
          <w:szCs w:val="32"/>
        </w:rPr>
      </w:pPr>
      <w:r>
        <w:rPr>
          <w:rStyle w:val="15"/>
          <w:rFonts w:eastAsia="仿宋_GB2312"/>
          <w:b w:val="0"/>
          <w:color w:val="000000"/>
          <w:sz w:val="32"/>
          <w:szCs w:val="32"/>
        </w:rPr>
        <w:t>14.社会保障和就业（类）社会福利（款）殡葬（项）:</w:t>
      </w:r>
      <w:r>
        <w:rPr>
          <w:rStyle w:val="15"/>
          <w:rFonts w:eastAsia="仿宋_GB2312"/>
          <w:b w:val="0"/>
          <w:bCs/>
          <w:color w:val="000000"/>
          <w:sz w:val="32"/>
          <w:szCs w:val="32"/>
        </w:rPr>
        <w:t>支出决算为1134.98万元，完成预算100%。</w:t>
      </w:r>
    </w:p>
    <w:p>
      <w:pPr>
        <w:pStyle w:val="5"/>
        <w:spacing w:before="93"/>
        <w:ind w:firstLine="640" w:firstLineChars="200"/>
        <w:rPr>
          <w:rStyle w:val="15"/>
          <w:rFonts w:ascii="Times New Roman"/>
          <w:b w:val="0"/>
          <w:bCs/>
          <w:color w:val="000000"/>
          <w:sz w:val="32"/>
          <w:szCs w:val="32"/>
        </w:rPr>
      </w:pPr>
      <w:r>
        <w:rPr>
          <w:rStyle w:val="15"/>
          <w:rFonts w:ascii="Times New Roman"/>
          <w:b w:val="0"/>
          <w:color w:val="000000"/>
          <w:sz w:val="32"/>
          <w:szCs w:val="32"/>
        </w:rPr>
        <w:t>15.社会保障和就业（类）社会福利（款）社会福利事业单位（项）:</w:t>
      </w:r>
      <w:r>
        <w:rPr>
          <w:rStyle w:val="15"/>
          <w:rFonts w:ascii="Times New Roman"/>
          <w:b w:val="0"/>
          <w:bCs/>
          <w:color w:val="000000"/>
          <w:sz w:val="32"/>
          <w:szCs w:val="32"/>
        </w:rPr>
        <w:t>支出决算为355.78万元，完成预算100%。</w:t>
      </w:r>
    </w:p>
    <w:p>
      <w:pPr>
        <w:pStyle w:val="5"/>
        <w:spacing w:before="93"/>
        <w:ind w:firstLine="640" w:firstLineChars="200"/>
        <w:rPr>
          <w:rStyle w:val="15"/>
          <w:rFonts w:ascii="Times New Roman"/>
          <w:b w:val="0"/>
          <w:bCs/>
          <w:color w:val="000000"/>
          <w:sz w:val="32"/>
          <w:szCs w:val="32"/>
        </w:rPr>
      </w:pPr>
      <w:r>
        <w:rPr>
          <w:rStyle w:val="15"/>
          <w:rFonts w:ascii="Times New Roman"/>
          <w:b w:val="0"/>
          <w:color w:val="000000"/>
          <w:sz w:val="32"/>
          <w:szCs w:val="32"/>
        </w:rPr>
        <w:t>16.社会保障和就业（类）社会福利（款）养老服务（项）:</w:t>
      </w:r>
      <w:r>
        <w:rPr>
          <w:rStyle w:val="15"/>
          <w:rFonts w:ascii="Times New Roman"/>
          <w:b w:val="0"/>
          <w:bCs/>
          <w:color w:val="000000"/>
          <w:sz w:val="32"/>
          <w:szCs w:val="32"/>
        </w:rPr>
        <w:t>支出决算为20.87万元，完成预算100%。</w:t>
      </w:r>
    </w:p>
    <w:p>
      <w:pPr>
        <w:pStyle w:val="5"/>
        <w:spacing w:before="93"/>
        <w:ind w:firstLine="640" w:firstLineChars="200"/>
        <w:rPr>
          <w:rStyle w:val="15"/>
          <w:rFonts w:ascii="Times New Roman"/>
          <w:b w:val="0"/>
          <w:bCs/>
          <w:color w:val="000000"/>
          <w:sz w:val="32"/>
          <w:szCs w:val="32"/>
        </w:rPr>
      </w:pPr>
      <w:r>
        <w:rPr>
          <w:rStyle w:val="15"/>
          <w:rFonts w:ascii="Times New Roman"/>
          <w:b w:val="0"/>
          <w:color w:val="000000"/>
          <w:sz w:val="32"/>
          <w:szCs w:val="32"/>
        </w:rPr>
        <w:t>17.社会保障和就业（类）社会福利（款）其他社会福利支出（项）:</w:t>
      </w:r>
      <w:r>
        <w:rPr>
          <w:rStyle w:val="15"/>
          <w:rFonts w:ascii="Times New Roman"/>
          <w:b w:val="0"/>
          <w:bCs/>
          <w:color w:val="000000"/>
          <w:sz w:val="32"/>
          <w:szCs w:val="32"/>
        </w:rPr>
        <w:t>支出决算为20.87万元，完成预算100%。</w:t>
      </w:r>
    </w:p>
    <w:p>
      <w:pPr>
        <w:pStyle w:val="5"/>
        <w:spacing w:before="93"/>
        <w:ind w:firstLine="640" w:firstLineChars="200"/>
        <w:rPr>
          <w:rStyle w:val="15"/>
          <w:rFonts w:ascii="Times New Roman"/>
          <w:b w:val="0"/>
          <w:bCs/>
          <w:color w:val="000000"/>
          <w:sz w:val="32"/>
          <w:szCs w:val="32"/>
        </w:rPr>
      </w:pPr>
      <w:r>
        <w:rPr>
          <w:rStyle w:val="15"/>
          <w:rFonts w:ascii="Times New Roman"/>
          <w:b w:val="0"/>
          <w:color w:val="000000"/>
          <w:sz w:val="32"/>
          <w:szCs w:val="32"/>
        </w:rPr>
        <w:t>18.社会保障和就业（类）临时救助（款）流浪乞讨人员救助支出（项）:</w:t>
      </w:r>
      <w:r>
        <w:rPr>
          <w:rStyle w:val="15"/>
          <w:rFonts w:ascii="Times New Roman"/>
          <w:b w:val="0"/>
          <w:bCs/>
          <w:color w:val="000000"/>
          <w:sz w:val="32"/>
          <w:szCs w:val="32"/>
        </w:rPr>
        <w:t>支出决算为474.24万元，完成预算100%。</w:t>
      </w:r>
    </w:p>
    <w:p>
      <w:pPr>
        <w:pStyle w:val="5"/>
        <w:spacing w:before="93"/>
        <w:ind w:firstLine="640" w:firstLineChars="200"/>
        <w:rPr>
          <w:rStyle w:val="15"/>
          <w:rFonts w:ascii="Times New Roman"/>
          <w:b w:val="0"/>
          <w:bCs/>
          <w:color w:val="000000"/>
          <w:sz w:val="32"/>
          <w:szCs w:val="32"/>
        </w:rPr>
      </w:pPr>
      <w:r>
        <w:rPr>
          <w:rStyle w:val="15"/>
          <w:rFonts w:ascii="Times New Roman"/>
          <w:b w:val="0"/>
          <w:color w:val="000000"/>
          <w:sz w:val="32"/>
          <w:szCs w:val="32"/>
        </w:rPr>
        <w:t>19.住房保障支出（类）住房改革支出（款）住房公积金（项）:</w:t>
      </w:r>
      <w:r>
        <w:rPr>
          <w:rStyle w:val="15"/>
          <w:rFonts w:ascii="Times New Roman"/>
          <w:b w:val="0"/>
          <w:bCs/>
          <w:color w:val="000000"/>
          <w:sz w:val="32"/>
          <w:szCs w:val="32"/>
        </w:rPr>
        <w:t>支出决算为161.22万元，完成预算100%。</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eastAsia="仿宋_GB2312"/>
          <w:sz w:val="32"/>
          <w:szCs w:val="32"/>
        </w:rPr>
      </w:pPr>
      <w:r>
        <w:rPr>
          <w:rFonts w:eastAsia="仿宋_GB2312"/>
          <w:sz w:val="32"/>
          <w:szCs w:val="32"/>
        </w:rPr>
        <w:t>2021年一般公共预算财政拨款基本支出2470.81万元，其中：</w:t>
      </w:r>
    </w:p>
    <w:p>
      <w:pPr>
        <w:spacing w:line="600" w:lineRule="exact"/>
        <w:ind w:firstLine="645"/>
        <w:rPr>
          <w:rFonts w:eastAsia="仿宋_GB2312"/>
          <w:sz w:val="32"/>
          <w:szCs w:val="32"/>
        </w:rPr>
      </w:pPr>
      <w:r>
        <w:rPr>
          <w:rFonts w:eastAsia="仿宋_GB2312"/>
          <w:sz w:val="32"/>
          <w:szCs w:val="32"/>
        </w:rPr>
        <w:t>人员经费2252.4万元，主要包括：基本工资、津贴补贴、奖金、绩效工资、机关事业单位基本养老保险缴费、职工基本医疗保险缴费、公务员医疗补助缴费、其他社会保障缴费、其他工资福利支出、抚恤金、生活补助、医疗费补助、奖励金、住房公积金、其他对个人和家庭的补助支出。</w:t>
      </w:r>
      <w:r>
        <w:rPr>
          <w:rFonts w:eastAsia="仿宋_GB2312"/>
          <w:sz w:val="32"/>
          <w:szCs w:val="32"/>
        </w:rPr>
        <w:br w:type="textWrapping"/>
      </w:r>
      <w:r>
        <w:rPr>
          <w:rFonts w:eastAsia="仿宋_GB2312"/>
          <w:sz w:val="32"/>
          <w:szCs w:val="32"/>
        </w:rPr>
        <w:t>　　公用经费218.41万元，主要包括：办公费、印刷费、咨询费、手续费、水费、电费、邮电费、物业管理费、差旅费、维修（护）费、租赁费、会议费、培训费、公务接待费、劳务费、委托业务费、工会经费、福利费、公务用车运行维护费、其他交通费、其他商品和服务支出、办公设备购置。</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楷体" w:hAnsi="楷体" w:eastAsia="楷体"/>
          <w:b/>
          <w:sz w:val="32"/>
          <w:szCs w:val="32"/>
        </w:rPr>
      </w:pPr>
      <w:bookmarkStart w:id="44" w:name="_Toc15377216"/>
      <w:r>
        <w:rPr>
          <w:rFonts w:hint="eastAsia" w:ascii="楷体" w:hAnsi="楷体" w:eastAsia="楷体"/>
          <w:b/>
          <w:sz w:val="32"/>
          <w:szCs w:val="32"/>
        </w:rPr>
        <w:t>（一）“三公”经费财政拨款支出决算总体情况说明</w:t>
      </w:r>
      <w:bookmarkEnd w:id="44"/>
    </w:p>
    <w:p>
      <w:pPr>
        <w:spacing w:line="600" w:lineRule="exact"/>
        <w:ind w:firstLine="640"/>
        <w:rPr>
          <w:rFonts w:eastAsia="仿宋_GB2312"/>
          <w:sz w:val="32"/>
          <w:szCs w:val="32"/>
        </w:rPr>
      </w:pPr>
      <w:r>
        <w:rPr>
          <w:rFonts w:eastAsia="仿宋_GB2312"/>
          <w:sz w:val="32"/>
          <w:szCs w:val="32"/>
        </w:rPr>
        <w:t>2021年“三公”经费财政拨款支出决算为31.89万元，完成预算100%，决算数预算数持平的主要原因是年底收回预算。</w:t>
      </w:r>
    </w:p>
    <w:p>
      <w:pPr>
        <w:spacing w:line="600" w:lineRule="exact"/>
        <w:ind w:firstLine="640"/>
        <w:outlineLvl w:val="2"/>
        <w:rPr>
          <w:rFonts w:ascii="楷体" w:hAnsi="楷体" w:eastAsia="楷体"/>
          <w:b/>
          <w:sz w:val="32"/>
          <w:szCs w:val="32"/>
        </w:rPr>
      </w:pPr>
      <w:bookmarkStart w:id="45" w:name="_Toc15377217"/>
      <w:r>
        <w:rPr>
          <w:rFonts w:hint="eastAsia" w:ascii="楷体" w:hAnsi="楷体" w:eastAsia="楷体"/>
          <w:b/>
          <w:sz w:val="32"/>
          <w:szCs w:val="32"/>
        </w:rPr>
        <w:t>（二）“三公”经费财政拨款支出决算具体情况说明</w:t>
      </w:r>
      <w:bookmarkEnd w:id="45"/>
    </w:p>
    <w:p>
      <w:pPr>
        <w:spacing w:line="600" w:lineRule="exact"/>
        <w:ind w:firstLine="640"/>
        <w:rPr>
          <w:rFonts w:eastAsia="仿宋_GB2312"/>
          <w:sz w:val="32"/>
          <w:szCs w:val="32"/>
        </w:rPr>
      </w:pPr>
      <w:r>
        <w:rPr>
          <w:rFonts w:eastAsia="仿宋_GB2312"/>
          <w:sz w:val="32"/>
          <w:szCs w:val="32"/>
        </w:rPr>
        <w:t>2021年“三公”经费财政拨款支出决算中，因公出国（境）费支出决算0万元，占0%；公务用车购置及运行维护费支出决算28.64万元，占89.81%；公务接待费支出决算3.25万元，占10.19%。具体情况如下：</w:t>
      </w:r>
    </w:p>
    <w:p>
      <w:pPr>
        <w:pStyle w:val="5"/>
        <w:spacing w:before="93"/>
        <w:rPr>
          <w:rFonts w:ascii="仿宋" w:hAnsi="仿宋" w:eastAsia="仿宋"/>
          <w:sz w:val="32"/>
          <w:szCs w:val="32"/>
        </w:rPr>
      </w:pPr>
    </w:p>
    <w:p>
      <w:pPr>
        <w:pStyle w:val="5"/>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eastAsia="仿宋_GB2312"/>
          <w:b/>
          <w:sz w:val="32"/>
          <w:szCs w:val="32"/>
        </w:rPr>
      </w:pPr>
      <w:r>
        <w:rPr>
          <w:rFonts w:eastAsia="仿宋_GB2312"/>
          <w:sz w:val="32"/>
          <w:szCs w:val="32"/>
        </w:rPr>
        <w:t>1.因公出国（境）经费支出0万元，</w:t>
      </w:r>
      <w:r>
        <w:rPr>
          <w:rStyle w:val="15"/>
          <w:rFonts w:eastAsia="仿宋_GB2312"/>
          <w:b w:val="0"/>
          <w:bCs/>
          <w:sz w:val="32"/>
          <w:szCs w:val="32"/>
        </w:rPr>
        <w:t>完成预算100%。</w:t>
      </w:r>
      <w:r>
        <w:rPr>
          <w:rFonts w:eastAsia="仿宋_GB2312"/>
          <w:sz w:val="32"/>
          <w:szCs w:val="32"/>
        </w:rPr>
        <w:t>全年安排因公出国（境）团组0次，出国（境）0人。因公出国（境）支出决算比2020年持平。主要原因是2021年未安排此项经费。</w:t>
      </w:r>
    </w:p>
    <w:p>
      <w:pPr>
        <w:spacing w:line="600" w:lineRule="exact"/>
        <w:ind w:firstLine="640"/>
        <w:rPr>
          <w:rFonts w:eastAsia="仿宋_GB2312"/>
          <w:b/>
          <w:sz w:val="32"/>
          <w:szCs w:val="32"/>
        </w:rPr>
      </w:pPr>
      <w:r>
        <w:rPr>
          <w:rFonts w:eastAsia="仿宋_GB2312"/>
          <w:sz w:val="32"/>
          <w:szCs w:val="32"/>
        </w:rPr>
        <w:t>2.公务用车购置及运行维护费支出28.64万元,</w:t>
      </w:r>
      <w:r>
        <w:rPr>
          <w:rStyle w:val="15"/>
          <w:rFonts w:eastAsia="仿宋_GB2312"/>
          <w:b w:val="0"/>
          <w:bCs/>
          <w:sz w:val="32"/>
          <w:szCs w:val="32"/>
        </w:rPr>
        <w:t>完成预算100%。</w:t>
      </w:r>
      <w:r>
        <w:rPr>
          <w:rFonts w:eastAsia="仿宋_GB2312"/>
          <w:sz w:val="32"/>
          <w:szCs w:val="32"/>
        </w:rPr>
        <w:t>公务用车购置及运行维护费支出决算比2020年减少8.07万元，下降21.98%。主要原因是事业单位车辆使用减少。</w:t>
      </w:r>
    </w:p>
    <w:p>
      <w:pPr>
        <w:spacing w:line="600" w:lineRule="exact"/>
        <w:ind w:firstLine="640" w:firstLineChars="200"/>
        <w:rPr>
          <w:rFonts w:eastAsia="仿宋_GB2312"/>
          <w:b/>
          <w:sz w:val="32"/>
          <w:szCs w:val="32"/>
        </w:rPr>
      </w:pPr>
      <w:r>
        <w:rPr>
          <w:rFonts w:eastAsia="仿宋_GB2312"/>
          <w:sz w:val="32"/>
          <w:szCs w:val="32"/>
        </w:rPr>
        <w:t>其中：公务用车购置支出2.25万元。全年按规定更新购置公务用车1辆，其中：轿车0辆、金额0万元，越野车0辆、金额0万元，载客汽车1辆、金额2.25万元，主要用于接送</w:t>
      </w:r>
      <w:r>
        <w:rPr>
          <w:rFonts w:hint="eastAsia" w:eastAsia="仿宋_GB2312"/>
          <w:sz w:val="32"/>
          <w:szCs w:val="32"/>
        </w:rPr>
        <w:t>救助</w:t>
      </w:r>
      <w:r>
        <w:rPr>
          <w:rFonts w:eastAsia="仿宋_GB2312"/>
          <w:sz w:val="32"/>
          <w:szCs w:val="32"/>
        </w:rPr>
        <w:t>人员返乡。截至2021年12月底，单位共有公务用车19辆，其中：轿车4辆、越野车3辆、载客汽车5辆、其他车型7辆。</w:t>
      </w:r>
    </w:p>
    <w:p>
      <w:pPr>
        <w:spacing w:line="600" w:lineRule="exact"/>
        <w:ind w:firstLine="640"/>
        <w:rPr>
          <w:rFonts w:ascii="仿宋_GB2312" w:eastAsia="仿宋_GB2312"/>
          <w:color w:val="000000"/>
          <w:sz w:val="32"/>
          <w:szCs w:val="32"/>
        </w:rPr>
      </w:pPr>
      <w:r>
        <w:rPr>
          <w:rFonts w:hint="eastAsia" w:ascii="仿宋_GB2312" w:eastAsia="仿宋_GB2312"/>
          <w:sz w:val="32"/>
          <w:szCs w:val="32"/>
        </w:rPr>
        <w:t>公务用车运行维护费支出26.39万元。</w:t>
      </w:r>
      <w:r>
        <w:rPr>
          <w:rFonts w:hint="eastAsia" w:ascii="仿宋_GB2312" w:eastAsia="仿宋_GB2312"/>
          <w:color w:val="000000"/>
          <w:sz w:val="32"/>
          <w:szCs w:val="32"/>
        </w:rPr>
        <w:t>主要用于</w:t>
      </w:r>
      <w:r>
        <w:rPr>
          <w:rFonts w:hint="eastAsia" w:ascii="仿宋_GB2312" w:eastAsia="仿宋_GB2312"/>
          <w:sz w:val="32"/>
          <w:szCs w:val="32"/>
        </w:rPr>
        <w:t>保障局机关及下属事业单位正常运转及完成特定工作任务</w:t>
      </w:r>
      <w:r>
        <w:rPr>
          <w:rFonts w:hint="eastAsia" w:ascii="仿宋_GB2312" w:eastAsia="仿宋_GB2312"/>
          <w:color w:val="000000"/>
          <w:sz w:val="32"/>
          <w:szCs w:val="32"/>
        </w:rPr>
        <w:t xml:space="preserve">等所需的公务用车燃料费、维修费、过路过桥费、保险费等支出。 </w:t>
      </w:r>
    </w:p>
    <w:p>
      <w:pPr>
        <w:spacing w:line="600" w:lineRule="exact"/>
        <w:ind w:firstLine="640"/>
        <w:rPr>
          <w:rFonts w:eastAsia="仿宋_GB2312"/>
          <w:sz w:val="32"/>
          <w:szCs w:val="32"/>
        </w:rPr>
      </w:pPr>
      <w:r>
        <w:rPr>
          <w:rFonts w:hint="eastAsia" w:ascii="仿宋_GB2312" w:eastAsia="仿宋_GB2312"/>
          <w:sz w:val="32"/>
          <w:szCs w:val="32"/>
        </w:rPr>
        <w:t>3.公务接待费支出3.25万元，</w:t>
      </w:r>
      <w:r>
        <w:rPr>
          <w:rStyle w:val="15"/>
          <w:rFonts w:hint="eastAsia" w:ascii="仿宋_GB2312" w:eastAsia="仿宋_GB2312"/>
          <w:b w:val="0"/>
          <w:bCs/>
          <w:sz w:val="32"/>
          <w:szCs w:val="32"/>
        </w:rPr>
        <w:t>完成预算100%。</w:t>
      </w:r>
      <w:r>
        <w:rPr>
          <w:rFonts w:hint="eastAsia" w:ascii="仿宋_GB2312" w:eastAsia="仿宋_GB2312"/>
          <w:sz w:val="32"/>
          <w:szCs w:val="32"/>
        </w:rPr>
        <w:t>公务接待费支出决算比2020年增加1.14万元，增长54%。主要原因是2021年疫情较2020年有所缓解，来攀考察人员及上级</w:t>
      </w:r>
      <w:r>
        <w:rPr>
          <w:rFonts w:eastAsia="仿宋_GB2312"/>
          <w:sz w:val="32"/>
          <w:szCs w:val="32"/>
        </w:rPr>
        <w:t>检查次数增多。其中：</w:t>
      </w:r>
    </w:p>
    <w:p>
      <w:pPr>
        <w:spacing w:line="600" w:lineRule="exact"/>
        <w:ind w:firstLine="640"/>
        <w:rPr>
          <w:rFonts w:eastAsia="仿宋_GB2312"/>
          <w:sz w:val="32"/>
          <w:szCs w:val="32"/>
        </w:rPr>
      </w:pPr>
      <w:r>
        <w:rPr>
          <w:rFonts w:eastAsia="仿宋_GB2312"/>
          <w:sz w:val="32"/>
          <w:szCs w:val="32"/>
        </w:rPr>
        <w:t>国内公务接待支出3.25万元，</w:t>
      </w:r>
      <w:r>
        <w:rPr>
          <w:rFonts w:eastAsia="仿宋_GB2312"/>
          <w:color w:val="000000"/>
          <w:sz w:val="32"/>
          <w:szCs w:val="32"/>
        </w:rPr>
        <w:t>主要用于接待公务来攀考察民政工作等相关人员用餐费</w:t>
      </w:r>
      <w:r>
        <w:rPr>
          <w:rFonts w:eastAsia="仿宋_GB2312"/>
          <w:sz w:val="32"/>
          <w:szCs w:val="32"/>
        </w:rPr>
        <w:t>。国内公务接待42批次，206人次（不包括陪同人员），共计支出3.25万元，具体内容包括：接待民政厅森林防火督导和村委会换届调研0.19万元，接待黔南州招商引资考察0.23万元，接待民政厅调研、咸宁养老工作考察、阳泉市民政局康养产业考察等1.27万元，接待护送受助人员来我市的各救助站点工作人员支出1.36万元。</w:t>
      </w:r>
    </w:p>
    <w:p>
      <w:pPr>
        <w:spacing w:line="600" w:lineRule="exact"/>
        <w:ind w:firstLine="642" w:firstLineChars="200"/>
        <w:rPr>
          <w:rFonts w:eastAsia="仿宋_GB2312"/>
          <w:sz w:val="32"/>
          <w:szCs w:val="32"/>
        </w:rPr>
      </w:pPr>
      <w:r>
        <w:rPr>
          <w:rFonts w:eastAsia="仿宋_GB2312"/>
          <w:b/>
          <w:sz w:val="32"/>
          <w:szCs w:val="32"/>
        </w:rPr>
        <w:t>外事接待支出</w:t>
      </w:r>
      <w:r>
        <w:rPr>
          <w:rFonts w:eastAsia="仿宋_GB2312"/>
          <w:sz w:val="32"/>
          <w:szCs w:val="32"/>
        </w:rPr>
        <w:t>0万元，外事接待0批次，0人，共计支出0万元。</w:t>
      </w: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eastAsia="仿宋_GB2312"/>
          <w:sz w:val="32"/>
          <w:szCs w:val="32"/>
        </w:rPr>
      </w:pPr>
      <w:r>
        <w:rPr>
          <w:rFonts w:eastAsia="仿宋_GB2312"/>
          <w:sz w:val="32"/>
          <w:szCs w:val="32"/>
        </w:rPr>
        <w:t>2021年政府性基金预算财政拨款支出570.41万元。</w:t>
      </w:r>
    </w:p>
    <w:p>
      <w:pPr>
        <w:numPr>
          <w:ilvl w:val="0"/>
          <w:numId w:val="2"/>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eastAsia="仿宋_GB2312"/>
          <w:sz w:val="32"/>
          <w:szCs w:val="32"/>
        </w:rPr>
      </w:pPr>
      <w:r>
        <w:rPr>
          <w:rFonts w:eastAsia="仿宋_GB2312"/>
          <w:sz w:val="32"/>
          <w:szCs w:val="32"/>
        </w:rPr>
        <w:t>2021年国有资本经营预算财政拨款支出0万元。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26"/>
          <w:rFonts w:ascii="黑体" w:hAnsi="黑体" w:eastAsia="黑体"/>
          <w:b w:val="0"/>
        </w:rPr>
      </w:pPr>
      <w:bookmarkStart w:id="50" w:name="_Toc15396612"/>
      <w:bookmarkStart w:id="51" w:name="_Toc15377221"/>
      <w:r>
        <w:rPr>
          <w:rStyle w:val="26"/>
          <w:rFonts w:hint="eastAsia" w:ascii="黑体" w:hAnsi="黑体" w:eastAsia="黑体"/>
          <w:b w:val="0"/>
        </w:rPr>
        <w:t>其他重要事项的情况说明</w:t>
      </w:r>
      <w:bookmarkEnd w:id="50"/>
      <w:bookmarkEnd w:id="51"/>
    </w:p>
    <w:p>
      <w:pPr>
        <w:spacing w:line="600" w:lineRule="exact"/>
        <w:ind w:firstLine="642" w:firstLineChars="200"/>
        <w:outlineLvl w:val="2"/>
        <w:rPr>
          <w:rFonts w:ascii="楷体" w:hAnsi="楷体" w:eastAsia="楷体"/>
          <w:sz w:val="32"/>
          <w:szCs w:val="32"/>
        </w:rPr>
      </w:pPr>
      <w:bookmarkStart w:id="52" w:name="_Toc15377222"/>
      <w:r>
        <w:rPr>
          <w:rFonts w:hint="eastAsia" w:ascii="楷体" w:hAnsi="楷体" w:eastAsia="楷体"/>
          <w:b/>
          <w:sz w:val="32"/>
          <w:szCs w:val="32"/>
        </w:rPr>
        <w:t>（一）机关运行经费支出情况</w:t>
      </w:r>
      <w:bookmarkEnd w:id="52"/>
    </w:p>
    <w:p>
      <w:pPr>
        <w:spacing w:line="600" w:lineRule="exact"/>
        <w:ind w:firstLine="640" w:firstLineChars="200"/>
        <w:rPr>
          <w:rFonts w:eastAsia="仿宋_GB2312"/>
          <w:sz w:val="32"/>
          <w:szCs w:val="32"/>
        </w:rPr>
      </w:pPr>
      <w:r>
        <w:rPr>
          <w:rFonts w:eastAsia="仿宋_GB2312"/>
          <w:sz w:val="32"/>
          <w:szCs w:val="32"/>
        </w:rPr>
        <w:t>2021年，我局系统机关运行经费支出93.37万元，比2020年增加0.95万元，增长0.92%。主要原因是疫情缓解差旅费增加。</w:t>
      </w:r>
      <w:bookmarkStart w:id="53" w:name="_Toc15377223"/>
    </w:p>
    <w:p>
      <w:pPr>
        <w:spacing w:line="600" w:lineRule="exact"/>
        <w:ind w:firstLine="642" w:firstLineChars="200"/>
        <w:rPr>
          <w:rFonts w:ascii="楷体" w:hAnsi="楷体" w:eastAsia="楷体"/>
          <w:b/>
          <w:sz w:val="32"/>
          <w:szCs w:val="32"/>
        </w:rPr>
      </w:pPr>
      <w:r>
        <w:rPr>
          <w:rFonts w:hint="eastAsia" w:ascii="楷体" w:hAnsi="楷体" w:eastAsia="楷体"/>
          <w:b/>
          <w:sz w:val="32"/>
          <w:szCs w:val="32"/>
        </w:rPr>
        <w:t>（二）政府采购支出情况</w:t>
      </w:r>
      <w:bookmarkEnd w:id="53"/>
    </w:p>
    <w:p>
      <w:pPr>
        <w:spacing w:line="600" w:lineRule="exact"/>
        <w:ind w:firstLine="640" w:firstLineChars="200"/>
        <w:rPr>
          <w:rFonts w:eastAsia="仿宋_GB2312"/>
          <w:sz w:val="32"/>
          <w:szCs w:val="32"/>
        </w:rPr>
      </w:pPr>
      <w:r>
        <w:rPr>
          <w:rFonts w:eastAsia="仿宋_GB2312"/>
          <w:sz w:val="32"/>
          <w:szCs w:val="32"/>
        </w:rPr>
        <w:t>2021年，我局系统政府采购支出总额322.96万元，其中：政府采购货物支出149.38万元、政府采购工程支出57.58万元、政府采购服务支出116万元。主要用于居家养老综合服务中心项目及老年公寓设施设备采购、殡葬业务运行。授予中小企业合同金额0万元，占政府采购支出总额的0%，其中：授予小微企业合同金额0万元，占政府采购支出总额的0%。</w:t>
      </w:r>
    </w:p>
    <w:p>
      <w:pPr>
        <w:autoSpaceDE w:val="0"/>
        <w:autoSpaceDN w:val="0"/>
        <w:adjustRightInd w:val="0"/>
        <w:spacing w:line="600" w:lineRule="exact"/>
        <w:ind w:firstLine="642" w:firstLineChars="200"/>
        <w:jc w:val="left"/>
        <w:outlineLvl w:val="2"/>
        <w:rPr>
          <w:rFonts w:ascii="楷体" w:hAnsi="楷体" w:eastAsia="楷体"/>
          <w:b/>
          <w:sz w:val="32"/>
          <w:szCs w:val="32"/>
        </w:rPr>
      </w:pPr>
      <w:bookmarkStart w:id="54" w:name="_Toc15377224"/>
      <w:r>
        <w:rPr>
          <w:rFonts w:hint="eastAsia" w:ascii="楷体" w:hAnsi="楷体" w:eastAsia="楷体"/>
          <w:b/>
          <w:sz w:val="32"/>
          <w:szCs w:val="32"/>
        </w:rPr>
        <w:t>（三）国有资产占有使用情况</w:t>
      </w:r>
      <w:bookmarkEnd w:id="54"/>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截至2021年12月31日，我局系统共有车辆19辆，其中：应急保障用车3辆、特种专业技术用车10辆、其他用车6辆。其他用车主要是用于殡葬业务。</w:t>
      </w:r>
      <w:r>
        <w:rPr>
          <w:rFonts w:eastAsia="仿宋_GB2312"/>
          <w:color w:val="000000"/>
          <w:sz w:val="32"/>
          <w:szCs w:val="32"/>
        </w:rPr>
        <w:t>单价50万元以上通用设备2台（套），单价100万元以上专用设备0台（套）。</w:t>
      </w:r>
    </w:p>
    <w:p>
      <w:pPr>
        <w:autoSpaceDE w:val="0"/>
        <w:autoSpaceDN w:val="0"/>
        <w:adjustRightInd w:val="0"/>
        <w:spacing w:line="600" w:lineRule="exact"/>
        <w:ind w:firstLine="642" w:firstLineChars="200"/>
        <w:jc w:val="left"/>
        <w:outlineLvl w:val="2"/>
        <w:rPr>
          <w:rFonts w:ascii="楷体" w:hAnsi="楷体" w:eastAsia="楷体"/>
          <w:b/>
          <w:sz w:val="32"/>
          <w:szCs w:val="32"/>
        </w:rPr>
      </w:pPr>
      <w:r>
        <w:rPr>
          <w:rFonts w:hint="eastAsia" w:ascii="楷体" w:hAnsi="楷体" w:eastAsia="楷体"/>
          <w:b/>
          <w:sz w:val="32"/>
          <w:szCs w:val="32"/>
        </w:rPr>
        <w:t>（四）预算绩效管理情况</w:t>
      </w:r>
    </w:p>
    <w:p>
      <w:pPr>
        <w:spacing w:line="580" w:lineRule="exact"/>
        <w:ind w:firstLine="640" w:firstLineChars="200"/>
        <w:rPr>
          <w:rFonts w:eastAsia="仿宋_GB2312"/>
          <w:sz w:val="32"/>
          <w:szCs w:val="32"/>
        </w:rPr>
      </w:pPr>
      <w:r>
        <w:rPr>
          <w:rFonts w:hAnsi="仿宋_GB2312" w:eastAsia="仿宋_GB2312"/>
          <w:sz w:val="32"/>
          <w:szCs w:val="32"/>
        </w:rPr>
        <w:t>根据预算绩效管理要求，本部门在</w:t>
      </w:r>
      <w:r>
        <w:rPr>
          <w:rFonts w:eastAsia="仿宋_GB2312"/>
          <w:sz w:val="32"/>
          <w:szCs w:val="32"/>
        </w:rPr>
        <w:t>2021</w:t>
      </w:r>
      <w:r>
        <w:rPr>
          <w:rFonts w:hAnsi="仿宋_GB2312" w:eastAsia="仿宋_GB2312"/>
          <w:sz w:val="32"/>
          <w:szCs w:val="32"/>
        </w:rPr>
        <w:t>年度预算编制阶段，组织对会理康复院麻风病人生活补助、走访慰问和临时性救助资金、殡葬业务运行费等</w:t>
      </w:r>
      <w:r>
        <w:rPr>
          <w:rFonts w:eastAsia="仿宋_GB2312"/>
          <w:sz w:val="32"/>
          <w:szCs w:val="32"/>
        </w:rPr>
        <w:t>13</w:t>
      </w:r>
      <w:r>
        <w:rPr>
          <w:rFonts w:hAnsi="仿宋_GB2312" w:eastAsia="仿宋_GB2312"/>
          <w:sz w:val="32"/>
          <w:szCs w:val="32"/>
        </w:rPr>
        <w:t>个项目开展了预算事前绩效评估，对</w:t>
      </w:r>
      <w:r>
        <w:rPr>
          <w:rFonts w:eastAsia="仿宋_GB2312"/>
          <w:sz w:val="32"/>
          <w:szCs w:val="32"/>
        </w:rPr>
        <w:t>13</w:t>
      </w:r>
      <w:r>
        <w:rPr>
          <w:rFonts w:hAnsi="仿宋_GB2312" w:eastAsia="仿宋_GB2312"/>
          <w:sz w:val="32"/>
          <w:szCs w:val="32"/>
        </w:rPr>
        <w:t>个项目编制了绩效目标，预算执行过程中，选取</w:t>
      </w:r>
      <w:r>
        <w:rPr>
          <w:rFonts w:eastAsia="仿宋_GB2312"/>
          <w:sz w:val="32"/>
          <w:szCs w:val="32"/>
        </w:rPr>
        <w:t>13</w:t>
      </w:r>
      <w:r>
        <w:rPr>
          <w:rFonts w:hAnsi="仿宋_GB2312" w:eastAsia="仿宋_GB2312"/>
          <w:sz w:val="32"/>
          <w:szCs w:val="32"/>
        </w:rPr>
        <w:t>个项目开展绩效监控，年终执行完毕后，对</w:t>
      </w:r>
      <w:r>
        <w:rPr>
          <w:rFonts w:eastAsia="仿宋_GB2312"/>
          <w:sz w:val="32"/>
          <w:szCs w:val="32"/>
        </w:rPr>
        <w:t>13</w:t>
      </w:r>
      <w:r>
        <w:rPr>
          <w:rFonts w:hAnsi="仿宋_GB2312" w:eastAsia="仿宋_GB2312"/>
          <w:sz w:val="32"/>
          <w:szCs w:val="32"/>
        </w:rPr>
        <w:t>个项目开展了绩效自评。同时，本部门对</w:t>
      </w:r>
      <w:r>
        <w:rPr>
          <w:rFonts w:eastAsia="仿宋_GB2312"/>
          <w:sz w:val="32"/>
          <w:szCs w:val="32"/>
        </w:rPr>
        <w:t>2021</w:t>
      </w:r>
      <w:r>
        <w:rPr>
          <w:rFonts w:hAnsi="仿宋_GB2312" w:eastAsia="仿宋_GB2312"/>
          <w:sz w:val="32"/>
          <w:szCs w:val="32"/>
        </w:rPr>
        <w:t>年部门整体开展绩效自评，《</w:t>
      </w:r>
      <w:r>
        <w:rPr>
          <w:rFonts w:eastAsia="仿宋_GB2312"/>
          <w:sz w:val="32"/>
          <w:szCs w:val="32"/>
        </w:rPr>
        <w:t>2021</w:t>
      </w:r>
      <w:r>
        <w:rPr>
          <w:rFonts w:hAnsi="仿宋_GB2312" w:eastAsia="仿宋_GB2312"/>
          <w:sz w:val="32"/>
          <w:szCs w:val="32"/>
        </w:rPr>
        <w:t>年攀枝花市民政局部门整体绩效评价报告》见附件（第四部分）。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Times New Roman" w:hAnsi="Times New Roman" w:eastAsia="仿宋_GB2312" w:cs="Times New Roman"/>
          <w:sz w:val="32"/>
          <w:szCs w:val="32"/>
        </w:rPr>
      </w:pPr>
      <w:bookmarkStart w:id="57" w:name="_Toc15377226"/>
      <w:r>
        <w:rPr>
          <w:rFonts w:ascii="Times New Roman" w:hAnsi="Times New Roman" w:eastAsia="仿宋_GB2312" w:cs="Times New Roman"/>
          <w:sz w:val="32"/>
          <w:szCs w:val="32"/>
        </w:rPr>
        <w:t>1.财政拨款收入：指单位从同级财政部门取得的财政预算资金。</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2.年初结转和结余：指以前年度尚未完成、结转到本年按有关规定继续使用的资金。 </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3.结余分配：指事业单位按照会计制度规定缴纳的所得税、提取的专用结余以及转入非财政拨款结余的金额等。</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4、年末结转和结余：指单位按有关规定结转到下年或以后年度继续使用的资金。</w:t>
      </w:r>
    </w:p>
    <w:p>
      <w:pPr>
        <w:ind w:firstLine="640" w:firstLineChars="200"/>
        <w:rPr>
          <w:rFonts w:eastAsia="仿宋_GB2312"/>
          <w:color w:val="000000"/>
          <w:sz w:val="32"/>
          <w:szCs w:val="32"/>
        </w:rPr>
      </w:pPr>
      <w:r>
        <w:rPr>
          <w:rFonts w:eastAsia="仿宋_GB2312"/>
          <w:color w:val="000000"/>
          <w:sz w:val="32"/>
          <w:szCs w:val="32"/>
        </w:rPr>
        <w:t>5.</w:t>
      </w:r>
      <w:r>
        <w:rPr>
          <w:rStyle w:val="15"/>
          <w:rFonts w:eastAsia="仿宋_GB2312"/>
          <w:b w:val="0"/>
          <w:color w:val="000000"/>
          <w:sz w:val="32"/>
          <w:szCs w:val="32"/>
        </w:rPr>
        <w:t>一般公共服务（类）组织事务（款）其他组织事务支出（项）:反映</w:t>
      </w:r>
      <w:r>
        <w:rPr>
          <w:rFonts w:eastAsia="仿宋_GB2312"/>
          <w:color w:val="000000"/>
          <w:sz w:val="32"/>
          <w:szCs w:val="32"/>
        </w:rPr>
        <w:t>其他用于中国共产党组织部门的事务支出。</w:t>
      </w:r>
    </w:p>
    <w:p>
      <w:pPr>
        <w:ind w:firstLine="640" w:firstLineChars="200"/>
        <w:rPr>
          <w:rFonts w:eastAsia="仿宋_GB2312"/>
          <w:color w:val="000000"/>
          <w:sz w:val="32"/>
          <w:szCs w:val="32"/>
        </w:rPr>
      </w:pPr>
      <w:r>
        <w:rPr>
          <w:rFonts w:eastAsia="仿宋_GB2312"/>
          <w:color w:val="000000"/>
          <w:sz w:val="32"/>
          <w:szCs w:val="32"/>
        </w:rPr>
        <w:t>6.</w:t>
      </w:r>
      <w:r>
        <w:rPr>
          <w:rStyle w:val="15"/>
          <w:rFonts w:eastAsia="仿宋_GB2312"/>
          <w:b w:val="0"/>
          <w:color w:val="000000"/>
          <w:sz w:val="32"/>
          <w:szCs w:val="32"/>
        </w:rPr>
        <w:t>社会保障和就业（类）民政管理事务（款）行政运行（项）:反映行政单位（包括实行公务员管理的事业单位）的基本支出</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7.</w:t>
      </w:r>
      <w:r>
        <w:rPr>
          <w:rStyle w:val="15"/>
          <w:rFonts w:eastAsia="仿宋_GB2312"/>
          <w:b w:val="0"/>
          <w:color w:val="000000"/>
          <w:sz w:val="32"/>
          <w:szCs w:val="32"/>
        </w:rPr>
        <w:t>社会保障和就业（类）民政管理事务（款）一般行政管理事务（项）:反映行政单位（包括实行公务员管理的事业单位）未单独设置项级科目的其他项目支出</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8.</w:t>
      </w:r>
      <w:r>
        <w:rPr>
          <w:rStyle w:val="15"/>
          <w:rFonts w:eastAsia="仿宋_GB2312"/>
          <w:b w:val="0"/>
          <w:color w:val="000000"/>
          <w:sz w:val="32"/>
          <w:szCs w:val="32"/>
        </w:rPr>
        <w:t>社会保障和就业（类）民政管理事务（款）行政区划和地名管理（项）:反映行政区划界线勘定、维护，以及行政区划和地名管理支出</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9.</w:t>
      </w:r>
      <w:r>
        <w:rPr>
          <w:rStyle w:val="15"/>
          <w:rFonts w:eastAsia="仿宋_GB2312"/>
          <w:b w:val="0"/>
          <w:color w:val="000000"/>
          <w:sz w:val="32"/>
          <w:szCs w:val="32"/>
        </w:rPr>
        <w:t>社会保障和就业（类）民政管理事务（款）其他民政管理事务支出（项）:反映民政部门接待来访、法制建设、政策宣传方面的支出，以及开展优抚安置、救灾减灾、社会救助、社会福利、婚姻登记、社会事务、信息化建设等专项业务的支出</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10.</w:t>
      </w:r>
      <w:r>
        <w:rPr>
          <w:rStyle w:val="15"/>
          <w:rFonts w:eastAsia="仿宋_GB2312"/>
          <w:b w:val="0"/>
          <w:color w:val="000000"/>
          <w:sz w:val="32"/>
          <w:szCs w:val="32"/>
        </w:rPr>
        <w:t>社会保障和就业（类）行政事业单位养老支出（款）    行政单位离退休（项）</w:t>
      </w:r>
      <w:r>
        <w:rPr>
          <w:rFonts w:eastAsia="仿宋_GB2312"/>
          <w:color w:val="000000"/>
          <w:sz w:val="32"/>
          <w:szCs w:val="32"/>
        </w:rPr>
        <w:t>：反映</w:t>
      </w:r>
      <w:r>
        <w:rPr>
          <w:rStyle w:val="15"/>
          <w:rFonts w:eastAsia="仿宋_GB2312"/>
          <w:b w:val="0"/>
          <w:color w:val="000000"/>
          <w:sz w:val="32"/>
          <w:szCs w:val="32"/>
        </w:rPr>
        <w:t>行政单位（包括实行公务员管理的事业单位）开支的离退休经费</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11.</w:t>
      </w:r>
      <w:r>
        <w:rPr>
          <w:rStyle w:val="15"/>
          <w:rFonts w:eastAsia="仿宋_GB2312"/>
          <w:b w:val="0"/>
          <w:color w:val="000000"/>
          <w:sz w:val="32"/>
          <w:szCs w:val="32"/>
        </w:rPr>
        <w:t>社会保障和就业（类）行政事业单位养老支出（款）      机关事业单位基本养老保险缴费支出（项）</w:t>
      </w:r>
      <w:r>
        <w:rPr>
          <w:rFonts w:eastAsia="仿宋_GB2312"/>
          <w:color w:val="000000"/>
          <w:sz w:val="32"/>
          <w:szCs w:val="32"/>
        </w:rPr>
        <w:t>：反映机关事业单位实施养老保险制度由单位缴纳的基本养老保险费支出。</w:t>
      </w:r>
    </w:p>
    <w:p>
      <w:pPr>
        <w:pStyle w:val="5"/>
        <w:spacing w:before="93"/>
        <w:ind w:firstLine="640" w:firstLineChars="200"/>
        <w:rPr>
          <w:rFonts w:ascii="Times New Roman"/>
        </w:rPr>
      </w:pPr>
      <w:r>
        <w:rPr>
          <w:rFonts w:ascii="Times New Roman"/>
          <w:color w:val="000000"/>
          <w:sz w:val="32"/>
          <w:szCs w:val="32"/>
        </w:rPr>
        <w:t>12.</w:t>
      </w:r>
      <w:r>
        <w:rPr>
          <w:rStyle w:val="15"/>
          <w:rFonts w:ascii="Times New Roman"/>
          <w:b w:val="0"/>
          <w:color w:val="000000"/>
          <w:sz w:val="32"/>
          <w:szCs w:val="32"/>
        </w:rPr>
        <w:t>社会保障和就业（类）行政事业单位养老支出（款）    事业单位离退休（项）</w:t>
      </w:r>
      <w:r>
        <w:rPr>
          <w:rFonts w:ascii="Times New Roman"/>
          <w:color w:val="000000"/>
          <w:sz w:val="32"/>
          <w:szCs w:val="32"/>
        </w:rPr>
        <w:t>：反映</w:t>
      </w:r>
      <w:r>
        <w:rPr>
          <w:rStyle w:val="15"/>
          <w:rFonts w:ascii="Times New Roman"/>
          <w:b w:val="0"/>
          <w:color w:val="000000"/>
          <w:sz w:val="32"/>
          <w:szCs w:val="32"/>
        </w:rPr>
        <w:t>事业单位开支的离退休经费。</w:t>
      </w:r>
    </w:p>
    <w:p>
      <w:pPr>
        <w:ind w:firstLine="640" w:firstLineChars="200"/>
        <w:rPr>
          <w:rFonts w:eastAsia="仿宋_GB2312"/>
          <w:color w:val="000000"/>
          <w:sz w:val="32"/>
          <w:szCs w:val="32"/>
        </w:rPr>
      </w:pPr>
      <w:r>
        <w:rPr>
          <w:rFonts w:eastAsia="仿宋_GB2312"/>
          <w:color w:val="000000"/>
          <w:sz w:val="32"/>
          <w:szCs w:val="32"/>
        </w:rPr>
        <w:t>13.</w:t>
      </w:r>
      <w:r>
        <w:rPr>
          <w:rStyle w:val="15"/>
          <w:rFonts w:eastAsia="仿宋_GB2312"/>
          <w:b w:val="0"/>
          <w:color w:val="000000"/>
          <w:sz w:val="32"/>
          <w:szCs w:val="32"/>
        </w:rPr>
        <w:t>社会保障和就业（类）抚恤（款）死亡抚恤（项）</w:t>
      </w:r>
      <w:r>
        <w:rPr>
          <w:rFonts w:eastAsia="仿宋_GB2312"/>
          <w:color w:val="000000"/>
          <w:sz w:val="32"/>
          <w:szCs w:val="32"/>
        </w:rPr>
        <w:t>：反映按规定用于烈士和牺牲、病故人员家属的一次性和定期抚恤金以及丧葬费补助。</w:t>
      </w:r>
    </w:p>
    <w:p>
      <w:pPr>
        <w:ind w:firstLine="640" w:firstLineChars="200"/>
        <w:rPr>
          <w:rFonts w:eastAsia="仿宋_GB2312"/>
          <w:color w:val="000000"/>
          <w:sz w:val="32"/>
          <w:szCs w:val="32"/>
        </w:rPr>
      </w:pPr>
      <w:r>
        <w:rPr>
          <w:rFonts w:eastAsia="仿宋_GB2312"/>
          <w:color w:val="000000"/>
          <w:sz w:val="32"/>
          <w:szCs w:val="32"/>
        </w:rPr>
        <w:t>14.</w:t>
      </w:r>
      <w:r>
        <w:rPr>
          <w:rStyle w:val="15"/>
          <w:rFonts w:eastAsia="仿宋_GB2312"/>
          <w:b w:val="0"/>
          <w:color w:val="000000"/>
          <w:sz w:val="32"/>
          <w:szCs w:val="32"/>
        </w:rPr>
        <w:t>社会保障和就业（类）社会福利（款）儿童福利（项）:</w:t>
      </w:r>
      <w:r>
        <w:rPr>
          <w:rStyle w:val="15"/>
          <w:rFonts w:eastAsia="仿宋_GB2312"/>
          <w:b w:val="0"/>
          <w:bCs/>
          <w:color w:val="000000"/>
          <w:sz w:val="32"/>
          <w:szCs w:val="32"/>
        </w:rPr>
        <w:t xml:space="preserve"> </w:t>
      </w:r>
      <w:r>
        <w:rPr>
          <w:rFonts w:eastAsia="仿宋_GB2312"/>
          <w:color w:val="000000"/>
          <w:sz w:val="32"/>
          <w:szCs w:val="32"/>
        </w:rPr>
        <w:t>反映对儿童提供福利服务方面的支出。</w:t>
      </w:r>
    </w:p>
    <w:p>
      <w:pPr>
        <w:ind w:firstLine="640" w:firstLineChars="200"/>
        <w:rPr>
          <w:rFonts w:eastAsia="仿宋_GB2312"/>
          <w:color w:val="000000"/>
          <w:sz w:val="32"/>
          <w:szCs w:val="32"/>
        </w:rPr>
      </w:pPr>
      <w:r>
        <w:rPr>
          <w:rFonts w:eastAsia="仿宋_GB2312"/>
          <w:color w:val="000000"/>
          <w:sz w:val="32"/>
          <w:szCs w:val="32"/>
        </w:rPr>
        <w:t>15.</w:t>
      </w:r>
      <w:r>
        <w:rPr>
          <w:rStyle w:val="15"/>
          <w:rFonts w:eastAsia="仿宋_GB2312"/>
          <w:b w:val="0"/>
          <w:color w:val="000000"/>
          <w:sz w:val="32"/>
          <w:szCs w:val="32"/>
        </w:rPr>
        <w:t>社会保障和就业（类）社会福利（款）殡葬（项）:</w:t>
      </w:r>
      <w:r>
        <w:rPr>
          <w:rStyle w:val="15"/>
          <w:rFonts w:eastAsia="仿宋_GB2312"/>
          <w:b w:val="0"/>
          <w:bCs/>
          <w:color w:val="000000"/>
          <w:sz w:val="32"/>
          <w:szCs w:val="32"/>
        </w:rPr>
        <w:t xml:space="preserve"> </w:t>
      </w:r>
      <w:r>
        <w:rPr>
          <w:rFonts w:eastAsia="仿宋_GB2312"/>
          <w:color w:val="000000"/>
          <w:sz w:val="32"/>
          <w:szCs w:val="32"/>
        </w:rPr>
        <w:t>反映殡葬管理和殡葬服务方面的支出，包括民政部门直属的殡仪馆、公墓、殡葬管理服务机构的支出。</w:t>
      </w:r>
    </w:p>
    <w:p>
      <w:pPr>
        <w:pStyle w:val="5"/>
        <w:spacing w:before="93"/>
        <w:ind w:firstLine="640" w:firstLineChars="200"/>
        <w:rPr>
          <w:rFonts w:ascii="Times New Roman"/>
        </w:rPr>
      </w:pPr>
      <w:r>
        <w:rPr>
          <w:rFonts w:ascii="Times New Roman"/>
          <w:sz w:val="32"/>
          <w:szCs w:val="32"/>
        </w:rPr>
        <w:t>16.社会保障和就业（类）社会福利（款）社会福利事业单位（项）：反映民政部门举办的社会福利事业单位的支出，以及对集体社会福利事业单位的补助费。</w:t>
      </w:r>
    </w:p>
    <w:p>
      <w:pPr>
        <w:ind w:firstLine="640" w:firstLineChars="200"/>
        <w:rPr>
          <w:rFonts w:eastAsia="仿宋_GB2312"/>
          <w:color w:val="000000"/>
          <w:sz w:val="32"/>
          <w:szCs w:val="32"/>
        </w:rPr>
      </w:pPr>
      <w:r>
        <w:rPr>
          <w:rFonts w:eastAsia="仿宋_GB2312"/>
          <w:color w:val="000000"/>
          <w:sz w:val="32"/>
          <w:szCs w:val="32"/>
        </w:rPr>
        <w:t>17.基本支出：指为保障机构正常运转、完成日常工作任务而发生的人员支出和公用支出。</w:t>
      </w:r>
    </w:p>
    <w:p>
      <w:pPr>
        <w:ind w:firstLine="640" w:firstLineChars="200"/>
        <w:rPr>
          <w:rFonts w:eastAsia="仿宋_GB2312"/>
          <w:color w:val="000000"/>
          <w:sz w:val="32"/>
          <w:szCs w:val="32"/>
        </w:rPr>
      </w:pPr>
      <w:r>
        <w:rPr>
          <w:rFonts w:eastAsia="仿宋_GB2312"/>
          <w:color w:val="000000"/>
          <w:sz w:val="32"/>
          <w:szCs w:val="32"/>
        </w:rPr>
        <w:t xml:space="preserve">18.项目支出：指在基本支出之外为完成特定行政任务和事业发展目标所发生的支出。 </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outlineLvl w:val="0"/>
        <w:rPr>
          <w:rStyle w:val="25"/>
          <w:rFonts w:ascii="黑体" w:hAnsi="黑体" w:eastAsia="黑体"/>
          <w:b w:val="0"/>
        </w:rPr>
      </w:pPr>
      <w:r>
        <w:rPr>
          <w:rFonts w:eastAsia="仿宋_GB2312"/>
          <w:b/>
          <w:sz w:val="44"/>
          <w:szCs w:val="44"/>
        </w:rPr>
        <w:br w:type="page"/>
      </w:r>
      <w:bookmarkStart w:id="58" w:name="_Toc15396614"/>
      <w:r>
        <w:rPr>
          <w:rFonts w:hint="eastAsia" w:ascii="宋体"/>
          <w:b/>
          <w:sz w:val="44"/>
          <w:szCs w:val="44"/>
        </w:rPr>
        <w:t xml:space="preserve">            </w:t>
      </w:r>
      <w:r>
        <w:rPr>
          <w:rFonts w:hint="eastAsia" w:ascii="黑体" w:hAnsi="黑体" w:eastAsia="黑体"/>
          <w:sz w:val="44"/>
          <w:szCs w:val="44"/>
        </w:rPr>
        <w:t>第</w:t>
      </w:r>
      <w:r>
        <w:rPr>
          <w:rStyle w:val="25"/>
          <w:rFonts w:hint="eastAsia" w:ascii="黑体" w:hAnsi="黑体" w:eastAsia="黑体"/>
          <w:b w:val="0"/>
        </w:rPr>
        <w:t>四部分 附件</w:t>
      </w:r>
      <w:bookmarkEnd w:id="58"/>
    </w:p>
    <w:p>
      <w:pPr>
        <w:pStyle w:val="5"/>
        <w:spacing w:before="93" w:line="700" w:lineRule="exact"/>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lang w:val="zh-CN"/>
        </w:rPr>
        <w:t>攀枝花市民政局</w:t>
      </w:r>
    </w:p>
    <w:p>
      <w:pPr>
        <w:pStyle w:val="5"/>
        <w:spacing w:before="93" w:line="700" w:lineRule="exact"/>
        <w:jc w:val="center"/>
        <w:rPr>
          <w:rFonts w:ascii="方正小标宋_GBK" w:hAnsi="方正小标宋_GBK" w:eastAsia="方正小标宋_GBK" w:cs="方正小标宋_GBK"/>
          <w:sz w:val="44"/>
          <w:szCs w:val="44"/>
          <w:shd w:val="clear" w:color="auto" w:fill="FFFFFF"/>
          <w:lang w:val="zh-CN"/>
        </w:rPr>
      </w:pPr>
      <w:r>
        <w:rPr>
          <w:rFonts w:hint="eastAsia" w:ascii="方正小标宋_GBK" w:hAnsi="方正小标宋_GBK" w:eastAsia="方正小标宋_GBK" w:cs="方正小标宋_GBK"/>
          <w:sz w:val="44"/>
          <w:szCs w:val="44"/>
          <w:shd w:val="clear" w:color="auto" w:fill="FFFFFF"/>
          <w:lang w:val="zh-CN"/>
        </w:rPr>
        <w:t>部门预算整体绩效自评报告</w:t>
      </w:r>
    </w:p>
    <w:p>
      <w:pPr>
        <w:pStyle w:val="5"/>
        <w:spacing w:before="93" w:line="700" w:lineRule="exact"/>
        <w:jc w:val="center"/>
        <w:rPr>
          <w:rFonts w:hAnsi="宋体" w:cs="宋体"/>
          <w:sz w:val="32"/>
          <w:szCs w:val="32"/>
          <w:shd w:val="clear" w:color="auto" w:fill="FFFFFF"/>
          <w:lang w:val="zh-CN"/>
        </w:rPr>
      </w:pPr>
    </w:p>
    <w:p>
      <w:pPr>
        <w:pStyle w:val="5"/>
        <w:spacing w:beforeLines="0" w:line="600" w:lineRule="exact"/>
        <w:ind w:firstLine="640" w:firstLineChars="200"/>
        <w:rPr>
          <w:rFonts w:ascii="黑体" w:hAnsi="黑体" w:eastAsia="黑体" w:cs="黑体"/>
          <w:sz w:val="32"/>
          <w:szCs w:val="32"/>
          <w:shd w:val="clear" w:color="auto" w:fill="FFFFFF"/>
          <w:lang w:val="zh-CN"/>
        </w:rPr>
      </w:pPr>
      <w:r>
        <w:rPr>
          <w:rFonts w:hint="eastAsia" w:ascii="黑体" w:hAnsi="黑体" w:eastAsia="黑体" w:cs="黑体"/>
          <w:sz w:val="32"/>
          <w:szCs w:val="32"/>
          <w:shd w:val="clear" w:color="auto" w:fill="FFFFFF"/>
          <w:lang w:val="zh-CN"/>
        </w:rPr>
        <w:t>一、部门概况</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（一）机构职能</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1.贯彻执行党和国家有关民政工作的方针政策和法律法规，拟订全市民政事业发展规划、政策、标准并组织实施。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2.拟订社会团体、社会服务机构等社会组织登记和监督管理办法并组织实施，按照管理权限依法对社会组织进行登记管理和执法监督。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3.牵头拟订社会救助规划、政策、标准，统筹推进社会救助体系建设，负责城乡居民最低生活保障、特困人员救助供养、临时救助、生活无着流浪乞讨人员救助工作。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4.拟订城乡基层群众自治建设和社区治理政策，指导城乡社区治理体系、服务体系和治理能力建设，提出加强和改进城乡基层政权建设的建议，推动基层民主政治建设。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5.拟订行政区划管理政策和行政区域界线、地名管理办法，负责县（区）、乡（镇）行政区划设立、命名、撤销、变更和政府驻地迁移审核报批工作，组织并指导全市行政区域界线的勘定和管理工作。调处行政区域边界争议，负责全市地名管理工作。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6.组织实施婚姻管理政策，推进婚俗改革。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7.拟订殡葬管理政策、服务规范并组织实施，负责殡葬管理工作，推进殡葬改革。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8.拟订社会福利事业发展规划、政策、标准，拟订社会福利机构管理办法并指导实施，拟订残疾人权益保护政策并监督实施。负责康复辅助器具行业管理，统筹推进残疾人福利制度建设和康复辅助器具产业发展。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9.统筹推进、督促指导、监督管理养老服务工作，拟订养老服务体系建设规划、政策、标准并组织实施，承担老年人福利和特殊困难老年人救助工作，协调推进农村留守老年人关爱服务工作，承担城乡老年社会组织管理工作。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10.拟订儿童福利、孤弃儿童保障、儿童收养、儿童救助保护政策和标准并组织实施，健全农村留守儿童关爱服务体系和困境儿童保障制度。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11.组织拟订促进慈善事业发展政策，指导社会捐赠工作。指导福利彩票销售工作，管理本级福利彩票公益金，监督全市福利彩票公益金的管理、使用。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12.拟订社会工作、志愿服务政策和标准，会同有关部门推进社会工作人才队伍建设和相关志愿者队伍建设。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13.依法依规负责康复辅助器具行业和社会福利、养老服务、殡葬服务、救助管理机构安全生产监督管理工作。负责职责范围内的职业健康、生态环境保护、审批服务便民化等工作。 </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 xml:space="preserve">14.完成市委、市政府交办的其他任务。 </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（二）人员概况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截止2021年底，市民政局行政编制24名，机关后勤事业编制4 名，实有行政人员22人，机关后勤人员3人；市核对中心年末事业编制11名，实有人数7人。</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（三）固定资产情况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市民政局2021年固定资产期末账面数原值1699.27万元，累计折旧815.57万元，净值883.7万元，其中：土地、房屋及构筑物388.86万元，占固定资产的44%；通用设备483.14万元，占54.67%；专用设备0.02万元，占0.01%；文物和陈列品0万元，占0%；图书档案0万元，占0%；家具、用具、装具及动植物11.68万元，占1.32%。</w:t>
      </w:r>
    </w:p>
    <w:p>
      <w:pPr>
        <w:pStyle w:val="5"/>
        <w:spacing w:beforeLines="0" w:line="600" w:lineRule="exact"/>
        <w:ind w:firstLine="640" w:firstLineChars="200"/>
        <w:rPr>
          <w:rFonts w:ascii="黑体" w:hAnsi="黑体" w:eastAsia="黑体" w:cs="黑体"/>
          <w:sz w:val="32"/>
          <w:szCs w:val="32"/>
          <w:shd w:val="clear" w:color="auto" w:fill="FFFFFF"/>
          <w:lang w:val="zh-CN"/>
        </w:rPr>
      </w:pPr>
      <w:r>
        <w:rPr>
          <w:rFonts w:hint="eastAsia" w:ascii="黑体" w:hAnsi="黑体" w:eastAsia="黑体" w:cs="黑体"/>
          <w:sz w:val="32"/>
          <w:szCs w:val="32"/>
          <w:shd w:val="clear" w:color="auto" w:fill="FFFFFF"/>
          <w:lang w:val="zh-CN"/>
        </w:rPr>
        <w:t>二、部门资金基本情况</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（一）年初部门预算安排及支出情况</w:t>
      </w:r>
    </w:p>
    <w:p>
      <w:pPr>
        <w:pStyle w:val="5"/>
        <w:spacing w:beforeLines="0" w:line="600" w:lineRule="exact"/>
        <w:ind w:firstLine="640" w:firstLineChars="200"/>
        <w:rPr>
          <w:rFonts w:hAnsi="宋体" w:cs="宋体"/>
          <w:sz w:val="32"/>
          <w:szCs w:val="32"/>
          <w:shd w:val="clear" w:color="auto" w:fill="FFFFFF"/>
          <w:lang w:val="zh-CN"/>
        </w:rPr>
      </w:pPr>
      <w:r>
        <w:rPr>
          <w:rFonts w:hAnsi="宋体" w:cs="宋体"/>
          <w:sz w:val="32"/>
          <w:szCs w:val="32"/>
          <w:shd w:val="clear" w:color="auto" w:fill="FFFFFF"/>
          <w:lang w:val="zh-CN"/>
        </w:rPr>
        <w:t>1.基本支出安排及使用情况</w:t>
      </w:r>
      <w:r>
        <w:rPr>
          <w:rFonts w:ascii="楷体_GB2312" w:hAnsi="楷体_GB2312" w:eastAsia="楷体_GB2312" w:cs="楷体_GB2312"/>
          <w:sz w:val="32"/>
          <w:szCs w:val="32"/>
          <w:shd w:val="clear" w:color="auto" w:fill="FFFFFF"/>
          <w:lang w:val="zh-CN"/>
        </w:rPr>
        <w:t>。</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2021年度，攀枝花市民政局及直属事业单位基本支出年初预算安排3423.49万元，其中：人员经费1988.97万元，公用经费272.8万元。</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2080201——行政运行支出480.59万元，执行率100%（机关公务员人员经费、公用经费支出）</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2080299——其他民政管理事务支出37.05万元，执行率100%（事业人员人员经费、公用经费支出）</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2080501——行政单位离退休73.05万元，执行率100%（机关离退休费、离退休公用经费支出）</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2080505——机关事业单位基本养老保险缴费支出156.5万元，执行率100%（机关事业单位基本养老保险缴费支出）</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2210201——住房公积金161.27万元，执行率100%（职工住房公积金）</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2080502——事业单位离退休23.74万元，执行率100%（社会福利院退休人员经费）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2081005——社会福利事业单位390.99万元，执行率100%（社会福利院人员及公用经费）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2081004——殡葬390.99万元，执行率100%（殡葬服务中心人员及公用经费）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2082002——流浪乞讨人员救助支出254万元，执行率100%（人员及公用经费）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2081001——儿童福利424.92万元，执行率100%（儿童福利院人员及公用经费）</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2.部门预算项目安排及支出情况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2021年，攀枝花市民政局及直属事业单位项目支出年初预算安排1161.71万元，市民政局：慈善事业专项补助经费21万元，全市城区图编印经费15万元，走访慰问和临时性救助资金5万元，会理康复院麻风病人生活补助3万元，第二次全国地名普查项目3.01万元，城乡基层治理和能力建设费5万元；市社会福利院：特困人员支出45万元，自费代养人员支出70万元，戒毒代养人员支出10万元；市殡葬服务中心业务运行费892万元；市救助站业务运行费2.7万元，救助补助资金10万元；市儿童福利院孤儿收养费80万元。</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2021年项目支出完成807.73万元，其中：市民政局支出52.01万元，执行率100%；市社会福利院支出61.43万元，年底财政追减63.57万元，执行率100%；市殡葬服务中心支出626.62万元，年底财政追减265.38万元，执行率100%；市救助站支出12.7万元，执行率100%；市儿童福利院支出54.97万元，年底财政追减25.03万元，执行率100%。</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（二）追加预算安排及支出情况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2021年度财政追加预算605.69万元，其中基本支出195.08万元，项目支出410.61万元。全年追加预算支出605.69万元，其中：</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2011308——招商引资支出20万元（招商引资工作经费）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2013299——其他组织事务支出2.04万元（挂职干部补助经费）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2080199——其他人力资源和社会保障管理事务支出18万元（高层次人才补助）</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2080201——行政运行49.29万元（机关人员经费）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2080202——一般行政管理事务1.6万元（信息平台运行维护费）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2080208——基层政权建设和社区治理3.29万元（救助站救助管理机构能力提升）</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2080299——其他民政管理事务支出11.25万元（事业人员人员经费）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2080501——行政单位离退休15.6万元（机关退休人员经费）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2080502——事业单位离退休40.48万元（救助站、社会福利院、儿童福利院、殡葬服务中心离退休人员经费）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2080801——死亡抚恤9.06万元（社会福利院、殡葬服务中心死亡人员抚恤金）</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2081001——儿童福利44.39万元（市民政局关心未成年人工作经费、儿童福利院孤儿基本生活保障金及困难群众救助补助资金、儿童福利院人员经费）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2081004——殡葬31万元（殡葬服务中心人员经费）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2081005——社会福利事业单位24.7万元（社会福利院人员经费）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2081006——养老服务20.87万元（市民政局养老服务人才培养项目）</w:t>
      </w:r>
      <w:r>
        <w:rPr>
          <w:rFonts w:ascii="Times New Roman"/>
          <w:sz w:val="32"/>
          <w:szCs w:val="32"/>
          <w:shd w:val="clear" w:color="auto" w:fill="FFFFFF"/>
          <w:lang w:val="zh-CN"/>
        </w:rPr>
        <w:tab/>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2082002——流浪乞讨人员救助支出195.55万元（救助站困难群众救助补助支出及人员经费）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2120802——土地开发支出5万元（市民政局抓资金工作经费）</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2296002——用于社会福利的彩票公益金支出115.86万元（市民政局社会组织孵化、政府公众责任险、养老机构（服务场所）机构责任险；社会福利院食堂还建特困人员就餐补助；儿童福利院喘息服务、养治康教、福彩圆梦孤儿助学工程、明天计划经费；殡葬服务中心绿色环保火化炉标准化改造）</w:t>
      </w:r>
      <w:r>
        <w:rPr>
          <w:rFonts w:ascii="Times New Roman"/>
          <w:sz w:val="32"/>
          <w:szCs w:val="32"/>
          <w:shd w:val="clear" w:color="auto" w:fill="FFFFFF"/>
          <w:lang w:val="zh-CN"/>
        </w:rPr>
        <w:tab/>
      </w:r>
      <w:r>
        <w:rPr>
          <w:rFonts w:ascii="Times New Roman"/>
          <w:sz w:val="32"/>
          <w:szCs w:val="32"/>
          <w:shd w:val="clear" w:color="auto" w:fill="FFFFFF"/>
          <w:lang w:val="zh-CN"/>
        </w:rPr>
        <w:tab/>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（三）</w:t>
      </w:r>
      <w:r>
        <w:rPr>
          <w:rFonts w:ascii="楷体_GB2312" w:hAnsi="楷体_GB2312" w:eastAsia="楷体_GB2312" w:cs="楷体_GB2312"/>
          <w:sz w:val="32"/>
          <w:szCs w:val="32"/>
          <w:shd w:val="clear" w:color="auto" w:fill="FFFFFF"/>
          <w:lang w:val="zh-CN"/>
        </w:rPr>
        <w:t>专项资金安排及支出情况。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2021年攀枝花市民政局及直属事业单位专项资金安排1218.43万元，支出1161.71万元，其中：市民政局安排148.68万元，支出148.68万元；市救助站安排195.99万元，支出195.99万元；市社会福利院安排79.07万元，支出79.07万元；市儿童福利院安排158.07万元，支出158.07万元；市殡葬服务中心安排636.62万元，支出636.62万元。</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（四）其他资金收支及结转结余使用情况。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2021年攀枝花市民政局及直属事业单位财政结转其他资金125.23万元，其他资金收入23.37万元，全年其他资金支出82.54万元，其他资金结余66.06万元。</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2080201——行政运行支出其他资金0.07万元（利息收入），无结余。</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2080299——  其他民政管理事务支出其他资金7.35万元（历年工作经费），无结余。</w:t>
      </w:r>
    </w:p>
    <w:p>
      <w:pPr>
        <w:pStyle w:val="5"/>
        <w:spacing w:beforeLines="0" w:line="600" w:lineRule="exact"/>
        <w:rPr>
          <w:rFonts w:ascii="Times New Roman"/>
          <w:sz w:val="32"/>
          <w:szCs w:val="32"/>
          <w:shd w:val="clear" w:color="auto" w:fill="FFFFFF"/>
          <w:lang w:val="zh-CN"/>
        </w:rPr>
      </w:pPr>
      <w:r>
        <w:rPr>
          <w:rFonts w:ascii="Times New Roman"/>
          <w:sz w:val="32"/>
          <w:szCs w:val="32"/>
          <w:shd w:val="clear" w:color="auto" w:fill="FFFFFF"/>
          <w:lang w:val="zh-CN"/>
        </w:rPr>
        <w:t>2081001——儿童福利支出其他资金75.12万元（儿童福利院项目经费），结余66.06万元。</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w:t>
      </w:r>
      <w:r>
        <w:rPr>
          <w:rFonts w:hint="eastAsia" w:ascii="楷体_GB2312" w:hAnsi="楷体_GB2312" w:eastAsia="楷体_GB2312" w:cs="楷体_GB2312"/>
          <w:sz w:val="32"/>
          <w:szCs w:val="32"/>
          <w:shd w:val="clear" w:color="auto" w:fill="FFFFFF"/>
          <w:lang w:val="zh-CN"/>
        </w:rPr>
        <w:t>五</w:t>
      </w:r>
      <w:r>
        <w:rPr>
          <w:rFonts w:ascii="楷体_GB2312" w:hAnsi="楷体_GB2312" w:eastAsia="楷体_GB2312" w:cs="楷体_GB2312"/>
          <w:sz w:val="32"/>
          <w:szCs w:val="32"/>
          <w:shd w:val="clear" w:color="auto" w:fill="FFFFFF"/>
          <w:lang w:val="zh-CN"/>
        </w:rPr>
        <w:t>）其他需要说明的情况</w:t>
      </w:r>
    </w:p>
    <w:p>
      <w:pPr>
        <w:pStyle w:val="5"/>
        <w:spacing w:beforeLines="0" w:line="600" w:lineRule="exact"/>
        <w:ind w:firstLine="640" w:firstLineChars="200"/>
        <w:rPr>
          <w:rFonts w:hAnsi="宋体" w:cs="宋体"/>
          <w:sz w:val="32"/>
          <w:szCs w:val="32"/>
          <w:shd w:val="clear" w:color="auto" w:fill="FFFFFF"/>
          <w:lang w:val="zh-CN"/>
        </w:rPr>
      </w:pPr>
      <w:r>
        <w:rPr>
          <w:rFonts w:hAnsi="宋体" w:cs="宋体"/>
          <w:sz w:val="32"/>
          <w:szCs w:val="32"/>
          <w:shd w:val="clear" w:color="auto" w:fill="FFFFFF"/>
          <w:lang w:val="zh-CN"/>
        </w:rPr>
        <w:t>无。</w:t>
      </w:r>
    </w:p>
    <w:p>
      <w:pPr>
        <w:pStyle w:val="5"/>
        <w:spacing w:beforeLines="0" w:line="600" w:lineRule="exact"/>
        <w:ind w:firstLine="640" w:firstLineChars="200"/>
        <w:rPr>
          <w:rFonts w:ascii="黑体" w:hAnsi="黑体" w:eastAsia="黑体" w:cs="黑体"/>
          <w:sz w:val="32"/>
          <w:szCs w:val="32"/>
          <w:shd w:val="clear" w:color="auto" w:fill="FFFFFF"/>
          <w:lang w:val="zh-CN"/>
        </w:rPr>
      </w:pPr>
      <w:r>
        <w:rPr>
          <w:rFonts w:hint="eastAsia" w:ascii="黑体" w:hAnsi="黑体" w:eastAsia="黑体" w:cs="黑体"/>
          <w:sz w:val="32"/>
          <w:szCs w:val="32"/>
          <w:shd w:val="clear" w:color="auto" w:fill="FFFFFF"/>
          <w:lang w:val="zh-CN"/>
        </w:rPr>
        <w:t>三、绩效目标完成情况分析</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（一）市级财政资金绩效目标完成情况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1.年初部门预算绩效目标完成情况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（1）产出指标完成情况分析。数量指标：实施项目数量13个。质量指标：保障机关及事业单位日常业务工作开展。时效指标：2021年完成。成本指标：基本支出2261.77万元，项目支出1161.71万元,预算执行率100%</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（2）效益指标完成情况分析。2021年我局系统全面履行基本民生保障职责、全面履行基层社会治理职责、全面履行基本公共服务职责，保证机构正常运行，确保完成年度职能目标任务。</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（3）满意度指标完成情况分析。服务对象满意度达到基本满意及以上，年底目标任务完成。</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2.市级专项（项目）资金绩效目标完成情况。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1）产出指标完成情况分析。数量指标：实施项目数量17个。质量指标：资金使用合规率100%。时效指标：2021年完成。成本指标：招商引资工作经费20万元、信息平台运行维护费1.6万元、村级建制调整改革和“两城”道路命名经费8.99万元、城乡基层治理和能力建设5万元、关心未成年人工作经费1.2万元、抓资金工作经费5万元、社会组织孵化8万元、社会组织法定代表人离任审计和注销清算报告审计8万元、政府公众责任险30万元、养老机构（服务场所）机构责任险9.99万元、80周岁以上困难老年人家庭适老化改造试点及社区养老服务助行设备采购124.68万元、食堂还建特困人员就餐补助17.64万元、人才专项经费7.6万元、一次性退休补贴15.03万元、孤儿基本生活保障金市级补助0.25万元、孤儿保障资金21.6万元、绿色环保火化炉标准化改造10万元。</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（2）效益指标完成情况分析。聚焦民政基本社会保障、基本社会治理和基本社会服务，群众满意度、幸福感进一步提高。</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（3）满意度指标完成情况分析。服务对象满意度达到基本满意及以上，年底目标任务完成。</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（二）上级专项（项目）资金绩效目标完成情况。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1.产出指标完成情况分析。数量指标：18个。质量指标：资金使用合规率100%。时效指标：2021年完成。成本指标：养老服务人才培养20.87万元、全市养老机构星级评定17.5万元、全市60周岁以上老年人行为能力评估45万元、全市居家和社区养老服务标准化规范化建设0.4万元、全市养老人才队伍建设49.46万元、居家和社区养老服务信息平台建设5.85万元、救助管理机构能力提升3.29万元、困难群众救助补助支出180万元、未成年人救助保护机构设施设备购置和购买服务9.34万元、居家养老服务中心100.3万元、天府银龄项目款10万元、核酸检测补贴3.65万元、中央和省级财政困难群众救助补助资金40万元、喘息服务11.43万元、养治康教27.46万元、福彩圆梦，孤儿助学工程1万元、明天计划经费0.34万元、绿色环保火化炉标准化改造76.84万元。</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2.效益指标完成情况分析。保障我局系统社会救助、基层治理、老年人服务等各项民政工作的开展，进一步提高困难群众满意度，持续维护社会稳定。</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3.满意度指标完成情况分析。服务对象满意度达到基本满意及以上，年底目标任务完成。</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（三）其他需要说明的情况</w:t>
      </w:r>
    </w:p>
    <w:p>
      <w:pPr>
        <w:pStyle w:val="5"/>
        <w:spacing w:beforeLines="0" w:line="600" w:lineRule="exact"/>
        <w:ind w:firstLine="640" w:firstLineChars="200"/>
        <w:rPr>
          <w:rFonts w:hAnsi="宋体" w:cs="宋体"/>
          <w:sz w:val="32"/>
          <w:szCs w:val="32"/>
          <w:shd w:val="clear" w:color="auto" w:fill="FFFFFF"/>
          <w:lang w:val="zh-CN"/>
        </w:rPr>
      </w:pPr>
      <w:r>
        <w:rPr>
          <w:rFonts w:hAnsi="宋体" w:cs="宋体"/>
          <w:sz w:val="32"/>
          <w:szCs w:val="32"/>
          <w:shd w:val="clear" w:color="auto" w:fill="FFFFFF"/>
          <w:lang w:val="zh-CN"/>
        </w:rPr>
        <w:t>无。</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（四）自评结论</w:t>
      </w:r>
    </w:p>
    <w:p>
      <w:pPr>
        <w:pStyle w:val="5"/>
        <w:spacing w:beforeLines="0" w:line="600" w:lineRule="exact"/>
        <w:ind w:firstLine="640" w:firstLineChars="200"/>
        <w:rPr>
          <w:rFonts w:hAnsi="宋体" w:cs="宋体"/>
          <w:sz w:val="32"/>
          <w:szCs w:val="32"/>
          <w:shd w:val="clear" w:color="auto" w:fill="FFFFFF"/>
          <w:lang w:val="zh-CN"/>
        </w:rPr>
      </w:pPr>
      <w:r>
        <w:rPr>
          <w:rFonts w:hAnsi="宋体" w:cs="宋体"/>
          <w:sz w:val="32"/>
          <w:szCs w:val="32"/>
          <w:shd w:val="clear" w:color="auto" w:fill="FFFFFF"/>
          <w:lang w:val="zh-CN"/>
        </w:rPr>
        <w:t>通过对我局收支情况、预决算编制、预算执行管理、支出绩效及财政管理等方面的综合评价，我单位支出绩效总体较好，对财政资金的使用能够严格执行行政单位会计制度及财政相关规定，立足民政职能职责，全面履行基本民生保障、基层社会治理、基本公共服务。</w:t>
      </w:r>
    </w:p>
    <w:p>
      <w:pPr>
        <w:pStyle w:val="5"/>
        <w:spacing w:beforeLines="0" w:line="600" w:lineRule="exact"/>
        <w:ind w:firstLine="640" w:firstLineChars="200"/>
        <w:rPr>
          <w:rFonts w:ascii="黑体" w:hAnsi="黑体" w:eastAsia="黑体" w:cs="黑体"/>
          <w:sz w:val="32"/>
          <w:szCs w:val="32"/>
          <w:shd w:val="clear" w:color="auto" w:fill="FFFFFF"/>
          <w:lang w:val="zh-CN"/>
        </w:rPr>
      </w:pPr>
      <w:r>
        <w:rPr>
          <w:rFonts w:hint="eastAsia" w:ascii="黑体" w:hAnsi="黑体" w:eastAsia="黑体" w:cs="黑体"/>
          <w:sz w:val="32"/>
          <w:szCs w:val="32"/>
          <w:shd w:val="clear" w:color="auto" w:fill="FFFFFF"/>
          <w:lang w:val="zh-CN"/>
        </w:rPr>
        <w:t>四、偏离绩效目标的原因和下一步改进措施</w:t>
      </w:r>
    </w:p>
    <w:p>
      <w:pPr>
        <w:pStyle w:val="5"/>
        <w:spacing w:beforeLines="0" w:line="600" w:lineRule="exact"/>
        <w:ind w:firstLine="640" w:firstLineChars="200"/>
        <w:rPr>
          <w:rFonts w:hAnsi="宋体" w:cs="宋体"/>
          <w:sz w:val="32"/>
          <w:szCs w:val="32"/>
          <w:shd w:val="clear" w:color="auto" w:fill="FFFFFF"/>
          <w:lang w:val="zh-CN"/>
        </w:rPr>
      </w:pPr>
      <w:r>
        <w:rPr>
          <w:rFonts w:hAnsi="宋体" w:cs="宋体"/>
          <w:sz w:val="32"/>
          <w:szCs w:val="32"/>
          <w:shd w:val="clear" w:color="auto" w:fill="FFFFFF"/>
          <w:lang w:val="zh-CN"/>
        </w:rPr>
        <w:t>由于项目资金分阶段实施，导致部分项目资金未执行完成,且财政资金紧张，部分项目已完工但未能支付。</w:t>
      </w:r>
    </w:p>
    <w:p>
      <w:pPr>
        <w:pStyle w:val="5"/>
        <w:spacing w:beforeLines="0" w:line="600" w:lineRule="exact"/>
        <w:ind w:firstLine="640" w:firstLineChars="200"/>
        <w:rPr>
          <w:rFonts w:hAnsi="宋体" w:cs="宋体"/>
          <w:sz w:val="32"/>
          <w:szCs w:val="32"/>
          <w:shd w:val="clear" w:color="auto" w:fill="FFFFFF"/>
          <w:lang w:val="zh-CN"/>
        </w:rPr>
      </w:pPr>
      <w:r>
        <w:rPr>
          <w:rFonts w:hAnsi="宋体" w:cs="宋体"/>
          <w:sz w:val="32"/>
          <w:szCs w:val="32"/>
          <w:shd w:val="clear" w:color="auto" w:fill="FFFFFF"/>
          <w:lang w:val="zh-CN"/>
        </w:rPr>
        <w:t>下一步改进措施：一是继续加强指导和培训力度，加强对各部门申报项目的指导，使项目编制更加符合绩效评价相关要求；二是加强预算执行管理，定期汇总资金使用情况，项目资金使用进度，通报预算执行进度，切实提高财政资金使用效率和效益。三是及时沟通了解财政资金情况，及时支付相关资金。</w:t>
      </w: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专项预算项目支出绩效自评报告</w:t>
      </w:r>
    </w:p>
    <w:p>
      <w:pPr>
        <w:pStyle w:val="5"/>
        <w:spacing w:beforeLines="0" w:line="600" w:lineRule="exact"/>
        <w:ind w:firstLine="640" w:firstLineChars="200"/>
        <w:jc w:val="center"/>
        <w:rPr>
          <w:lang w:val="zh-CN"/>
        </w:rPr>
      </w:pPr>
      <w:r>
        <w:rPr>
          <w:rFonts w:hint="eastAsia" w:hAnsi="宋体" w:cs="宋体"/>
          <w:sz w:val="32"/>
          <w:szCs w:val="32"/>
          <w:shd w:val="clear" w:color="auto" w:fill="FFFFFF"/>
          <w:lang w:val="zh-CN"/>
        </w:rPr>
        <w:t>（80周岁以上困难老年人家庭适老化改造试点及社区养老服务助行设备采购）</w:t>
      </w:r>
    </w:p>
    <w:p>
      <w:pPr>
        <w:pStyle w:val="5"/>
        <w:spacing w:beforeLines="0" w:line="600" w:lineRule="exact"/>
        <w:ind w:firstLine="640" w:firstLineChars="200"/>
        <w:rPr>
          <w:rFonts w:ascii="黑体" w:hAnsi="黑体" w:eastAsia="黑体" w:cs="黑体"/>
          <w:sz w:val="32"/>
          <w:szCs w:val="32"/>
          <w:shd w:val="clear" w:color="auto" w:fill="FFFFFF"/>
          <w:lang w:val="zh-CN"/>
        </w:rPr>
      </w:pPr>
      <w:r>
        <w:rPr>
          <w:rFonts w:ascii="黑体" w:hAnsi="黑体" w:eastAsia="黑体" w:cs="黑体"/>
          <w:sz w:val="32"/>
          <w:szCs w:val="32"/>
          <w:shd w:val="clear" w:color="auto" w:fill="FFFFFF"/>
          <w:lang w:val="zh-CN"/>
        </w:rPr>
        <w:t>一、项目概况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适老化改造旨在通过社会组织（企业）专业化服务和操作，为本市80周岁困难老年人家庭提供住房安全性和无障碍设施等方面改造，从而改善老年人居住条件，降低在家庭发生意外的风险，是推进困难老年人家庭宜居环境建设、提升老年人生活品质的重要手段, 是完善我市居家养老服务体系建设的重要内容。社区养老服务助行设备采购、开展租赁服务要着力解决高龄老人居家养老服务需求。</w:t>
      </w:r>
    </w:p>
    <w:p>
      <w:pPr>
        <w:pStyle w:val="5"/>
        <w:spacing w:beforeLines="0" w:line="600" w:lineRule="exact"/>
        <w:ind w:firstLine="640" w:firstLineChars="200"/>
        <w:rPr>
          <w:rFonts w:ascii="黑体" w:hAnsi="黑体" w:eastAsia="黑体" w:cs="黑体"/>
          <w:sz w:val="32"/>
          <w:szCs w:val="32"/>
          <w:shd w:val="clear" w:color="auto" w:fill="FFFFFF"/>
          <w:lang w:val="zh-CN"/>
        </w:rPr>
      </w:pPr>
      <w:r>
        <w:rPr>
          <w:rFonts w:ascii="黑体" w:hAnsi="黑体" w:eastAsia="黑体" w:cs="黑体"/>
          <w:sz w:val="32"/>
          <w:szCs w:val="32"/>
          <w:shd w:val="clear" w:color="auto" w:fill="FFFFFF"/>
          <w:lang w:val="zh-CN"/>
        </w:rPr>
        <w:t>二、项目资金申报及使用情况</w:t>
      </w:r>
    </w:p>
    <w:p>
      <w:pPr>
        <w:pStyle w:val="5"/>
        <w:spacing w:beforeLines="0" w:line="600" w:lineRule="exact"/>
        <w:ind w:firstLine="640" w:firstLineChars="200"/>
        <w:rPr>
          <w:rFonts w:ascii="楷体" w:hAnsi="楷体" w:eastAsia="楷体" w:cs="宋体"/>
          <w:sz w:val="32"/>
          <w:szCs w:val="32"/>
          <w:shd w:val="clear" w:color="auto" w:fill="FFFFFF"/>
          <w:lang w:val="zh-CN"/>
        </w:rPr>
      </w:pPr>
      <w:r>
        <w:rPr>
          <w:rFonts w:hint="eastAsia" w:ascii="楷体" w:hAnsi="楷体" w:eastAsia="楷体" w:cs="楷体_GB2312"/>
          <w:sz w:val="32"/>
          <w:szCs w:val="32"/>
          <w:shd w:val="clear" w:color="auto" w:fill="FFFFFF"/>
          <w:lang w:val="zh-CN"/>
        </w:rPr>
        <w:t>（一）项目资金申报及批复情况</w:t>
      </w:r>
    </w:p>
    <w:p>
      <w:pPr>
        <w:pStyle w:val="5"/>
        <w:spacing w:beforeLines="0" w:line="600" w:lineRule="exact"/>
        <w:ind w:firstLine="640" w:firstLineChars="200"/>
        <w:rPr>
          <w:rFonts w:hAnsi="宋体" w:cs="宋体"/>
          <w:sz w:val="32"/>
          <w:szCs w:val="32"/>
          <w:shd w:val="clear" w:color="auto" w:fill="FFFFFF"/>
          <w:lang w:val="zh-CN"/>
        </w:rPr>
      </w:pPr>
      <w:r>
        <w:rPr>
          <w:rFonts w:hint="eastAsia" w:hAnsi="宋体" w:cs="宋体"/>
          <w:sz w:val="32"/>
          <w:szCs w:val="32"/>
          <w:shd w:val="clear" w:color="auto" w:fill="FFFFFF"/>
          <w:lang w:val="zh-CN"/>
        </w:rPr>
        <w:t>由省民政厅直接下达项目资金。</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（二）资金计划、到位及使用情况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1.资金计划。上级财政预算安排74.1万元，本级财政预算安排52.3万元，共计126.4万元。</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2.资金到位。上级资金到位74.1万元，本级资金到位50.5789万元，共计124.6789万元，资金到位率100%。</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3.资金使用。截止2021年12月底已全部支出。</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（三）项目财务管理情况</w:t>
      </w:r>
    </w:p>
    <w:p>
      <w:pPr>
        <w:pStyle w:val="5"/>
        <w:spacing w:beforeLines="0" w:line="600" w:lineRule="exact"/>
        <w:ind w:firstLine="640" w:firstLineChars="200"/>
        <w:rPr>
          <w:rFonts w:hAnsi="宋体" w:cs="宋体"/>
          <w:sz w:val="32"/>
          <w:szCs w:val="32"/>
          <w:shd w:val="clear" w:color="auto" w:fill="FFFFFF"/>
          <w:lang w:val="zh-CN"/>
        </w:rPr>
      </w:pPr>
      <w:r>
        <w:rPr>
          <w:rFonts w:hint="eastAsia" w:hAnsi="宋体" w:cs="宋体"/>
          <w:sz w:val="32"/>
          <w:szCs w:val="32"/>
          <w:shd w:val="clear" w:color="auto" w:fill="FFFFFF"/>
          <w:lang w:val="zh-CN"/>
        </w:rPr>
        <w:t>80周岁以上困难老年人家庭适老化改造试点及社区养老服务助行设备采购资金为专项经费。资金的管理严格按财务制度要求由局人事与财务科统一管理。</w:t>
      </w:r>
    </w:p>
    <w:p>
      <w:pPr>
        <w:pStyle w:val="5"/>
        <w:spacing w:beforeLines="0" w:line="600" w:lineRule="exact"/>
        <w:ind w:firstLine="640" w:firstLineChars="200"/>
        <w:rPr>
          <w:rFonts w:ascii="黑体" w:hAnsi="黑体" w:eastAsia="黑体" w:cs="黑体"/>
          <w:sz w:val="32"/>
          <w:szCs w:val="32"/>
          <w:shd w:val="clear" w:color="auto" w:fill="FFFFFF"/>
          <w:lang w:val="zh-CN"/>
        </w:rPr>
      </w:pPr>
      <w:r>
        <w:rPr>
          <w:rFonts w:ascii="黑体" w:hAnsi="黑体" w:eastAsia="黑体" w:cs="黑体"/>
          <w:sz w:val="32"/>
          <w:szCs w:val="32"/>
          <w:shd w:val="clear" w:color="auto" w:fill="FFFFFF"/>
          <w:lang w:val="zh-CN"/>
        </w:rPr>
        <w:t>三、项目实施及管理情况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完成1264户困难老年人家庭进行适老化改造。</w:t>
      </w:r>
    </w:p>
    <w:p>
      <w:pPr>
        <w:pStyle w:val="5"/>
        <w:spacing w:beforeLines="0" w:line="600" w:lineRule="exact"/>
        <w:ind w:firstLine="640" w:firstLineChars="200"/>
        <w:rPr>
          <w:rFonts w:ascii="黑体" w:hAnsi="黑体" w:eastAsia="黑体" w:cs="黑体"/>
          <w:sz w:val="32"/>
          <w:szCs w:val="32"/>
          <w:shd w:val="clear" w:color="auto" w:fill="FFFFFF"/>
          <w:lang w:val="zh-CN"/>
        </w:rPr>
      </w:pPr>
      <w:r>
        <w:rPr>
          <w:rFonts w:ascii="黑体" w:hAnsi="黑体" w:eastAsia="黑体" w:cs="黑体"/>
          <w:sz w:val="32"/>
          <w:szCs w:val="32"/>
          <w:shd w:val="clear" w:color="auto" w:fill="FFFFFF"/>
          <w:lang w:val="zh-CN"/>
        </w:rPr>
        <w:t>四、项目绩效情况</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（一）项目完成情况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项目年初目标对1000户困难老年人家庭进行适老化改造，实际对1264户困难老年人家庭进行适老化改造，完成率126%。</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hint="eastAsia" w:ascii="楷体_GB2312" w:hAnsi="楷体_GB2312" w:eastAsia="楷体_GB2312" w:cs="楷体_GB2312"/>
          <w:sz w:val="32"/>
          <w:szCs w:val="32"/>
          <w:shd w:val="clear" w:color="auto" w:fill="FFFFFF"/>
          <w:lang w:val="zh-CN"/>
        </w:rPr>
        <w:t>（二）</w:t>
      </w:r>
      <w:r>
        <w:rPr>
          <w:rFonts w:ascii="楷体_GB2312" w:hAnsi="楷体_GB2312" w:eastAsia="楷体_GB2312" w:cs="楷体_GB2312"/>
          <w:sz w:val="32"/>
          <w:szCs w:val="32"/>
          <w:shd w:val="clear" w:color="auto" w:fill="FFFFFF"/>
          <w:lang w:val="zh-CN"/>
        </w:rPr>
        <w:t>项目效益情况</w:t>
      </w:r>
    </w:p>
    <w:p>
      <w:pPr>
        <w:pStyle w:val="5"/>
        <w:spacing w:beforeLines="0" w:line="600" w:lineRule="exact"/>
        <w:ind w:firstLine="640" w:firstLineChars="200"/>
        <w:rPr>
          <w:rFonts w:hAnsi="宋体" w:cs="宋体"/>
          <w:sz w:val="32"/>
          <w:szCs w:val="32"/>
          <w:shd w:val="clear" w:color="auto" w:fill="FFFFFF"/>
          <w:lang w:val="zh-CN"/>
        </w:rPr>
      </w:pPr>
      <w:r>
        <w:rPr>
          <w:rFonts w:hint="eastAsia" w:hAnsi="宋体" w:cs="宋体"/>
          <w:sz w:val="32"/>
          <w:szCs w:val="32"/>
          <w:shd w:val="clear" w:color="auto" w:fill="FFFFFF"/>
          <w:lang w:val="zh-CN"/>
        </w:rPr>
        <w:t>项目实施后改善了老年人居住条件，降低在家庭发生意外的风险，推进了困难老年人家庭宜居环境建设、提升老年人生活品质。解决高龄老人居家养老服务需求。</w:t>
      </w:r>
    </w:p>
    <w:p>
      <w:pPr>
        <w:pStyle w:val="5"/>
        <w:spacing w:beforeLines="0" w:line="600" w:lineRule="exact"/>
        <w:ind w:firstLine="640" w:firstLineChars="200"/>
        <w:rPr>
          <w:rFonts w:ascii="黑体" w:hAnsi="黑体" w:eastAsia="黑体" w:cs="黑体"/>
          <w:sz w:val="32"/>
          <w:szCs w:val="32"/>
          <w:shd w:val="clear" w:color="auto" w:fill="FFFFFF"/>
          <w:lang w:val="zh-CN"/>
        </w:rPr>
      </w:pPr>
      <w:r>
        <w:rPr>
          <w:rFonts w:ascii="黑体" w:hAnsi="黑体" w:eastAsia="黑体" w:cs="黑体"/>
          <w:sz w:val="32"/>
          <w:szCs w:val="32"/>
          <w:shd w:val="clear" w:color="auto" w:fill="FFFFFF"/>
          <w:lang w:val="zh-CN"/>
        </w:rPr>
        <w:t>五、评价结论及建议</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（一）评价结论</w:t>
      </w:r>
    </w:p>
    <w:p>
      <w:pPr>
        <w:pStyle w:val="5"/>
        <w:spacing w:beforeLines="0" w:line="600" w:lineRule="exact"/>
        <w:ind w:firstLine="640" w:firstLineChars="200"/>
        <w:rPr>
          <w:rFonts w:hAnsi="宋体" w:cs="宋体"/>
          <w:sz w:val="32"/>
          <w:szCs w:val="32"/>
          <w:shd w:val="clear" w:color="auto" w:fill="FFFFFF"/>
          <w:lang w:val="zh-CN"/>
        </w:rPr>
      </w:pPr>
      <w:r>
        <w:rPr>
          <w:rFonts w:hint="eastAsia" w:hAnsi="宋体" w:cs="宋体"/>
          <w:sz w:val="32"/>
          <w:szCs w:val="32"/>
          <w:shd w:val="clear" w:color="auto" w:fill="FFFFFF"/>
          <w:lang w:val="zh-CN"/>
        </w:rPr>
        <w:t>超目标完成80周岁以上困难老年人家庭适老化改造试点及社区养老服务助行设备采购工作。</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（二）存在的问题</w:t>
      </w:r>
    </w:p>
    <w:p>
      <w:pPr>
        <w:pStyle w:val="5"/>
        <w:spacing w:beforeLines="0" w:line="600" w:lineRule="exact"/>
        <w:ind w:firstLine="640" w:firstLineChars="200"/>
        <w:rPr>
          <w:rFonts w:hAnsi="宋体" w:cs="宋体"/>
          <w:sz w:val="32"/>
          <w:szCs w:val="32"/>
          <w:shd w:val="clear" w:color="auto" w:fill="FFFFFF"/>
          <w:lang w:val="zh-CN"/>
        </w:rPr>
      </w:pPr>
      <w:r>
        <w:rPr>
          <w:rFonts w:hint="eastAsia" w:hAnsi="宋体" w:cs="宋体"/>
          <w:sz w:val="32"/>
          <w:szCs w:val="32"/>
          <w:shd w:val="clear" w:color="auto" w:fill="FFFFFF"/>
          <w:lang w:val="zh-CN"/>
        </w:rPr>
        <w:t>无。</w:t>
      </w:r>
    </w:p>
    <w:p>
      <w:pPr>
        <w:pStyle w:val="5"/>
        <w:spacing w:beforeLines="0" w:line="600" w:lineRule="exact"/>
        <w:ind w:firstLine="640" w:firstLineChars="200"/>
        <w:rPr>
          <w:rFonts w:ascii="楷体_GB2312" w:hAnsi="楷体_GB2312" w:eastAsia="楷体_GB2312" w:cs="楷体_GB2312"/>
          <w:sz w:val="32"/>
          <w:szCs w:val="32"/>
          <w:shd w:val="clear" w:color="auto" w:fill="FFFFFF"/>
          <w:lang w:val="zh-CN"/>
        </w:rPr>
      </w:pPr>
      <w:r>
        <w:rPr>
          <w:rFonts w:ascii="楷体_GB2312" w:hAnsi="楷体_GB2312" w:eastAsia="楷体_GB2312" w:cs="楷体_GB2312"/>
          <w:sz w:val="32"/>
          <w:szCs w:val="32"/>
          <w:shd w:val="clear" w:color="auto" w:fill="FFFFFF"/>
          <w:lang w:val="zh-CN"/>
        </w:rPr>
        <w:t>（三）相关建议</w:t>
      </w:r>
    </w:p>
    <w:p>
      <w:pPr>
        <w:pStyle w:val="5"/>
        <w:spacing w:beforeLines="0" w:line="600" w:lineRule="exact"/>
        <w:ind w:firstLine="640" w:firstLineChars="200"/>
        <w:rPr>
          <w:rFonts w:hAnsi="宋体" w:cs="宋体"/>
          <w:sz w:val="32"/>
          <w:szCs w:val="32"/>
          <w:shd w:val="clear" w:color="auto" w:fill="FFFFFF"/>
          <w:lang w:val="zh-CN"/>
        </w:rPr>
      </w:pPr>
      <w:r>
        <w:rPr>
          <w:rFonts w:hint="eastAsia" w:hAnsi="宋体" w:cs="宋体"/>
          <w:sz w:val="32"/>
          <w:szCs w:val="32"/>
          <w:shd w:val="clear" w:color="auto" w:fill="FFFFFF"/>
          <w:lang w:val="zh-CN"/>
        </w:rPr>
        <w:t>无。</w:t>
      </w:r>
    </w:p>
    <w:p>
      <w:pPr>
        <w:pStyle w:val="5"/>
        <w:spacing w:before="93"/>
        <w:rPr>
          <w:lang w:val="zh-CN"/>
        </w:rPr>
      </w:pPr>
    </w:p>
    <w:p>
      <w:pPr>
        <w:pStyle w:val="5"/>
        <w:spacing w:before="93"/>
        <w:rPr>
          <w:lang w:val="zh-CN"/>
        </w:rPr>
      </w:pP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专项预算项目支出绩效自评报告</w:t>
      </w:r>
    </w:p>
    <w:p>
      <w:pPr>
        <w:pStyle w:val="5"/>
        <w:spacing w:beforeLines="0" w:line="600" w:lineRule="exact"/>
        <w:ind w:firstLine="640" w:firstLineChars="200"/>
        <w:jc w:val="center"/>
        <w:rPr>
          <w:rFonts w:hAnsi="宋体" w:cs="宋体"/>
          <w:sz w:val="32"/>
          <w:szCs w:val="32"/>
          <w:shd w:val="clear" w:color="auto" w:fill="FFFFFF"/>
          <w:lang w:val="zh-CN"/>
        </w:rPr>
      </w:pPr>
      <w:r>
        <w:rPr>
          <w:rFonts w:hint="eastAsia" w:hAnsi="宋体" w:cs="宋体"/>
          <w:sz w:val="32"/>
          <w:szCs w:val="32"/>
          <w:shd w:val="clear" w:color="auto" w:fill="FFFFFF"/>
          <w:lang w:val="zh-CN"/>
        </w:rPr>
        <w:t>（孤儿收养费项目）</w:t>
      </w:r>
    </w:p>
    <w:p>
      <w:pPr>
        <w:pStyle w:val="7"/>
        <w:spacing w:line="600" w:lineRule="exact"/>
        <w:ind w:firstLine="360" w:firstLineChars="200"/>
        <w:jc w:val="left"/>
        <w:rPr>
          <w:rFonts w:hAnsi="仿宋_GB2312" w:cs="仿宋_GB231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2021年我院孤儿收养费下达资金80万元，实际支出54.97万元；该项目资金用于孤儿的养育护理、日常生活、医疗康复、水电、学习等方面，结余部分资金25.03万元上缴财政，各项支出确保孤儿的生活质量有保障。</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这个项目立项资金申报的依据，均为保障全市无依无靠、生活无来源孤弃儿童的收养、保育护理、康复治疗、特殊教学、就业培训以及为社会残疾孤儿提供代养、康复治疗服务等工作，为孤弃儿童营造一个温暖的家。</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资金管理办法严格按照我市财政局的要求，依据资金文件上的使用范围和规定，遵守财务政府会计职能职责，严格管理好资金的使用与支付，将资金用于孤儿的日常生活、学习、医疗康复、特教、心理疏导等各方面费用开销，积极为孤儿营造集中养育的温馨大家庭，确保每一名孤儿都在这个大家庭中健康快乐成长。</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资金分配方面，孤儿学生与正常家庭中的孩子一样，享受学校良好的教育与集中养育大家庭的关心照顾，资金侧重日常生活、学习教育、社工服务心理疏导等方面费用；脑瘫孤儿侧重院内日常养育照护、特殊教育、康复训练、医疗救治等方面费用，饮食上加强营养合理搭配，患病及时送医院治疗，确保每一名孤儿得到最好的照顾，身心健康的成长。</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（二）项目绩效目标。</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我院2021年圆满完成该项目的绩效目标：保障全市无依无靠、生活无来源孤弃儿童的收养、保育护理、康复治疗、特殊教学、就业培训以及为社会残疾孤儿提供代养、康复治疗服务等工作，为孤弃儿童营造一个温暖的家。2021年我院积极提高孤儿生活质量，让孤儿学生18人都接受学校的教育，其中幼儿园1人、小学生2人、初中生8人，高中生2人、中专生4人、大专生1人；脑瘫孤儿16人，重度脑瘫卧床儿童10人，可活动弱智儿童6名，为这16名脑瘫孤儿在院内提供了特殊教育和康复训练，2021年没有一名卧床脑瘫孤儿患褥疮，没有一名可活动弱智儿童发生意外伤害，确保每一名孤儿都得到良好照护。</w:t>
      </w:r>
    </w:p>
    <w:p>
      <w:pPr>
        <w:pStyle w:val="5"/>
        <w:spacing w:beforeLines="0" w:line="600" w:lineRule="exact"/>
        <w:ind w:firstLine="640" w:firstLineChars="200"/>
        <w:rPr>
          <w:rFonts w:ascii="Times New Roman"/>
          <w:sz w:val="32"/>
          <w:szCs w:val="32"/>
          <w:shd w:val="clear" w:color="auto" w:fill="FFFFFF"/>
          <w:lang w:val="zh-CN"/>
        </w:rPr>
      </w:pPr>
      <w:r>
        <w:rPr>
          <w:rFonts w:ascii="Times New Roman"/>
          <w:sz w:val="32"/>
          <w:szCs w:val="32"/>
          <w:shd w:val="clear" w:color="auto" w:fill="FFFFFF"/>
          <w:lang w:val="zh-CN"/>
        </w:rPr>
        <w:t>我院2021年该项目申报内容与实际完全相符，申报目标均圆满完成，切实、合理可行。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2020年年底我院孤儿收养费项目资金预算申报80万元，2021年年初孤儿收养费项目资金批复80万元，中途无调整变化，年底剩余资金上缴财政25.03万元。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孤儿收养费为市级财政资金80万元。</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孤儿收养费为市级财政资金80万元，于2021年1月资金到位，资金到位率100%，到位及时。</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孤儿收养费项目资金均用于孤儿生活、学习教育、医疗康复、心理疏导等方面，我院在该项目资金使用方面，严格按照资金文件要求，确保资金使用安全、合理、规范、有效，会计严格把控资金使用范围、支付标准、支付依据，及时与财政协调支付进度，确保项目资金使用上合规合法，与预算相符，自评中，未发现异常。</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孤儿收养费项目实施中，单位财务管理制度健全，严格执行财务管理制度，账务处理及时 ，会计核算规范。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结合项目组织实施管理办法，重点围绕以下内容进行分析评价，并对自评中发现的问题分析说明。</w:t>
      </w:r>
    </w:p>
    <w:p>
      <w:pPr>
        <w:numPr>
          <w:ilvl w:val="0"/>
          <w:numId w:val="4"/>
        </w:num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孤儿收养费项目为孤儿资金，孤儿收养费为绩效目标项目，2020年年底预算，2021年年初批复后下达资金，进行事前、事中、事后评估报告，年底上缴未完成的资金。</w:t>
      </w:r>
    </w:p>
    <w:p>
      <w:pPr>
        <w:autoSpaceDE w:val="0"/>
        <w:autoSpaceDN w:val="0"/>
        <w:adjustRightInd w:val="0"/>
        <w:spacing w:line="600" w:lineRule="exact"/>
        <w:ind w:firstLine="640" w:firstLineChars="200"/>
        <w:jc w:val="left"/>
        <w:rPr>
          <w:rFonts w:eastAsia="楷体_GB2312"/>
          <w:kern w:val="0"/>
          <w:sz w:val="32"/>
          <w:szCs w:val="32"/>
        </w:rPr>
      </w:pPr>
      <w:r>
        <w:rPr>
          <w:rFonts w:eastAsia="仿宋_GB2312"/>
          <w:kern w:val="0"/>
          <w:sz w:val="32"/>
          <w:szCs w:val="32"/>
        </w:rPr>
        <w:t>（二）</w:t>
      </w:r>
      <w:r>
        <w:rPr>
          <w:rFonts w:eastAsia="楷体_GB2312"/>
          <w:kern w:val="0"/>
          <w:sz w:val="32"/>
          <w:szCs w:val="32"/>
        </w:rPr>
        <w:t>项目管理情况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孤儿收养费为预算项目，每年都要对该项目资金进行绩效目标完成情况进行评估，并将绩效目标项目评估报告进行公开公示。我院严格执行政府会计制度及经济法管理规定，遵照项目管理制度的规定落实资金使用与管理。</w:t>
      </w:r>
    </w:p>
    <w:p>
      <w:pPr>
        <w:pStyle w:val="24"/>
        <w:numPr>
          <w:ilvl w:val="0"/>
          <w:numId w:val="5"/>
        </w:numPr>
        <w:autoSpaceDE w:val="0"/>
        <w:autoSpaceDN w:val="0"/>
        <w:adjustRightInd w:val="0"/>
        <w:spacing w:line="600" w:lineRule="exact"/>
        <w:ind w:firstLineChars="0"/>
        <w:jc w:val="left"/>
        <w:rPr>
          <w:rFonts w:eastAsia="楷体_GB2312"/>
          <w:kern w:val="0"/>
          <w:sz w:val="32"/>
          <w:szCs w:val="32"/>
        </w:rPr>
      </w:pPr>
      <w:r>
        <w:rPr>
          <w:rFonts w:eastAsia="楷体_GB2312"/>
          <w:kern w:val="0"/>
          <w:sz w:val="32"/>
          <w:szCs w:val="32"/>
        </w:rPr>
        <w:t>项目监管情况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我院严格按照单位内控管理制度与要求，对项目加强监督和管理，确保项目资金使用安全、规范、合理、可行。</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 xml:space="preserve">2021年度，孤儿收养费项目年初预算安排80万元：实际财政拨款收入54.97万元，用于孤儿收养费支出，使用54.97万元,结余上缴财政。产出指标完成情况分析。数量指标和成本指标完成情况：已完成院内孤弃儿童34人的生活、教育、护理、医疗康复等支出。时效指标：2021年度内已完成。 </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孤儿收养费项目效益指标完成情况：促进社会和谐，确保无孤弃儿童流浪街头，无家可归，享受公平的生活、生命权益，提高社会的整体福利制度的落实，已完成。满意度指标完成情况：孤儿满意度&gt;90%，社会满意度&gt;90%。</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按照部门绩效目标和绩效指标设定情况及执行结果评估看， 我院未偏离绩效目标。以后将继续按照部门项目管理要求及绩效目标管理体系，科学合理制定绩效目标，充分发挥绩效工作效用，为各项工作的开展提供资金支撑。</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pStyle w:val="5"/>
        <w:spacing w:before="93"/>
        <w:rPr>
          <w:lang w:val="zh-CN"/>
        </w:rPr>
      </w:pP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专项预算项目支出绩效自评报告</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（居家养老综合服务中心项目）</w:t>
      </w:r>
    </w:p>
    <w:p>
      <w:pPr>
        <w:autoSpaceDE w:val="0"/>
        <w:adjustRightInd w:val="0"/>
        <w:snapToGrid w:val="0"/>
        <w:spacing w:line="580" w:lineRule="exact"/>
        <w:rPr>
          <w:rFonts w:eastAsia="仿宋_GB2312"/>
          <w:sz w:val="32"/>
          <w:szCs w:val="32"/>
        </w:rPr>
      </w:pPr>
    </w:p>
    <w:p>
      <w:pPr>
        <w:adjustRightInd w:val="0"/>
        <w:snapToGrid w:val="0"/>
        <w:spacing w:line="580" w:lineRule="exact"/>
        <w:ind w:firstLine="640" w:firstLineChars="200"/>
        <w:rPr>
          <w:rFonts w:eastAsia="黑体"/>
          <w:color w:val="000000"/>
          <w:sz w:val="32"/>
          <w:szCs w:val="32"/>
        </w:rPr>
      </w:pPr>
      <w:r>
        <w:rPr>
          <w:rFonts w:eastAsia="黑体"/>
          <w:color w:val="000000"/>
          <w:sz w:val="32"/>
          <w:szCs w:val="32"/>
        </w:rPr>
        <w:t xml:space="preserve">一、项目情况 </w:t>
      </w:r>
    </w:p>
    <w:p>
      <w:pPr>
        <w:spacing w:line="580" w:lineRule="exact"/>
        <w:ind w:firstLine="640" w:firstLineChars="200"/>
        <w:rPr>
          <w:rFonts w:eastAsia="楷体_GB2312"/>
          <w:color w:val="000000"/>
          <w:sz w:val="32"/>
          <w:szCs w:val="32"/>
        </w:rPr>
      </w:pPr>
      <w:r>
        <w:rPr>
          <w:rFonts w:eastAsia="楷体_GB2312"/>
          <w:color w:val="000000"/>
          <w:sz w:val="32"/>
          <w:szCs w:val="32"/>
        </w:rPr>
        <w:t xml:space="preserve">（一）项目基本情况 </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 xml:space="preserve">1.单位职能：我单位的主要职能是承担城区“三无”（无劳动能力、无生活来源、无法定抚养或赡养人）人员的供养、护理、医疗、康复和社会化养老服务等工作。项目主管部门是攀枝花市民政局。 </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2.项目立项、资金申报依据：按照《关于下达居家和社区养老服务改革试点中央和省级补助资金（第二批）的通知》（攀财资社〔2020〕23号）文件要求，此项资金用于打造帮助居家和社区老人照护护理、医疗康复、精神</w:t>
      </w:r>
      <w:r>
        <w:rPr>
          <w:rFonts w:hint="eastAsia" w:eastAsia="仿宋_GB2312"/>
          <w:color w:val="000000"/>
          <w:sz w:val="32"/>
          <w:szCs w:val="32"/>
          <w:lang w:eastAsia="zh-CN"/>
        </w:rPr>
        <w:t>慰藉</w:t>
      </w:r>
      <w:r>
        <w:rPr>
          <w:rFonts w:eastAsia="仿宋_GB2312"/>
          <w:color w:val="000000"/>
          <w:sz w:val="32"/>
          <w:szCs w:val="32"/>
        </w:rPr>
        <w:t>、文化娱乐、就餐服务等多功能的综合居家和社区医疗服务中心。</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3.该项目资金纳入财政预算管理，能够做到项目资金专款专用，在会计确认上单独进行核算，确保项目资金使用管理符合国家财经法规以及事业单位财务制度。资金支持具体项目的条件、范围和支持方式为：该专项资金用于打造帮助居家和社区老人照护护理、医疗康复、精神</w:t>
      </w:r>
      <w:r>
        <w:rPr>
          <w:rFonts w:hint="eastAsia" w:eastAsia="仿宋_GB2312"/>
          <w:color w:val="000000"/>
          <w:sz w:val="32"/>
          <w:szCs w:val="32"/>
          <w:lang w:eastAsia="zh-CN"/>
        </w:rPr>
        <w:t>慰藉</w:t>
      </w:r>
      <w:r>
        <w:rPr>
          <w:rFonts w:eastAsia="仿宋_GB2312"/>
          <w:color w:val="000000"/>
          <w:sz w:val="32"/>
          <w:szCs w:val="32"/>
        </w:rPr>
        <w:t>、文化娱乐、就餐服务等多功能的综合居家和社区医疗服务中心的经费，属于财政拨款支出-项目经费支出范围。按月申报用款计划，在财政审批后，采用财政授权支付方式支付。</w:t>
      </w:r>
      <w:bookmarkStart w:id="73" w:name="_GoBack"/>
      <w:bookmarkEnd w:id="73"/>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4.资金分配原则及考虑因素：我院严格按照市财政管理办法进行专项（项目）资金的申报，我院财务对专项资金的执行情况进行绩效评价监督。居家养老综合服务项目用于打造综合服务中心,积极支持构建以居家为基础、社区为依托、机构为补充、医养结合的社会养老服务体系，增加有效服务供给，提升养老服务质量，不断满足人民群众日益增长的养老服务需求。</w:t>
      </w:r>
    </w:p>
    <w:p>
      <w:pPr>
        <w:spacing w:line="580" w:lineRule="exact"/>
        <w:ind w:firstLine="640" w:firstLineChars="200"/>
        <w:rPr>
          <w:rFonts w:eastAsia="楷体_GB2312"/>
          <w:color w:val="000000"/>
          <w:sz w:val="32"/>
          <w:szCs w:val="32"/>
        </w:rPr>
      </w:pPr>
      <w:r>
        <w:rPr>
          <w:rFonts w:eastAsia="楷体_GB2312"/>
          <w:color w:val="000000"/>
          <w:sz w:val="32"/>
          <w:szCs w:val="32"/>
        </w:rPr>
        <w:t xml:space="preserve">（二）项目绩效目标 </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1.项目主要内容：2021年度，年初预算下达居家养老综合服务中心项目支出经费100.30万元，全年将该项目资金100.30万元支付完毕，主要用于居家养老综合服务中心项目设计费、监理费、土建工程及采购设施设备等方面的支出，从数量指标、质量指标、时效指标、成本指标、社会效益指标、可持续影响指标、服务对象满意度进行评价，确保了居家养老综合服务中心项目的养老服务质量，不断满足人民群众日益增长的养老服务需求。</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2.项目应实现的具体绩效目标：数量指标和成本指标：按照年初预算执行的，年终执行数为100.30万元；质量指标：按照要求完成居家养老综合服务中心区域打造工程；时效指标：按照年度工作计划推进，于12月31日前圆满完成了居家养老综合服务中心项目工作。</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3.分析评价申报内容是否与实际相符，申报目标是否合理可行：我院于2021年年初收到市财政局下拨的该项目经费100.30万元，与当年预算安排相符。本经费的实施保障了居家养老综合服务中心项目的养老服务质量。</w:t>
      </w:r>
    </w:p>
    <w:p>
      <w:pPr>
        <w:adjustRightInd w:val="0"/>
        <w:snapToGrid w:val="0"/>
        <w:spacing w:line="580" w:lineRule="exact"/>
        <w:ind w:firstLine="640" w:firstLineChars="200"/>
        <w:rPr>
          <w:rFonts w:eastAsia="黑体"/>
          <w:color w:val="000000"/>
          <w:sz w:val="32"/>
          <w:szCs w:val="32"/>
        </w:rPr>
      </w:pPr>
      <w:r>
        <w:rPr>
          <w:rFonts w:eastAsia="黑体"/>
          <w:color w:val="000000"/>
          <w:sz w:val="32"/>
          <w:szCs w:val="32"/>
        </w:rPr>
        <w:t>二、项目资金申报及使用情况</w:t>
      </w:r>
    </w:p>
    <w:p>
      <w:pPr>
        <w:spacing w:line="580" w:lineRule="exact"/>
        <w:ind w:firstLine="640" w:firstLineChars="200"/>
        <w:rPr>
          <w:rFonts w:eastAsia="楷体_GB2312"/>
          <w:color w:val="000000"/>
          <w:sz w:val="32"/>
          <w:szCs w:val="32"/>
        </w:rPr>
      </w:pPr>
      <w:r>
        <w:rPr>
          <w:rFonts w:eastAsia="楷体_GB2312"/>
          <w:color w:val="000000"/>
          <w:sz w:val="32"/>
          <w:szCs w:val="32"/>
        </w:rPr>
        <w:t xml:space="preserve">（一）项目资金申报及批复情况 </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项目资金预算申报100.30万，预算下达100.30万，无追加。</w:t>
      </w:r>
    </w:p>
    <w:p>
      <w:pPr>
        <w:spacing w:line="580" w:lineRule="exact"/>
        <w:ind w:firstLine="640" w:firstLineChars="200"/>
        <w:rPr>
          <w:rFonts w:eastAsia="楷体_GB2312"/>
          <w:color w:val="000000"/>
          <w:sz w:val="32"/>
          <w:szCs w:val="32"/>
        </w:rPr>
      </w:pPr>
      <w:r>
        <w:rPr>
          <w:rFonts w:eastAsia="楷体_GB2312"/>
          <w:color w:val="000000"/>
          <w:sz w:val="32"/>
          <w:szCs w:val="32"/>
        </w:rPr>
        <w:t>（二）资金计划、到位及使用情况</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1.资金计划：我院2021年度部门预算安排“居家养老综合服务中心项目”资金100.30万元，属于中央和省级补助资金，此项费用由市财政全额拨款。</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2.资金到位：2021年年初预算下达居家养老综合服务中心项目支出经费100.30万元，资金到位及时，到位率100%。该项目资金主要用于居家养老综合服务中心项目设计费、监理费、土建工程及采购设施设备等方面的支出。</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3.资金使用：2021年度，居家养老综合服务中心项目使用经费100.30万元，完成率为100%。</w:t>
      </w:r>
    </w:p>
    <w:p>
      <w:pPr>
        <w:spacing w:line="580" w:lineRule="exact"/>
        <w:ind w:firstLine="640" w:firstLineChars="200"/>
        <w:rPr>
          <w:rFonts w:eastAsia="楷体_GB2312"/>
          <w:color w:val="000000"/>
          <w:sz w:val="32"/>
          <w:szCs w:val="32"/>
        </w:rPr>
      </w:pPr>
      <w:r>
        <w:rPr>
          <w:rFonts w:eastAsia="楷体_GB2312"/>
          <w:color w:val="000000"/>
          <w:sz w:val="32"/>
          <w:szCs w:val="32"/>
        </w:rPr>
        <w:t xml:space="preserve">（三）项目财务管理情况 </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遵循先有预算、后有支出的原则，加强对预算支出管理的监督检查。为规范我院项目资金合理合规使用，进一步完善专项资金的安排及支出，我院财务人员在做好每年的项目预算报表同时，并做好专项资金的合理使用，贯彻落实各级党委、政府决策部署，全面推进项目工作的实施，确保专项资金有针对性的落实到相关人员，把好事做好、实事办实。单位的财务管理工作必须符合国家有关法律、法规和财务</w:t>
      </w:r>
      <w:r>
        <w:fldChar w:fldCharType="begin"/>
      </w:r>
      <w:r>
        <w:instrText xml:space="preserve"> HYPERLINK "http://gw.yjbys.com/guizhangzhidu/" \t "_blank" </w:instrText>
      </w:r>
      <w:r>
        <w:fldChar w:fldCharType="separate"/>
      </w:r>
      <w:r>
        <w:rPr>
          <w:rFonts w:eastAsia="仿宋_GB2312"/>
          <w:color w:val="000000"/>
          <w:sz w:val="32"/>
          <w:szCs w:val="32"/>
        </w:rPr>
        <w:t>规章制度</w:t>
      </w:r>
      <w:r>
        <w:rPr>
          <w:rFonts w:eastAsia="仿宋_GB2312"/>
          <w:color w:val="000000"/>
          <w:sz w:val="32"/>
          <w:szCs w:val="32"/>
        </w:rPr>
        <w:fldChar w:fldCharType="end"/>
      </w:r>
      <w:r>
        <w:rPr>
          <w:rFonts w:eastAsia="仿宋_GB2312"/>
          <w:color w:val="000000"/>
          <w:sz w:val="32"/>
          <w:szCs w:val="32"/>
        </w:rPr>
        <w:t>，建立健全各项财务管理制度，完善内部监控制度。该项目资金实行专款专用，资金使用规范，严格执行相关财务管理制度，资金转付严格按照财务审批程序进行，账务处理及时，会计核算结果真实、准确。</w:t>
      </w:r>
    </w:p>
    <w:p>
      <w:pPr>
        <w:adjustRightInd w:val="0"/>
        <w:snapToGrid w:val="0"/>
        <w:spacing w:line="580" w:lineRule="exact"/>
        <w:ind w:firstLine="640" w:firstLineChars="200"/>
        <w:rPr>
          <w:rFonts w:eastAsia="黑体"/>
          <w:color w:val="000000"/>
          <w:sz w:val="32"/>
          <w:szCs w:val="32"/>
        </w:rPr>
      </w:pPr>
      <w:r>
        <w:rPr>
          <w:rFonts w:eastAsia="黑体"/>
          <w:color w:val="000000"/>
          <w:sz w:val="32"/>
          <w:szCs w:val="32"/>
        </w:rPr>
        <w:t>三、项目实施及管理情况</w:t>
      </w:r>
    </w:p>
    <w:p>
      <w:pPr>
        <w:spacing w:line="580" w:lineRule="exact"/>
        <w:ind w:firstLine="640" w:firstLineChars="200"/>
        <w:rPr>
          <w:rFonts w:eastAsia="楷体_GB2312"/>
          <w:color w:val="000000"/>
          <w:sz w:val="32"/>
          <w:szCs w:val="32"/>
        </w:rPr>
      </w:pPr>
      <w:r>
        <w:rPr>
          <w:rFonts w:eastAsia="楷体_GB2312"/>
          <w:color w:val="000000"/>
          <w:sz w:val="32"/>
          <w:szCs w:val="32"/>
        </w:rPr>
        <w:t>（一）项目组织架构及实施流程</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成立的“攀枝花市社会福利院内部控制建设领导小组”及“攀枝花市社会福利院内部控制评价和监督工作小组”，将制衡机制融入到单位内部管理之中，实现对单位经济活动风险的防范和管控，推进我院内部控制建设顺利实施。</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领导小组负责组织制定我院内控建设工作方案、协调解决重大事项、监督指导工作开展。监督小组负责组织协调全院的内部控制建设工作，具体负责单位内控建设的宣传、指导、检查并督促相关人员认真执行。</w:t>
      </w:r>
    </w:p>
    <w:p>
      <w:pPr>
        <w:spacing w:line="580" w:lineRule="exact"/>
        <w:ind w:firstLine="640" w:firstLineChars="200"/>
        <w:rPr>
          <w:rFonts w:eastAsia="楷体_GB2312"/>
          <w:color w:val="000000"/>
          <w:sz w:val="32"/>
          <w:szCs w:val="32"/>
        </w:rPr>
      </w:pPr>
      <w:r>
        <w:rPr>
          <w:rFonts w:eastAsia="楷体_GB2312"/>
          <w:color w:val="000000"/>
          <w:sz w:val="32"/>
          <w:szCs w:val="32"/>
        </w:rPr>
        <w:t>（二）项目管理情况</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成立以院长为第一负责人的项目资金管理工作领导小组。项目工作的实施由领导小组具体安排。该项目经费属于项目经费，严格执行预算、支付结算及项目管理制度等相关规定，相关项目经费的报销和审批由财务人员负责。</w:t>
      </w:r>
    </w:p>
    <w:p>
      <w:pPr>
        <w:spacing w:line="580" w:lineRule="exact"/>
        <w:ind w:firstLine="640" w:firstLineChars="200"/>
        <w:rPr>
          <w:rFonts w:eastAsia="楷体_GB2312"/>
          <w:color w:val="000000"/>
          <w:sz w:val="32"/>
          <w:szCs w:val="32"/>
        </w:rPr>
      </w:pPr>
      <w:r>
        <w:rPr>
          <w:rFonts w:eastAsia="楷体_GB2312"/>
          <w:color w:val="000000"/>
          <w:sz w:val="32"/>
          <w:szCs w:val="32"/>
        </w:rPr>
        <w:t>（三）项目监管情况</w:t>
      </w:r>
    </w:p>
    <w:p>
      <w:pPr>
        <w:widowControl/>
        <w:shd w:val="clear" w:color="auto" w:fill="FFFFFF"/>
        <w:spacing w:line="580" w:lineRule="exact"/>
        <w:ind w:firstLine="640" w:firstLineChars="200"/>
        <w:rPr>
          <w:rFonts w:eastAsia="仿宋_GB2312"/>
          <w:color w:val="000000"/>
          <w:sz w:val="32"/>
          <w:szCs w:val="32"/>
        </w:rPr>
      </w:pPr>
      <w:r>
        <w:rPr>
          <w:rFonts w:eastAsia="仿宋_GB2312"/>
          <w:color w:val="000000"/>
          <w:sz w:val="32"/>
          <w:szCs w:val="32"/>
        </w:rPr>
        <w:t>攀枝花市民政局定期组织下属事业单位对项目相关费用的支出和管理是否严格按照内控和财务管理的相关规定执行的情况进行交叉检查，并依据《财政支出绩效评价管理暂行办法》，对预算资金的使用效率和效果进行定期考评。注重考核标准，特别对项目资金使用是否达到预期效果应定期组织考评。同时注重绩效评价结果的运用，防止虚假现象发生。</w:t>
      </w:r>
    </w:p>
    <w:p>
      <w:pPr>
        <w:adjustRightInd w:val="0"/>
        <w:snapToGrid w:val="0"/>
        <w:spacing w:line="580" w:lineRule="exact"/>
        <w:ind w:firstLine="640" w:firstLineChars="200"/>
        <w:rPr>
          <w:rFonts w:eastAsia="黑体"/>
          <w:color w:val="000000"/>
          <w:sz w:val="32"/>
          <w:szCs w:val="32"/>
        </w:rPr>
      </w:pPr>
      <w:r>
        <w:rPr>
          <w:rFonts w:eastAsia="黑体"/>
          <w:color w:val="000000"/>
          <w:sz w:val="32"/>
          <w:szCs w:val="32"/>
        </w:rPr>
        <w:t>四、项目绩效情况</w:t>
      </w:r>
    </w:p>
    <w:p>
      <w:pPr>
        <w:spacing w:line="580" w:lineRule="exact"/>
        <w:ind w:firstLine="640" w:firstLineChars="200"/>
        <w:rPr>
          <w:rFonts w:eastAsia="楷体_GB2312"/>
          <w:color w:val="000000"/>
          <w:sz w:val="32"/>
          <w:szCs w:val="32"/>
        </w:rPr>
      </w:pPr>
      <w:r>
        <w:rPr>
          <w:rFonts w:eastAsia="楷体_GB2312"/>
          <w:color w:val="000000"/>
          <w:sz w:val="32"/>
          <w:szCs w:val="32"/>
        </w:rPr>
        <w:t xml:space="preserve">（一）项目完成情况 </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2021年度，我院用于居家养老综合服务中心项目支出经费100.30万元支付完毕。按照预算中编写部门预算绩效的各项指标实施该项目进度，能够在2021年12月31日前，保质保量的完成目标任务。</w:t>
      </w:r>
    </w:p>
    <w:p>
      <w:pPr>
        <w:spacing w:line="580" w:lineRule="exact"/>
        <w:ind w:firstLine="640" w:firstLineChars="200"/>
        <w:rPr>
          <w:rFonts w:eastAsia="楷体_GB2312"/>
          <w:color w:val="000000"/>
          <w:sz w:val="32"/>
          <w:szCs w:val="32"/>
        </w:rPr>
      </w:pPr>
      <w:r>
        <w:rPr>
          <w:rFonts w:eastAsia="楷体_GB2312"/>
          <w:color w:val="000000"/>
          <w:sz w:val="32"/>
          <w:szCs w:val="32"/>
        </w:rPr>
        <w:t>（二）项目效益情况</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按照年度工作计划，于12月31日前圆满完成了居家养老综合服务中心项目工作。社会效益指标：全面推进预算绩效管理工作，提升财政资金绩效，不断满足人民群众日益增长的养老服务需求；可持续影响指标：不断完善养老服务体系建设；服务对象满意度指标：服务对象抽样满意度达到基本满意以上。</w:t>
      </w:r>
    </w:p>
    <w:p>
      <w:pPr>
        <w:adjustRightInd w:val="0"/>
        <w:snapToGrid w:val="0"/>
        <w:spacing w:line="580" w:lineRule="exact"/>
        <w:ind w:firstLine="640" w:firstLineChars="200"/>
        <w:rPr>
          <w:rFonts w:eastAsia="黑体"/>
          <w:color w:val="000000"/>
          <w:sz w:val="32"/>
          <w:szCs w:val="32"/>
        </w:rPr>
      </w:pPr>
      <w:r>
        <w:rPr>
          <w:rFonts w:eastAsia="黑体"/>
          <w:color w:val="000000"/>
          <w:sz w:val="32"/>
          <w:szCs w:val="32"/>
        </w:rPr>
        <w:t>五、评价结论与建议</w:t>
      </w:r>
    </w:p>
    <w:p>
      <w:pPr>
        <w:spacing w:line="580" w:lineRule="exact"/>
        <w:ind w:firstLine="640" w:firstLineChars="200"/>
        <w:rPr>
          <w:rFonts w:eastAsia="楷体_GB2312"/>
          <w:color w:val="000000"/>
          <w:sz w:val="32"/>
          <w:szCs w:val="32"/>
        </w:rPr>
      </w:pPr>
      <w:r>
        <w:rPr>
          <w:rFonts w:eastAsia="楷体_GB2312"/>
          <w:color w:val="000000"/>
          <w:sz w:val="32"/>
          <w:szCs w:val="32"/>
        </w:rPr>
        <w:t xml:space="preserve">（一）评价结论 </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2021年度，居家养老综合服务中心项目经费全年预算数为100.30万元，执行数为100.30万元，完成预算的100%。项目实施合法、合规和完整的业务管理制度和操作规范，日常监督检查工作较为全面。项目的资金使用按照预算相关的支出范围和用途合理安排支出，支出严格按照规定的报销标准及报销程序办理，做到流程合规、手续完整、要件齐备，符合国家财经法规和财务管理制度以及有关专项资金管理办法的规定。2021年我院在市政府和上级主管部门的高度重视和大力支持下，为社会福利院营造了良好的生活环境，项目支出绩效评价得分97分。</w:t>
      </w:r>
    </w:p>
    <w:p>
      <w:pPr>
        <w:spacing w:line="580" w:lineRule="exact"/>
        <w:ind w:firstLine="640" w:firstLineChars="200"/>
        <w:rPr>
          <w:rFonts w:eastAsia="楷体_GB2312"/>
          <w:color w:val="000000"/>
          <w:sz w:val="32"/>
          <w:szCs w:val="32"/>
        </w:rPr>
      </w:pPr>
      <w:r>
        <w:rPr>
          <w:rFonts w:eastAsia="楷体_GB2312"/>
          <w:color w:val="000000"/>
          <w:sz w:val="32"/>
          <w:szCs w:val="32"/>
        </w:rPr>
        <w:t xml:space="preserve">（二）存在的问题 </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1.绩效评价在目标设定上过于简单，预算绩效编制的合理性有待提高。</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2.绩效评价在指标的设定上存在偏离的现象，绩效目标的设定应从单位实际情况出发，促进预算管理的作用还没有得到充分体现。</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3.项目经费不能按照实际支出情况进行合理的追加。</w:t>
      </w:r>
    </w:p>
    <w:p>
      <w:pPr>
        <w:spacing w:line="580" w:lineRule="exact"/>
        <w:ind w:firstLine="640" w:firstLineChars="200"/>
        <w:rPr>
          <w:rFonts w:eastAsia="楷体_GB2312"/>
          <w:color w:val="000000"/>
          <w:sz w:val="32"/>
          <w:szCs w:val="32"/>
        </w:rPr>
      </w:pPr>
      <w:r>
        <w:rPr>
          <w:rFonts w:eastAsia="楷体_GB2312"/>
          <w:color w:val="000000"/>
          <w:sz w:val="32"/>
          <w:szCs w:val="32"/>
        </w:rPr>
        <w:t xml:space="preserve">（三）相关建议 </w:t>
      </w:r>
    </w:p>
    <w:p>
      <w:pPr>
        <w:widowControl/>
        <w:shd w:val="clear" w:color="auto" w:fill="FFFFFF"/>
        <w:spacing w:line="580" w:lineRule="exact"/>
        <w:ind w:firstLine="640" w:firstLineChars="200"/>
        <w:rPr>
          <w:rFonts w:hint="eastAsia" w:eastAsia="仿宋_GB2312"/>
          <w:color w:val="000000"/>
          <w:sz w:val="32"/>
          <w:szCs w:val="32"/>
        </w:rPr>
      </w:pPr>
      <w:r>
        <w:rPr>
          <w:rFonts w:eastAsia="仿宋_GB2312"/>
          <w:color w:val="000000"/>
          <w:sz w:val="32"/>
          <w:szCs w:val="32"/>
        </w:rPr>
        <w:t xml:space="preserve">认真实施绩效评价体系，以绩效导向的全面预算评价体系，制定科学、完善、切合实际的考核项目和标准，强化对预算管理全过程的资金使用实施考核、评价，通过绩效评价反映我院日常工作中预算执行情况、及时掌握资金使用情况、提高资金使用率，为我院领导的决策提供参考，促进我院健康全面发展。加强财务管理，严格财务审核；加强项目开展进度的跟踪，开展项目绩效评价，确保项目绩效目标的圆满完成；加强项目申报审核，结合实际，科学决策。  </w:t>
      </w:r>
    </w:p>
    <w:p>
      <w:pPr>
        <w:widowControl/>
        <w:adjustRightInd w:val="0"/>
        <w:snapToGrid w:val="0"/>
        <w:spacing w:line="580" w:lineRule="exact"/>
        <w:contextualSpacing/>
        <w:jc w:val="left"/>
        <w:rPr>
          <w:rFonts w:hint="eastAsia" w:ascii="仿宋_GB2312" w:hAnsi="宋体" w:eastAsia="仿宋_GB2312" w:cs="宋体"/>
          <w:kern w:val="0"/>
          <w:sz w:val="32"/>
          <w:szCs w:val="32"/>
          <w:shd w:val="clear" w:color="auto" w:fill="FFFFFF"/>
          <w:lang w:val="zh-CN"/>
        </w:rPr>
      </w:pPr>
    </w:p>
    <w:p>
      <w:pPr>
        <w:widowControl/>
        <w:adjustRightInd w:val="0"/>
        <w:snapToGrid w:val="0"/>
        <w:spacing w:line="580" w:lineRule="exact"/>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附表：</w:t>
      </w:r>
    </w:p>
    <w:tbl>
      <w:tblPr>
        <w:tblStyle w:val="13"/>
        <w:tblpPr w:leftFromText="180" w:rightFromText="180" w:vertAnchor="text" w:horzAnchor="page" w:tblpX="1281" w:tblpY="660"/>
        <w:tblOverlap w:val="never"/>
        <w:tblW w:w="10314" w:type="dxa"/>
        <w:tblInd w:w="0" w:type="dxa"/>
        <w:tblLayout w:type="fixed"/>
        <w:tblCellMar>
          <w:top w:w="0" w:type="dxa"/>
          <w:left w:w="108" w:type="dxa"/>
          <w:bottom w:w="0" w:type="dxa"/>
          <w:right w:w="108" w:type="dxa"/>
        </w:tblCellMar>
      </w:tblPr>
      <w:tblGrid>
        <w:gridCol w:w="1101"/>
        <w:gridCol w:w="118"/>
        <w:gridCol w:w="1016"/>
        <w:gridCol w:w="154"/>
        <w:gridCol w:w="729"/>
        <w:gridCol w:w="531"/>
        <w:gridCol w:w="145"/>
        <w:gridCol w:w="959"/>
        <w:gridCol w:w="1025"/>
        <w:gridCol w:w="164"/>
        <w:gridCol w:w="1396"/>
        <w:gridCol w:w="706"/>
        <w:gridCol w:w="853"/>
        <w:gridCol w:w="678"/>
        <w:gridCol w:w="236"/>
        <w:gridCol w:w="503"/>
      </w:tblGrid>
      <w:tr>
        <w:tblPrEx>
          <w:tblCellMar>
            <w:top w:w="0" w:type="dxa"/>
            <w:left w:w="108" w:type="dxa"/>
            <w:bottom w:w="0" w:type="dxa"/>
            <w:right w:w="108" w:type="dxa"/>
          </w:tblCellMar>
        </w:tblPrEx>
        <w:trPr>
          <w:gridAfter w:val="1"/>
          <w:wAfter w:w="503" w:type="dxa"/>
          <w:trHeight w:val="675" w:hRule="atLeast"/>
        </w:trPr>
        <w:tc>
          <w:tcPr>
            <w:tcW w:w="9575" w:type="dxa"/>
            <w:gridSpan w:val="14"/>
            <w:tcBorders>
              <w:top w:val="nil"/>
              <w:left w:val="nil"/>
              <w:bottom w:val="nil"/>
              <w:right w:val="nil"/>
            </w:tcBorders>
            <w:shd w:val="clear" w:color="auto" w:fill="auto"/>
            <w:vAlign w:val="center"/>
          </w:tcPr>
          <w:p>
            <w:pPr>
              <w:pStyle w:val="31"/>
              <w:ind w:firstLine="0" w:firstLineChars="0"/>
              <w:rPr>
                <w:rFonts w:ascii="宋体" w:hAnsi="宋体" w:cs="宋体"/>
                <w:b/>
                <w:bCs/>
                <w:szCs w:val="32"/>
              </w:rPr>
            </w:pPr>
            <w:r>
              <w:rPr>
                <w:rFonts w:hint="eastAsia"/>
                <w:b/>
                <w:bCs/>
              </w:rPr>
              <w:t>2021年50万元以上（含）特定目标类部门预算项目绩效目标自评</w:t>
            </w:r>
          </w:p>
          <w:p>
            <w:pPr>
              <w:pStyle w:val="31"/>
              <w:ind w:firstLine="0" w:firstLineChars="0"/>
              <w:jc w:val="center"/>
              <w:rPr>
                <w:rFonts w:ascii="宋体" w:hAnsi="宋体" w:cs="宋体"/>
                <w:b/>
                <w:szCs w:val="32"/>
              </w:rPr>
            </w:pPr>
            <w:r>
              <w:rPr>
                <w:rFonts w:hint="eastAsia" w:ascii="仿宋_GB2312" w:hAnsi="仿宋_GB2312" w:eastAsia="仿宋_GB2312" w:cs="仿宋_GB2312"/>
                <w:bCs/>
                <w:szCs w:val="32"/>
              </w:rPr>
              <w:t>（80周岁以上困难老年人家庭适老化改造试点及社区养老服务助行设备采购）</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2"/>
          <w:wAfter w:w="739" w:type="dxa"/>
          <w:trHeight w:val="254" w:hRule="atLeast"/>
        </w:trPr>
        <w:tc>
          <w:tcPr>
            <w:tcW w:w="23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5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501001</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攀枝花市民政局</w:t>
            </w:r>
          </w:p>
        </w:tc>
      </w:tr>
      <w:tr>
        <w:tblPrEx>
          <w:tblCellMar>
            <w:top w:w="0" w:type="dxa"/>
            <w:left w:w="108" w:type="dxa"/>
            <w:bottom w:w="0" w:type="dxa"/>
            <w:right w:w="108" w:type="dxa"/>
          </w:tblCellMar>
        </w:tblPrEx>
        <w:trPr>
          <w:gridAfter w:val="2"/>
          <w:wAfter w:w="739" w:type="dxa"/>
          <w:trHeight w:val="341" w:hRule="atLeast"/>
        </w:trPr>
        <w:tc>
          <w:tcPr>
            <w:tcW w:w="23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22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126.4</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126.4</w:t>
            </w:r>
          </w:p>
        </w:tc>
      </w:tr>
      <w:tr>
        <w:tblPrEx>
          <w:tblCellMar>
            <w:top w:w="0" w:type="dxa"/>
            <w:left w:w="108" w:type="dxa"/>
            <w:bottom w:w="0" w:type="dxa"/>
            <w:right w:w="108" w:type="dxa"/>
          </w:tblCellMar>
        </w:tblPrEx>
        <w:trPr>
          <w:gridAfter w:val="2"/>
          <w:wAfter w:w="739" w:type="dxa"/>
          <w:trHeight w:val="555" w:hRule="atLeast"/>
        </w:trPr>
        <w:tc>
          <w:tcPr>
            <w:tcW w:w="23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2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126.4</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126.4</w:t>
            </w:r>
          </w:p>
        </w:tc>
      </w:tr>
      <w:tr>
        <w:tblPrEx>
          <w:tblCellMar>
            <w:top w:w="0" w:type="dxa"/>
            <w:left w:w="108" w:type="dxa"/>
            <w:bottom w:w="0" w:type="dxa"/>
            <w:right w:w="108" w:type="dxa"/>
          </w:tblCellMar>
        </w:tblPrEx>
        <w:trPr>
          <w:gridAfter w:val="2"/>
          <w:wAfter w:w="739" w:type="dxa"/>
          <w:trHeight w:val="341" w:hRule="atLeast"/>
        </w:trPr>
        <w:tc>
          <w:tcPr>
            <w:tcW w:w="23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2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2"/>
          <w:wAfter w:w="739" w:type="dxa"/>
          <w:trHeight w:val="217" w:hRule="atLeast"/>
        </w:trPr>
        <w:tc>
          <w:tcPr>
            <w:tcW w:w="12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7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2"/>
          <w:wAfter w:w="739" w:type="dxa"/>
          <w:trHeight w:val="797" w:hRule="atLeast"/>
        </w:trPr>
        <w:tc>
          <w:tcPr>
            <w:tcW w:w="12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723" w:type="dxa"/>
            <w:gridSpan w:val="8"/>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为本市80周岁困难老年人家庭提供住房安全性和无障碍设施等方面改造，社区养老服务助行设备采购、开展租赁服务要着力解决高龄老人居家养老服务需求</w:t>
            </w:r>
          </w:p>
        </w:tc>
        <w:tc>
          <w:tcPr>
            <w:tcW w:w="3633"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为本市80周岁困难老年人家庭提供住房安全性和无障碍设施等方面改造，社区养老服务助行设备采购、开展租赁服务要着力解决高龄老人居家养老服务需求</w:t>
            </w:r>
          </w:p>
        </w:tc>
      </w:tr>
      <w:tr>
        <w:tblPrEx>
          <w:tblCellMar>
            <w:top w:w="0" w:type="dxa"/>
            <w:left w:w="108" w:type="dxa"/>
            <w:bottom w:w="0" w:type="dxa"/>
            <w:right w:w="108" w:type="dxa"/>
          </w:tblCellMar>
        </w:tblPrEx>
        <w:trPr>
          <w:gridAfter w:val="2"/>
          <w:wAfter w:w="739" w:type="dxa"/>
          <w:trHeight w:val="693" w:hRule="atLeast"/>
        </w:trPr>
        <w:tc>
          <w:tcPr>
            <w:tcW w:w="1219"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年度绩效指标完成情况</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一级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二级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22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三级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预期指标值</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实际完成指标值</w:t>
            </w:r>
          </w:p>
        </w:tc>
      </w:tr>
      <w:tr>
        <w:tblPrEx>
          <w:tblCellMar>
            <w:top w:w="0" w:type="dxa"/>
            <w:left w:w="108" w:type="dxa"/>
            <w:bottom w:w="0" w:type="dxa"/>
            <w:right w:w="108" w:type="dxa"/>
          </w:tblCellMar>
        </w:tblPrEx>
        <w:trPr>
          <w:gridAfter w:val="2"/>
          <w:wAfter w:w="739" w:type="dxa"/>
          <w:trHeight w:val="415" w:hRule="atLeast"/>
        </w:trPr>
        <w:tc>
          <w:tcPr>
            <w:tcW w:w="1219" w:type="dxa"/>
            <w:gridSpan w:val="2"/>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完成</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数量指标</w:t>
            </w:r>
          </w:p>
        </w:tc>
        <w:tc>
          <w:tcPr>
            <w:tcW w:w="22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对全市符合条件的困难老年人家庭进行适老化改造</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1000户困难老年人家庭进行适老化改造</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100%完成</w:t>
            </w:r>
          </w:p>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2"/>
          <w:wAfter w:w="739" w:type="dxa"/>
          <w:trHeight w:val="635" w:hRule="atLeast"/>
        </w:trPr>
        <w:tc>
          <w:tcPr>
            <w:tcW w:w="1219" w:type="dxa"/>
            <w:gridSpan w:val="2"/>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质量指标</w:t>
            </w:r>
          </w:p>
        </w:tc>
        <w:tc>
          <w:tcPr>
            <w:tcW w:w="22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解决高龄老人居家养老服务需求</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解决高龄老人居家养老服务需求</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100%完成</w:t>
            </w:r>
          </w:p>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2"/>
          <w:wAfter w:w="739" w:type="dxa"/>
          <w:trHeight w:val="415" w:hRule="atLeast"/>
        </w:trPr>
        <w:tc>
          <w:tcPr>
            <w:tcW w:w="1219" w:type="dxa"/>
            <w:gridSpan w:val="2"/>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时效指标</w:t>
            </w:r>
          </w:p>
        </w:tc>
        <w:tc>
          <w:tcPr>
            <w:tcW w:w="22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2021年完成</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2021年完成</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100%完成</w:t>
            </w:r>
          </w:p>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2"/>
          <w:wAfter w:w="739" w:type="dxa"/>
          <w:trHeight w:val="480" w:hRule="atLeast"/>
        </w:trPr>
        <w:tc>
          <w:tcPr>
            <w:tcW w:w="1219" w:type="dxa"/>
            <w:gridSpan w:val="2"/>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成本指标</w:t>
            </w:r>
          </w:p>
        </w:tc>
        <w:tc>
          <w:tcPr>
            <w:tcW w:w="22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126.4万元</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126.4万元</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100%完成</w:t>
            </w:r>
          </w:p>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2"/>
          <w:wAfter w:w="739" w:type="dxa"/>
          <w:trHeight w:val="480" w:hRule="atLeast"/>
        </w:trPr>
        <w:tc>
          <w:tcPr>
            <w:tcW w:w="1219" w:type="dxa"/>
            <w:gridSpan w:val="2"/>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效益</w:t>
            </w:r>
            <w:r>
              <w:rPr>
                <w:rFonts w:hint="eastAsia" w:ascii="宋体" w:hAnsi="宋体" w:cs="宋体"/>
                <w:sz w:val="24"/>
              </w:rPr>
              <w:br w:type="textWrapping"/>
            </w:r>
            <w:r>
              <w:rPr>
                <w:rFonts w:hint="eastAsia" w:ascii="宋体" w:hAnsi="宋体" w:cs="宋体"/>
                <w:sz w:val="24"/>
              </w:rPr>
              <w:t>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top"/>
              <w:rPr>
                <w:rFonts w:ascii="宋体" w:hAnsi="宋体" w:cs="宋体"/>
                <w:sz w:val="24"/>
              </w:rPr>
            </w:pPr>
            <w:r>
              <w:rPr>
                <w:rFonts w:hint="eastAsia" w:ascii="宋体" w:hAnsi="宋体" w:cs="宋体"/>
                <w:sz w:val="24"/>
              </w:rPr>
              <w:t>社会效益  指标</w:t>
            </w:r>
          </w:p>
        </w:tc>
        <w:tc>
          <w:tcPr>
            <w:tcW w:w="22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项目实施后将改善老年人居住条件，降低在家庭发生意外的风险，是推进困难老年人家庭宜居环境建设、提升老年人生活品质。</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项目实施后将改善老年人居住条件，降低在家庭发生意外的风险，是推进困难老年人家庭宜居环境建设、提升老年人生活品质。</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100%完成</w:t>
            </w:r>
          </w:p>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2"/>
          <w:wAfter w:w="739" w:type="dxa"/>
          <w:trHeight w:val="530" w:hRule="atLeast"/>
        </w:trPr>
        <w:tc>
          <w:tcPr>
            <w:tcW w:w="1219"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w:t>
            </w:r>
            <w:r>
              <w:rPr>
                <w:rFonts w:hint="eastAsia" w:ascii="宋体" w:hAnsi="宋体" w:cs="宋体"/>
                <w:sz w:val="24"/>
              </w:rPr>
              <w:br w:type="textWrapping"/>
            </w:r>
            <w:r>
              <w:rPr>
                <w:rFonts w:hint="eastAsia" w:ascii="宋体" w:hAnsi="宋体" w:cs="宋体"/>
                <w:sz w:val="24"/>
              </w:rPr>
              <w:t>度指标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满意度指标</w:t>
            </w:r>
          </w:p>
        </w:tc>
        <w:tc>
          <w:tcPr>
            <w:tcW w:w="22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服务对象满意度</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&gt;90%</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100%完成</w:t>
            </w:r>
          </w:p>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trHeight w:val="675" w:hRule="atLeast"/>
        </w:trPr>
        <w:tc>
          <w:tcPr>
            <w:tcW w:w="10314" w:type="dxa"/>
            <w:gridSpan w:val="16"/>
            <w:tcBorders>
              <w:top w:val="nil"/>
              <w:left w:val="nil"/>
              <w:bottom w:val="nil"/>
              <w:right w:val="nil"/>
            </w:tcBorders>
            <w:shd w:val="clear" w:color="auto" w:fill="auto"/>
            <w:vAlign w:val="center"/>
          </w:tcPr>
          <w:p>
            <w:pPr>
              <w:pStyle w:val="5"/>
              <w:spacing w:before="93"/>
              <w:jc w:val="center"/>
              <w:rPr>
                <w:sz w:val="32"/>
                <w:szCs w:val="32"/>
              </w:rPr>
            </w:pPr>
          </w:p>
          <w:p>
            <w:pPr>
              <w:pStyle w:val="31"/>
              <w:ind w:firstLine="0" w:firstLineChars="0"/>
              <w:jc w:val="center"/>
              <w:rPr>
                <w:b/>
                <w:bCs/>
              </w:rPr>
            </w:pPr>
            <w:r>
              <w:rPr>
                <w:rFonts w:hint="eastAsia"/>
                <w:b/>
                <w:bCs/>
              </w:rPr>
              <w:t>2021年度专项（项目）资金绩效自评表</w:t>
            </w:r>
          </w:p>
          <w:p>
            <w:pPr>
              <w:pStyle w:val="5"/>
              <w:spacing w:before="93"/>
              <w:jc w:val="center"/>
              <w:rPr>
                <w:rFonts w:ascii="宋体" w:hAnsi="宋体" w:cs="宋体"/>
                <w:b/>
                <w:bCs/>
                <w:sz w:val="28"/>
                <w:szCs w:val="28"/>
              </w:rPr>
            </w:pPr>
            <w:r>
              <w:rPr>
                <w:rFonts w:hint="eastAsia" w:ascii="宋体" w:hAnsi="宋体" w:cs="宋体"/>
                <w:bCs/>
                <w:sz w:val="32"/>
                <w:szCs w:val="32"/>
              </w:rPr>
              <w:t>（孤儿收养费项目）</w:t>
            </w:r>
          </w:p>
        </w:tc>
      </w:tr>
      <w:tr>
        <w:tblPrEx>
          <w:tblCellMar>
            <w:top w:w="0" w:type="dxa"/>
            <w:left w:w="108" w:type="dxa"/>
            <w:bottom w:w="0" w:type="dxa"/>
            <w:right w:w="108" w:type="dxa"/>
          </w:tblCellMar>
        </w:tblPrEx>
        <w:trPr>
          <w:trHeight w:val="254" w:hRule="atLeast"/>
        </w:trPr>
        <w:tc>
          <w:tcPr>
            <w:tcW w:w="31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攀枝花市民政局</w:t>
            </w:r>
            <w:r>
              <w:rPr>
                <w:rFonts w:hint="eastAsia" w:ascii="宋体" w:hAnsi="宋体" w:cs="宋体"/>
                <w:sz w:val="24"/>
              </w:rPr>
              <w:t>501001</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9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攀枝花市儿童福利院</w:t>
            </w:r>
          </w:p>
        </w:tc>
      </w:tr>
      <w:tr>
        <w:tblPrEx>
          <w:tblCellMar>
            <w:top w:w="0" w:type="dxa"/>
            <w:left w:w="108" w:type="dxa"/>
            <w:bottom w:w="0" w:type="dxa"/>
            <w:right w:w="108" w:type="dxa"/>
          </w:tblCellMar>
        </w:tblPrEx>
        <w:trPr>
          <w:trHeight w:val="341" w:hRule="atLeast"/>
        </w:trPr>
        <w:tc>
          <w:tcPr>
            <w:tcW w:w="311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54．97</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9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54．97</w:t>
            </w:r>
          </w:p>
        </w:tc>
      </w:tr>
      <w:tr>
        <w:tblPrEx>
          <w:tblCellMar>
            <w:top w:w="0" w:type="dxa"/>
            <w:left w:w="108" w:type="dxa"/>
            <w:bottom w:w="0" w:type="dxa"/>
            <w:right w:w="108" w:type="dxa"/>
          </w:tblCellMar>
        </w:tblPrEx>
        <w:trPr>
          <w:trHeight w:val="555" w:hRule="atLeast"/>
        </w:trPr>
        <w:tc>
          <w:tcPr>
            <w:tcW w:w="311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54．97</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9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54．97</w:t>
            </w:r>
          </w:p>
        </w:tc>
      </w:tr>
      <w:tr>
        <w:tblPrEx>
          <w:tblCellMar>
            <w:top w:w="0" w:type="dxa"/>
            <w:left w:w="108" w:type="dxa"/>
            <w:bottom w:w="0" w:type="dxa"/>
            <w:right w:w="108" w:type="dxa"/>
          </w:tblCellMar>
        </w:tblPrEx>
        <w:trPr>
          <w:trHeight w:val="341" w:hRule="atLeast"/>
        </w:trPr>
        <w:tc>
          <w:tcPr>
            <w:tcW w:w="311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9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r>
      <w:tr>
        <w:tblPrEx>
          <w:tblCellMar>
            <w:top w:w="0" w:type="dxa"/>
            <w:left w:w="108" w:type="dxa"/>
            <w:bottom w:w="0" w:type="dxa"/>
            <w:right w:w="108" w:type="dxa"/>
          </w:tblCellMar>
        </w:tblPrEx>
        <w:trPr>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67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45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677" w:type="dxa"/>
            <w:gridSpan w:val="8"/>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rFonts w:ascii="宋体" w:hAnsi="宋体" w:cs="宋体"/>
                <w:kern w:val="0"/>
                <w:sz w:val="24"/>
              </w:rPr>
            </w:pPr>
            <w:r>
              <w:rPr>
                <w:rFonts w:hint="eastAsia" w:ascii="宋体" w:hAnsi="宋体" w:cs="宋体"/>
                <w:kern w:val="0"/>
                <w:sz w:val="24"/>
              </w:rPr>
              <w:t>保障全市无依无靠、生活无来源孤弃儿童的收养、保育护理、康复治疗、特殊教学、就业培训以及为社会孤残儿童提供代养、康复治疗服务等工作。</w:t>
            </w:r>
          </w:p>
        </w:tc>
        <w:tc>
          <w:tcPr>
            <w:tcW w:w="4536" w:type="dxa"/>
            <w:gridSpan w:val="7"/>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完成情况良好,确保无孤残儿童流浪街头，无家可归，享受公平的生活，保障孤弃儿童保育护理、康复治疗、特殊教学、就业培训以及为社会孤残儿童提供代养、康复治疗服务等工作。</w:t>
            </w:r>
          </w:p>
        </w:tc>
      </w:tr>
      <w:tr>
        <w:tblPrEx>
          <w:tblCellMar>
            <w:top w:w="0" w:type="dxa"/>
            <w:left w:w="108" w:type="dxa"/>
            <w:bottom w:w="0" w:type="dxa"/>
            <w:right w:w="108" w:type="dxa"/>
          </w:tblCellMar>
        </w:tblPrEx>
        <w:trPr>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一级</w:t>
            </w:r>
          </w:p>
          <w:p>
            <w:pPr>
              <w:widowControl/>
              <w:spacing w:line="320" w:lineRule="exact"/>
              <w:jc w:val="left"/>
              <w:textAlignment w:val="center"/>
              <w:rPr>
                <w:rFonts w:ascii="宋体" w:hAnsi="宋体" w:cs="宋体"/>
                <w:kern w:val="0"/>
                <w:sz w:val="24"/>
              </w:rPr>
            </w:pPr>
            <w:r>
              <w:rPr>
                <w:rFonts w:hint="eastAsia" w:ascii="宋体" w:hAnsi="宋体" w:cs="宋体"/>
                <w:kern w:val="0"/>
                <w:sz w:val="24"/>
              </w:rPr>
              <w:t>指标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二级</w:t>
            </w:r>
          </w:p>
          <w:p>
            <w:pPr>
              <w:widowControl/>
              <w:spacing w:line="320" w:lineRule="exact"/>
              <w:jc w:val="left"/>
              <w:textAlignment w:val="center"/>
              <w:rPr>
                <w:rFonts w:ascii="宋体" w:hAnsi="宋体" w:cs="宋体"/>
                <w:kern w:val="0"/>
                <w:sz w:val="24"/>
              </w:rPr>
            </w:pPr>
            <w:r>
              <w:rPr>
                <w:rFonts w:hint="eastAsia" w:ascii="宋体" w:hAnsi="宋体" w:cs="宋体"/>
                <w:kern w:val="0"/>
                <w:sz w:val="24"/>
              </w:rPr>
              <w:t>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三级</w:t>
            </w:r>
          </w:p>
          <w:p>
            <w:pPr>
              <w:widowControl/>
              <w:spacing w:line="320" w:lineRule="exact"/>
              <w:jc w:val="left"/>
              <w:textAlignment w:val="center"/>
              <w:rPr>
                <w:rFonts w:ascii="宋体" w:hAnsi="宋体" w:cs="宋体"/>
                <w:kern w:val="0"/>
                <w:sz w:val="24"/>
              </w:rPr>
            </w:pPr>
            <w:r>
              <w:rPr>
                <w:rFonts w:hint="eastAsia" w:ascii="宋体" w:hAnsi="宋体" w:cs="宋体"/>
                <w:kern w:val="0"/>
                <w:sz w:val="24"/>
              </w:rPr>
              <w:t>指标</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预期指标值</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实际完成指标值</w:t>
            </w:r>
          </w:p>
        </w:tc>
      </w:tr>
      <w:tr>
        <w:tblPrEx>
          <w:tblCellMar>
            <w:top w:w="0" w:type="dxa"/>
            <w:left w:w="108" w:type="dxa"/>
            <w:bottom w:w="0" w:type="dxa"/>
            <w:right w:w="108" w:type="dxa"/>
          </w:tblCellMar>
        </w:tblPrEx>
        <w:trPr>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完成</w:t>
            </w:r>
          </w:p>
          <w:p>
            <w:pPr>
              <w:widowControl/>
              <w:spacing w:line="320" w:lineRule="exact"/>
              <w:jc w:val="left"/>
              <w:textAlignment w:val="center"/>
              <w:rPr>
                <w:rFonts w:ascii="宋体" w:hAnsi="宋体" w:cs="宋体"/>
                <w:kern w:val="0"/>
                <w:sz w:val="24"/>
              </w:rPr>
            </w:pPr>
            <w:r>
              <w:rPr>
                <w:rFonts w:hint="eastAsia" w:ascii="宋体" w:hAnsi="宋体" w:cs="宋体"/>
                <w:kern w:val="0"/>
                <w:sz w:val="24"/>
              </w:rPr>
              <w:t>指标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数量指标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孤儿人数</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34人</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34人</w:t>
            </w:r>
          </w:p>
        </w:tc>
      </w:tr>
      <w:tr>
        <w:tblPrEx>
          <w:tblCellMar>
            <w:top w:w="0" w:type="dxa"/>
            <w:left w:w="108" w:type="dxa"/>
            <w:bottom w:w="0" w:type="dxa"/>
            <w:right w:w="108" w:type="dxa"/>
          </w:tblCellMar>
        </w:tblPrEx>
        <w:trPr>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质量指标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孤儿养育指标</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根据文件要求养育孤残儿童</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时效指标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2021年1-12月</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2021年1-12月</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503"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成本指标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孤儿各项费用</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54．97万元</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54．97万元</w:t>
            </w:r>
          </w:p>
        </w:tc>
      </w:tr>
      <w:tr>
        <w:tblPrEx>
          <w:tblCellMar>
            <w:top w:w="0" w:type="dxa"/>
            <w:left w:w="108" w:type="dxa"/>
            <w:bottom w:w="0" w:type="dxa"/>
            <w:right w:w="108" w:type="dxa"/>
          </w:tblCellMar>
        </w:tblPrEx>
        <w:trPr>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效益</w:t>
            </w:r>
            <w:r>
              <w:rPr>
                <w:rFonts w:hint="eastAsia" w:ascii="宋体" w:hAnsi="宋体" w:cs="宋体"/>
                <w:kern w:val="0"/>
                <w:sz w:val="24"/>
              </w:rPr>
              <w:br w:type="textWrapping"/>
            </w:r>
            <w:r>
              <w:rPr>
                <w:rFonts w:hint="eastAsia" w:ascii="宋体" w:hAnsi="宋体" w:cs="宋体"/>
                <w:kern w:val="0"/>
                <w:sz w:val="24"/>
              </w:rPr>
              <w:t>指标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经济效益  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r>
      <w:tr>
        <w:tblPrEx>
          <w:tblCellMar>
            <w:top w:w="0" w:type="dxa"/>
            <w:left w:w="108" w:type="dxa"/>
            <w:bottom w:w="0" w:type="dxa"/>
            <w:right w:w="108" w:type="dxa"/>
          </w:tblCellMar>
        </w:tblPrEx>
        <w:trPr>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社会效益  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促进社会和谐、促进社会公平正义、提高社会整体福利</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促进社会和谐，确保无孤弃儿童流浪街头，无家可归，享受公平的生活、生命权益，提高社会的整体福利制度的落实。</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生态效益  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r>
      <w:tr>
        <w:tblPrEx>
          <w:tblCellMar>
            <w:top w:w="0" w:type="dxa"/>
            <w:left w:w="108" w:type="dxa"/>
            <w:bottom w:w="0" w:type="dxa"/>
            <w:right w:w="108" w:type="dxa"/>
          </w:tblCellMar>
        </w:tblPrEx>
        <w:trPr>
          <w:trHeight w:val="459"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可持续影响指标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p>
        </w:tc>
      </w:tr>
      <w:tr>
        <w:tblPrEx>
          <w:tblCellMar>
            <w:top w:w="0" w:type="dxa"/>
            <w:left w:w="108" w:type="dxa"/>
            <w:bottom w:w="0" w:type="dxa"/>
            <w:right w:w="108" w:type="dxa"/>
          </w:tblCellMar>
        </w:tblPrEx>
        <w:trPr>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满意</w:t>
            </w:r>
            <w:r>
              <w:rPr>
                <w:rFonts w:hint="eastAsia" w:ascii="宋体" w:hAnsi="宋体" w:cs="宋体"/>
                <w:kern w:val="0"/>
                <w:sz w:val="24"/>
              </w:rPr>
              <w:br w:type="textWrapping"/>
            </w:r>
            <w:r>
              <w:rPr>
                <w:rFonts w:hint="eastAsia" w:ascii="宋体" w:hAnsi="宋体" w:cs="宋体"/>
                <w:kern w:val="0"/>
                <w:sz w:val="24"/>
              </w:rPr>
              <w:t>度指标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满意度</w:t>
            </w:r>
          </w:p>
          <w:p>
            <w:pPr>
              <w:widowControl/>
              <w:spacing w:line="320" w:lineRule="exact"/>
              <w:jc w:val="left"/>
              <w:textAlignment w:val="center"/>
              <w:rPr>
                <w:rFonts w:ascii="宋体" w:hAnsi="宋体" w:cs="宋体"/>
                <w:kern w:val="0"/>
                <w:sz w:val="24"/>
              </w:rPr>
            </w:pPr>
            <w:r>
              <w:rPr>
                <w:rFonts w:hint="eastAsia" w:ascii="宋体" w:hAnsi="宋体" w:cs="宋体"/>
                <w:kern w:val="0"/>
                <w:sz w:val="24"/>
              </w:rPr>
              <w:t>指标</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孤儿满意度</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&gt;90%</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宋体" w:hAnsi="宋体" w:cs="宋体"/>
                <w:kern w:val="0"/>
                <w:sz w:val="24"/>
              </w:rPr>
            </w:pPr>
            <w:r>
              <w:rPr>
                <w:rFonts w:hint="eastAsia" w:ascii="宋体" w:hAnsi="宋体" w:cs="宋体"/>
                <w:kern w:val="0"/>
                <w:sz w:val="24"/>
              </w:rPr>
              <w:t>95%</w:t>
            </w:r>
          </w:p>
        </w:tc>
      </w:tr>
    </w:tbl>
    <w:p>
      <w:pPr>
        <w:widowControl/>
        <w:adjustRightInd w:val="0"/>
        <w:snapToGrid w:val="0"/>
        <w:spacing w:line="580" w:lineRule="exact"/>
        <w:contextualSpacing/>
        <w:jc w:val="left"/>
      </w:pPr>
    </w:p>
    <w:p>
      <w:pPr>
        <w:spacing w:line="580" w:lineRule="exac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tbl>
      <w:tblPr>
        <w:tblStyle w:val="13"/>
        <w:tblpPr w:leftFromText="180" w:rightFromText="180" w:vertAnchor="text" w:horzAnchor="page" w:tblpX="921" w:tblpY="633"/>
        <w:tblOverlap w:val="never"/>
        <w:tblW w:w="10515" w:type="dxa"/>
        <w:tblInd w:w="0" w:type="dxa"/>
        <w:tblLayout w:type="fixed"/>
        <w:tblCellMar>
          <w:top w:w="0" w:type="dxa"/>
          <w:left w:w="108" w:type="dxa"/>
          <w:bottom w:w="0" w:type="dxa"/>
          <w:right w:w="108" w:type="dxa"/>
        </w:tblCellMar>
      </w:tblPr>
      <w:tblGrid>
        <w:gridCol w:w="1140"/>
        <w:gridCol w:w="825"/>
        <w:gridCol w:w="1395"/>
        <w:gridCol w:w="2355"/>
        <w:gridCol w:w="2370"/>
        <w:gridCol w:w="2430"/>
      </w:tblGrid>
      <w:tr>
        <w:tblPrEx>
          <w:tblCellMar>
            <w:top w:w="0" w:type="dxa"/>
            <w:left w:w="108" w:type="dxa"/>
            <w:bottom w:w="0" w:type="dxa"/>
            <w:right w:w="108" w:type="dxa"/>
          </w:tblCellMar>
        </w:tblPrEx>
        <w:trPr>
          <w:trHeight w:val="519" w:hRule="atLeast"/>
        </w:trPr>
        <w:tc>
          <w:tcPr>
            <w:tcW w:w="1051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2021年攀枝花市居家养老综合服务中心专项（项目）资金绩效自评表</w:t>
            </w:r>
          </w:p>
        </w:tc>
      </w:tr>
      <w:tr>
        <w:tblPrEx>
          <w:tblCellMar>
            <w:top w:w="0" w:type="dxa"/>
            <w:left w:w="108" w:type="dxa"/>
            <w:bottom w:w="0" w:type="dxa"/>
            <w:right w:w="108" w:type="dxa"/>
          </w:tblCellMar>
        </w:tblPrEx>
        <w:trPr>
          <w:trHeight w:val="425"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攀枝花市民政局</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攀枝花市社会福利院</w:t>
            </w:r>
          </w:p>
        </w:tc>
      </w:tr>
      <w:tr>
        <w:tblPrEx>
          <w:tblCellMar>
            <w:top w:w="0" w:type="dxa"/>
            <w:left w:w="108" w:type="dxa"/>
            <w:bottom w:w="0" w:type="dxa"/>
            <w:right w:w="108" w:type="dxa"/>
          </w:tblCellMar>
        </w:tblPrEx>
        <w:trPr>
          <w:trHeight w:val="190" w:hRule="atLeast"/>
        </w:trPr>
        <w:tc>
          <w:tcPr>
            <w:tcW w:w="1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100.30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100.30</w:t>
            </w:r>
          </w:p>
        </w:tc>
      </w:tr>
      <w:tr>
        <w:tblPrEx>
          <w:tblCellMar>
            <w:top w:w="0" w:type="dxa"/>
            <w:left w:w="108" w:type="dxa"/>
            <w:bottom w:w="0" w:type="dxa"/>
            <w:right w:w="108" w:type="dxa"/>
          </w:tblCellMar>
        </w:tblPrEx>
        <w:trPr>
          <w:trHeight w:val="480" w:hRule="atLeast"/>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100.30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100.30</w:t>
            </w:r>
          </w:p>
        </w:tc>
      </w:tr>
      <w:tr>
        <w:tblPrEx>
          <w:tblCellMar>
            <w:top w:w="0" w:type="dxa"/>
            <w:left w:w="108" w:type="dxa"/>
            <w:bottom w:w="0" w:type="dxa"/>
            <w:right w:w="108" w:type="dxa"/>
          </w:tblCellMar>
        </w:tblPrEx>
        <w:trPr>
          <w:trHeight w:val="256" w:hRule="atLeast"/>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0</w:t>
            </w:r>
          </w:p>
        </w:tc>
      </w:tr>
      <w:tr>
        <w:tblPrEx>
          <w:tblCellMar>
            <w:top w:w="0" w:type="dxa"/>
            <w:left w:w="108" w:type="dxa"/>
            <w:bottom w:w="0" w:type="dxa"/>
            <w:right w:w="108" w:type="dxa"/>
          </w:tblCellMar>
        </w:tblPrEx>
        <w:trPr>
          <w:trHeight w:val="17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152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居家养老综合服务项目用于打造综合服务中心,积极支持构建以居家为基础、社区为依托、机构为补充、医养结合的社会养老服务体系，增加有效服务供给，提升养老服务质量，不断满足人民群众日益增长的养老服务需求。</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kern w:val="0"/>
                <w:szCs w:val="21"/>
              </w:rPr>
              <w:t>截止2021年底已完成居家养老综合服务中心区域打造工程及还建后的食堂四楼打造居家养老综合服务中心活动厅的建设工作。</w:t>
            </w:r>
          </w:p>
        </w:tc>
      </w:tr>
      <w:tr>
        <w:tblPrEx>
          <w:tblCellMar>
            <w:top w:w="0" w:type="dxa"/>
            <w:left w:w="108" w:type="dxa"/>
            <w:bottom w:w="0" w:type="dxa"/>
            <w:right w:w="108" w:type="dxa"/>
          </w:tblCellMar>
        </w:tblPrEx>
        <w:trPr>
          <w:trHeight w:val="625" w:hRule="atLeast"/>
        </w:trPr>
        <w:tc>
          <w:tcPr>
            <w:tcW w:w="114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年度绩效指标完成情况</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一级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二级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三级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预期指标值</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实际完成指标值</w:t>
            </w:r>
          </w:p>
        </w:tc>
      </w:tr>
      <w:tr>
        <w:tblPrEx>
          <w:tblCellMar>
            <w:top w:w="0" w:type="dxa"/>
            <w:left w:w="108" w:type="dxa"/>
            <w:bottom w:w="0" w:type="dxa"/>
            <w:right w:w="108" w:type="dxa"/>
          </w:tblCellMar>
        </w:tblPrEx>
        <w:trPr>
          <w:trHeight w:val="560" w:hRule="atLeast"/>
        </w:trPr>
        <w:tc>
          <w:tcPr>
            <w:tcW w:w="1140"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完成</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数量指标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居家养老综合服务中心项目2021年所需支出工程款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100.30万元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100.30万元</w:t>
            </w:r>
          </w:p>
        </w:tc>
      </w:tr>
      <w:tr>
        <w:tblPrEx>
          <w:tblCellMar>
            <w:top w:w="0" w:type="dxa"/>
            <w:left w:w="108" w:type="dxa"/>
            <w:bottom w:w="0" w:type="dxa"/>
            <w:right w:w="108" w:type="dxa"/>
          </w:tblCellMar>
        </w:tblPrEx>
        <w:trPr>
          <w:trHeight w:val="560" w:hRule="atLeast"/>
        </w:trPr>
        <w:tc>
          <w:tcPr>
            <w:tcW w:w="1140"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质量指标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居家养老综合服务中心区域打造工程</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按照要求完成任务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良好</w:t>
            </w:r>
          </w:p>
        </w:tc>
      </w:tr>
      <w:tr>
        <w:tblPrEx>
          <w:tblCellMar>
            <w:top w:w="0" w:type="dxa"/>
            <w:left w:w="108" w:type="dxa"/>
            <w:bottom w:w="0" w:type="dxa"/>
            <w:right w:w="108" w:type="dxa"/>
          </w:tblCellMar>
        </w:tblPrEx>
        <w:trPr>
          <w:trHeight w:val="405" w:hRule="atLeast"/>
        </w:trPr>
        <w:tc>
          <w:tcPr>
            <w:tcW w:w="1140"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时效指标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项目完成时间</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2021年12月31日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2021年12月31日</w:t>
            </w:r>
          </w:p>
        </w:tc>
      </w:tr>
      <w:tr>
        <w:tblPrEx>
          <w:tblCellMar>
            <w:top w:w="0" w:type="dxa"/>
            <w:left w:w="108" w:type="dxa"/>
            <w:bottom w:w="0" w:type="dxa"/>
            <w:right w:w="108" w:type="dxa"/>
          </w:tblCellMar>
        </w:tblPrEx>
        <w:trPr>
          <w:trHeight w:val="1020" w:hRule="atLeast"/>
        </w:trPr>
        <w:tc>
          <w:tcPr>
            <w:tcW w:w="1140"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成本指标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居家养老综合服务中心项目2021年所需支出工程款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100.30万元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100.30万元</w:t>
            </w:r>
          </w:p>
        </w:tc>
      </w:tr>
      <w:tr>
        <w:tblPrEx>
          <w:tblCellMar>
            <w:top w:w="0" w:type="dxa"/>
            <w:left w:w="108" w:type="dxa"/>
            <w:bottom w:w="0" w:type="dxa"/>
            <w:right w:w="108" w:type="dxa"/>
          </w:tblCellMar>
        </w:tblPrEx>
        <w:trPr>
          <w:trHeight w:val="500" w:hRule="atLeast"/>
        </w:trPr>
        <w:tc>
          <w:tcPr>
            <w:tcW w:w="1140"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效益</w:t>
            </w:r>
            <w:r>
              <w:rPr>
                <w:rFonts w:hint="eastAsia" w:ascii="宋体" w:hAnsi="宋体" w:cs="宋体"/>
                <w:sz w:val="24"/>
              </w:rPr>
              <w:br w:type="textWrapping"/>
            </w:r>
            <w:r>
              <w:rPr>
                <w:rFonts w:hint="eastAsia" w:ascii="宋体" w:hAnsi="宋体" w:cs="宋体"/>
                <w:sz w:val="24"/>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经济效益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trHeight w:val="805" w:hRule="atLeast"/>
        </w:trPr>
        <w:tc>
          <w:tcPr>
            <w:tcW w:w="1140"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社会效益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老年人日益增加的养老服务需求</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基本满足</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已按照指标规定完成</w:t>
            </w:r>
          </w:p>
        </w:tc>
      </w:tr>
      <w:tr>
        <w:tblPrEx>
          <w:tblCellMar>
            <w:top w:w="0" w:type="dxa"/>
            <w:left w:w="108" w:type="dxa"/>
            <w:bottom w:w="0" w:type="dxa"/>
            <w:right w:w="108" w:type="dxa"/>
          </w:tblCellMar>
        </w:tblPrEx>
        <w:trPr>
          <w:trHeight w:val="530" w:hRule="atLeast"/>
        </w:trPr>
        <w:tc>
          <w:tcPr>
            <w:tcW w:w="1140"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生态效益指标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trHeight w:val="455" w:hRule="atLeast"/>
        </w:trPr>
        <w:tc>
          <w:tcPr>
            <w:tcW w:w="1140"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可持续影响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养老服务体系建设</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不断完善</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按计划完成</w:t>
            </w:r>
          </w:p>
        </w:tc>
      </w:tr>
      <w:tr>
        <w:tblPrEx>
          <w:tblCellMar>
            <w:top w:w="0" w:type="dxa"/>
            <w:left w:w="108" w:type="dxa"/>
            <w:bottom w:w="0" w:type="dxa"/>
            <w:right w:w="108" w:type="dxa"/>
          </w:tblCellMar>
        </w:tblPrEx>
        <w:trPr>
          <w:trHeight w:val="530" w:hRule="atLeast"/>
        </w:trPr>
        <w:tc>
          <w:tcPr>
            <w:tcW w:w="11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w:t>
            </w:r>
            <w:r>
              <w:rPr>
                <w:rFonts w:hint="eastAsia" w:ascii="宋体" w:hAnsi="宋体" w:cs="宋体"/>
                <w:sz w:val="24"/>
              </w:rPr>
              <w:br w:type="textWrapping"/>
            </w:r>
            <w:r>
              <w:rPr>
                <w:rFonts w:hint="eastAsia" w:ascii="宋体" w:hAnsi="宋体" w:cs="宋体"/>
                <w:sz w:val="24"/>
              </w:rPr>
              <w:t>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满意度</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养老机构入住老年人对养老机构服务质量满意度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服务对象及家属抽样满意度达到基本满意以上</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满意度达到基本满意以上</w:t>
            </w:r>
          </w:p>
        </w:tc>
      </w:tr>
    </w:tbl>
    <w:p>
      <w:pPr>
        <w:pStyle w:val="31"/>
      </w:pPr>
    </w:p>
    <w:p>
      <w:pPr>
        <w:spacing w:line="600" w:lineRule="exact"/>
        <w:jc w:val="center"/>
        <w:outlineLvl w:val="0"/>
        <w:rPr>
          <w:rFonts w:ascii="黑体" w:hAnsi="黑体" w:eastAsia="黑体"/>
          <w:sz w:val="44"/>
          <w:szCs w:val="44"/>
        </w:rPr>
      </w:pPr>
      <w:bookmarkStart w:id="59" w:name="_Toc15396618"/>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7"/>
      <w:bookmarkEnd w:id="59"/>
      <w:bookmarkStart w:id="60" w:name="_Toc15396619"/>
    </w:p>
    <w:p>
      <w:pPr>
        <w:pStyle w:val="2"/>
        <w:spacing w:before="0" w:after="0" w:line="600" w:lineRule="exact"/>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60"/>
    </w:p>
    <w:p>
      <w:pPr>
        <w:pStyle w:val="2"/>
        <w:spacing w:before="0" w:after="0" w:line="600" w:lineRule="exact"/>
        <w:rPr>
          <w:rFonts w:ascii="仿宋" w:hAnsi="仿宋" w:eastAsia="仿宋"/>
        </w:rPr>
      </w:pPr>
      <w:bookmarkStart w:id="61" w:name="_Toc15396620"/>
      <w:r>
        <w:rPr>
          <w:rFonts w:hint="eastAsia" w:ascii="仿宋" w:hAnsi="仿宋" w:eastAsia="仿宋"/>
          <w:b w:val="0"/>
        </w:rPr>
        <w:t>二、收</w:t>
      </w:r>
      <w:r>
        <w:rPr>
          <w:rStyle w:val="26"/>
          <w:rFonts w:hint="eastAsia" w:ascii="仿宋" w:hAnsi="仿宋" w:eastAsia="仿宋"/>
          <w:b w:val="0"/>
          <w:bCs w:val="0"/>
        </w:rPr>
        <w:t>入决算表</w:t>
      </w:r>
      <w:bookmarkEnd w:id="61"/>
    </w:p>
    <w:p>
      <w:pPr>
        <w:pStyle w:val="2"/>
        <w:spacing w:before="0" w:after="0" w:line="600" w:lineRule="exact"/>
        <w:rPr>
          <w:rFonts w:ascii="仿宋" w:hAnsi="仿宋" w:eastAsia="仿宋"/>
        </w:rPr>
      </w:pPr>
      <w:bookmarkStart w:id="62"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62"/>
    </w:p>
    <w:p>
      <w:pPr>
        <w:pStyle w:val="2"/>
        <w:spacing w:before="0" w:after="0" w:line="600" w:lineRule="exact"/>
        <w:rPr>
          <w:rFonts w:ascii="仿宋" w:hAnsi="仿宋" w:eastAsia="仿宋"/>
          <w:b w:val="0"/>
        </w:rPr>
      </w:pPr>
      <w:bookmarkStart w:id="63"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3"/>
    </w:p>
    <w:p>
      <w:pPr>
        <w:pStyle w:val="2"/>
        <w:spacing w:before="0" w:after="0" w:line="600" w:lineRule="exact"/>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4"/>
      <w:bookmarkStart w:id="65" w:name="_Toc15396624"/>
    </w:p>
    <w:p>
      <w:pPr>
        <w:pStyle w:val="2"/>
        <w:spacing w:before="0" w:after="0" w:line="600" w:lineRule="exact"/>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5"/>
    </w:p>
    <w:p>
      <w:pPr>
        <w:pStyle w:val="2"/>
        <w:spacing w:before="0" w:after="0" w:line="600" w:lineRule="exact"/>
        <w:rPr>
          <w:rFonts w:ascii="仿宋" w:hAnsi="仿宋" w:eastAsia="仿宋"/>
        </w:rPr>
      </w:pPr>
      <w:bookmarkStart w:id="66"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6"/>
    </w:p>
    <w:p>
      <w:pPr>
        <w:pStyle w:val="2"/>
        <w:spacing w:before="0" w:after="0" w:line="600" w:lineRule="exact"/>
        <w:rPr>
          <w:rFonts w:ascii="仿宋" w:hAnsi="仿宋" w:eastAsia="仿宋"/>
        </w:rPr>
      </w:pPr>
      <w:bookmarkStart w:id="67"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7"/>
    </w:p>
    <w:p>
      <w:pPr>
        <w:pStyle w:val="2"/>
        <w:spacing w:before="0" w:after="0" w:line="600" w:lineRule="exact"/>
        <w:rPr>
          <w:rFonts w:ascii="仿宋" w:hAnsi="仿宋" w:eastAsia="仿宋"/>
        </w:rPr>
      </w:pPr>
      <w:bookmarkStart w:id="68"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8"/>
    </w:p>
    <w:p>
      <w:pPr>
        <w:pStyle w:val="2"/>
        <w:spacing w:before="0" w:after="0" w:line="600" w:lineRule="exact"/>
        <w:rPr>
          <w:rFonts w:ascii="仿宋" w:hAnsi="仿宋" w:eastAsia="仿宋"/>
        </w:rPr>
      </w:pPr>
      <w:bookmarkStart w:id="69"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9"/>
    </w:p>
    <w:p>
      <w:pPr>
        <w:pStyle w:val="2"/>
        <w:spacing w:before="0" w:after="0" w:line="600" w:lineRule="exact"/>
        <w:rPr>
          <w:rFonts w:ascii="仿宋" w:hAnsi="仿宋" w:eastAsia="仿宋"/>
        </w:rPr>
      </w:pPr>
      <w:bookmarkStart w:id="70"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0"/>
    </w:p>
    <w:p>
      <w:pPr>
        <w:pStyle w:val="2"/>
        <w:spacing w:before="0" w:after="0" w:line="600" w:lineRule="exact"/>
        <w:rPr>
          <w:rFonts w:ascii="仿宋" w:hAnsi="仿宋" w:eastAsia="仿宋"/>
        </w:rPr>
      </w:pPr>
      <w:bookmarkStart w:id="71"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1"/>
    </w:p>
    <w:p>
      <w:pPr>
        <w:pStyle w:val="2"/>
        <w:spacing w:before="0" w:after="0" w:line="600" w:lineRule="exact"/>
        <w:rPr>
          <w:rStyle w:val="26"/>
          <w:rFonts w:ascii="仿宋" w:hAnsi="仿宋" w:eastAsia="仿宋"/>
          <w:b w:val="0"/>
          <w:bCs w:val="0"/>
        </w:rPr>
      </w:pPr>
      <w:bookmarkStart w:id="72"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72"/>
    </w:p>
    <w:p>
      <w:pPr>
        <w:spacing w:line="600" w:lineRule="exact"/>
        <w:rPr>
          <w:rFonts w:eastAsia="仿宋"/>
        </w:rPr>
      </w:pPr>
      <w:r>
        <w:rPr>
          <w:rStyle w:val="26"/>
          <w:rFonts w:hint="eastAsia" w:ascii="仿宋" w:hAnsi="仿宋" w:eastAsia="仿宋"/>
          <w:b w:val="0"/>
          <w:bCs w:val="0"/>
        </w:rPr>
        <w:t>十四、国有资本经营预算财政拨款支出决算表</w:t>
      </w:r>
    </w:p>
    <w:sectPr>
      <w:footerReference r:id="rId6" w:type="first"/>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38390"/>
      <w:docPartObj>
        <w:docPartGallery w:val="autotext"/>
      </w:docPartObj>
    </w:sdtPr>
    <w:sdtContent>
      <w:p>
        <w:pPr>
          <w:pStyle w:val="9"/>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49 -</w:t>
        </w:r>
        <w:r>
          <w:rPr>
            <w:rFonts w:asciiTheme="majorEastAsia" w:hAnsiTheme="majorEastAsia" w:eastAsiaTheme="majorEastAsia"/>
            <w:sz w:val="28"/>
            <w:szCs w:val="28"/>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38391"/>
      <w:docPartObj>
        <w:docPartGallery w:val="autotext"/>
      </w:docPartObj>
    </w:sdtPr>
    <w:sdtContent>
      <w:p>
        <w:pPr>
          <w:pStyle w:val="9"/>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48 -</w:t>
        </w:r>
        <w:r>
          <w:rPr>
            <w:rFonts w:asciiTheme="majorEastAsia" w:hAnsiTheme="majorEastAsia" w:eastAsiaTheme="majorEastAsia"/>
            <w:sz w:val="28"/>
            <w:szCs w:val="28"/>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C5227"/>
    <w:multiLevelType w:val="singleLevel"/>
    <w:tmpl w:val="920C5227"/>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F092DA6"/>
    <w:multiLevelType w:val="multilevel"/>
    <w:tmpl w:val="5F092DA6"/>
    <w:lvl w:ilvl="0" w:tentative="0">
      <w:start w:val="3"/>
      <w:numFmt w:val="japaneseCounting"/>
      <w:lvlText w:val="（%1）"/>
      <w:lvlJc w:val="left"/>
      <w:pPr>
        <w:ind w:left="1790" w:hanging="108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56CC7"/>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2516"/>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17E"/>
    <w:rsid w:val="00235629"/>
    <w:rsid w:val="00260C38"/>
    <w:rsid w:val="002616C0"/>
    <w:rsid w:val="00265372"/>
    <w:rsid w:val="002662AA"/>
    <w:rsid w:val="00280496"/>
    <w:rsid w:val="00294DC9"/>
    <w:rsid w:val="00295495"/>
    <w:rsid w:val="002A31DE"/>
    <w:rsid w:val="002B2613"/>
    <w:rsid w:val="002C66C4"/>
    <w:rsid w:val="002D6D05"/>
    <w:rsid w:val="002F1818"/>
    <w:rsid w:val="002F567B"/>
    <w:rsid w:val="0030502D"/>
    <w:rsid w:val="003216A9"/>
    <w:rsid w:val="00335A74"/>
    <w:rsid w:val="00344334"/>
    <w:rsid w:val="00354C33"/>
    <w:rsid w:val="0036561B"/>
    <w:rsid w:val="0037013F"/>
    <w:rsid w:val="00380C92"/>
    <w:rsid w:val="0038361F"/>
    <w:rsid w:val="00383D89"/>
    <w:rsid w:val="00386AA2"/>
    <w:rsid w:val="003A484F"/>
    <w:rsid w:val="003A4883"/>
    <w:rsid w:val="003B0BE0"/>
    <w:rsid w:val="003B0C1B"/>
    <w:rsid w:val="003B688C"/>
    <w:rsid w:val="003C0291"/>
    <w:rsid w:val="003C39AE"/>
    <w:rsid w:val="003C7B60"/>
    <w:rsid w:val="003D0C0F"/>
    <w:rsid w:val="003D1FB2"/>
    <w:rsid w:val="003D66DA"/>
    <w:rsid w:val="003E1310"/>
    <w:rsid w:val="003E6F55"/>
    <w:rsid w:val="004061C0"/>
    <w:rsid w:val="00406254"/>
    <w:rsid w:val="0040660D"/>
    <w:rsid w:val="004223DE"/>
    <w:rsid w:val="00434489"/>
    <w:rsid w:val="00437085"/>
    <w:rsid w:val="00443880"/>
    <w:rsid w:val="004464F4"/>
    <w:rsid w:val="00471401"/>
    <w:rsid w:val="00473F31"/>
    <w:rsid w:val="0048263A"/>
    <w:rsid w:val="00487E5D"/>
    <w:rsid w:val="00491BDF"/>
    <w:rsid w:val="004A711F"/>
    <w:rsid w:val="004B199D"/>
    <w:rsid w:val="004B4690"/>
    <w:rsid w:val="004C5CE9"/>
    <w:rsid w:val="004E0A2D"/>
    <w:rsid w:val="004E206B"/>
    <w:rsid w:val="004E6DF7"/>
    <w:rsid w:val="004F0FBD"/>
    <w:rsid w:val="00505A47"/>
    <w:rsid w:val="00512FDA"/>
    <w:rsid w:val="00520DA0"/>
    <w:rsid w:val="00541EFE"/>
    <w:rsid w:val="00553425"/>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1B43"/>
    <w:rsid w:val="006B2422"/>
    <w:rsid w:val="006B2B9A"/>
    <w:rsid w:val="006C1937"/>
    <w:rsid w:val="006F020C"/>
    <w:rsid w:val="0071267F"/>
    <w:rsid w:val="007127B7"/>
    <w:rsid w:val="0071798E"/>
    <w:rsid w:val="0073404D"/>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47CE"/>
    <w:rsid w:val="007E23B0"/>
    <w:rsid w:val="007E23E5"/>
    <w:rsid w:val="007F1991"/>
    <w:rsid w:val="007F2C2F"/>
    <w:rsid w:val="007F55FC"/>
    <w:rsid w:val="007F5665"/>
    <w:rsid w:val="00800112"/>
    <w:rsid w:val="00805121"/>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1C"/>
    <w:rsid w:val="0095152F"/>
    <w:rsid w:val="00954C49"/>
    <w:rsid w:val="00955E37"/>
    <w:rsid w:val="0097099F"/>
    <w:rsid w:val="00971997"/>
    <w:rsid w:val="00971FFC"/>
    <w:rsid w:val="00977FA4"/>
    <w:rsid w:val="0098660A"/>
    <w:rsid w:val="009931C3"/>
    <w:rsid w:val="009B2C43"/>
    <w:rsid w:val="009B363E"/>
    <w:rsid w:val="009B4EAE"/>
    <w:rsid w:val="009B7573"/>
    <w:rsid w:val="009C22F4"/>
    <w:rsid w:val="009C2A4B"/>
    <w:rsid w:val="009C2E98"/>
    <w:rsid w:val="009D3447"/>
    <w:rsid w:val="009D4711"/>
    <w:rsid w:val="009F1185"/>
    <w:rsid w:val="009F18CD"/>
    <w:rsid w:val="009F2A13"/>
    <w:rsid w:val="009F2DA4"/>
    <w:rsid w:val="009F54E9"/>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6615"/>
    <w:rsid w:val="00A91760"/>
    <w:rsid w:val="00A93B00"/>
    <w:rsid w:val="00A93C21"/>
    <w:rsid w:val="00A95E7C"/>
    <w:rsid w:val="00AB64C9"/>
    <w:rsid w:val="00AC3C6A"/>
    <w:rsid w:val="00AD3920"/>
    <w:rsid w:val="00AD5620"/>
    <w:rsid w:val="00AD656B"/>
    <w:rsid w:val="00AD7C1B"/>
    <w:rsid w:val="00AE11E4"/>
    <w:rsid w:val="00AE16BA"/>
    <w:rsid w:val="00AE1EBE"/>
    <w:rsid w:val="00AF02B0"/>
    <w:rsid w:val="00B03C9D"/>
    <w:rsid w:val="00B060AE"/>
    <w:rsid w:val="00B10517"/>
    <w:rsid w:val="00B14E76"/>
    <w:rsid w:val="00B161B8"/>
    <w:rsid w:val="00B2048C"/>
    <w:rsid w:val="00B310B9"/>
    <w:rsid w:val="00B35F3F"/>
    <w:rsid w:val="00B36CBB"/>
    <w:rsid w:val="00B425E0"/>
    <w:rsid w:val="00B440AA"/>
    <w:rsid w:val="00B44B70"/>
    <w:rsid w:val="00B4562E"/>
    <w:rsid w:val="00B53C56"/>
    <w:rsid w:val="00B57DAF"/>
    <w:rsid w:val="00B7740E"/>
    <w:rsid w:val="00B77EA6"/>
    <w:rsid w:val="00B81598"/>
    <w:rsid w:val="00B841F1"/>
    <w:rsid w:val="00B944D6"/>
    <w:rsid w:val="00BA60E4"/>
    <w:rsid w:val="00BB4DF0"/>
    <w:rsid w:val="00BC289F"/>
    <w:rsid w:val="00BC2D50"/>
    <w:rsid w:val="00BC3221"/>
    <w:rsid w:val="00BC5361"/>
    <w:rsid w:val="00BC5460"/>
    <w:rsid w:val="00BC6B50"/>
    <w:rsid w:val="00BD0E25"/>
    <w:rsid w:val="00BD6FC8"/>
    <w:rsid w:val="00BF5BD6"/>
    <w:rsid w:val="00C03E31"/>
    <w:rsid w:val="00C12070"/>
    <w:rsid w:val="00C3392E"/>
    <w:rsid w:val="00C33E72"/>
    <w:rsid w:val="00C354B2"/>
    <w:rsid w:val="00C35554"/>
    <w:rsid w:val="00C42709"/>
    <w:rsid w:val="00C533CC"/>
    <w:rsid w:val="00C54A47"/>
    <w:rsid w:val="00C5751C"/>
    <w:rsid w:val="00C61BFC"/>
    <w:rsid w:val="00C62B85"/>
    <w:rsid w:val="00C65438"/>
    <w:rsid w:val="00C74BD0"/>
    <w:rsid w:val="00C87FD8"/>
    <w:rsid w:val="00C91381"/>
    <w:rsid w:val="00C91CBB"/>
    <w:rsid w:val="00CB4E70"/>
    <w:rsid w:val="00CC09B6"/>
    <w:rsid w:val="00CC666F"/>
    <w:rsid w:val="00CC7D60"/>
    <w:rsid w:val="00CD1E3F"/>
    <w:rsid w:val="00CD5A13"/>
    <w:rsid w:val="00CE44F6"/>
    <w:rsid w:val="00CE49DA"/>
    <w:rsid w:val="00CE7B61"/>
    <w:rsid w:val="00D00095"/>
    <w:rsid w:val="00D114F0"/>
    <w:rsid w:val="00D16BC4"/>
    <w:rsid w:val="00D20620"/>
    <w:rsid w:val="00D254F7"/>
    <w:rsid w:val="00D26091"/>
    <w:rsid w:val="00D2685C"/>
    <w:rsid w:val="00D34E7C"/>
    <w:rsid w:val="00D35489"/>
    <w:rsid w:val="00D36AFE"/>
    <w:rsid w:val="00D51276"/>
    <w:rsid w:val="00D7035F"/>
    <w:rsid w:val="00D97BA4"/>
    <w:rsid w:val="00DA634F"/>
    <w:rsid w:val="00DA65AC"/>
    <w:rsid w:val="00DB1913"/>
    <w:rsid w:val="00DC410D"/>
    <w:rsid w:val="00DC5A81"/>
    <w:rsid w:val="00DC68CA"/>
    <w:rsid w:val="00DC7CBA"/>
    <w:rsid w:val="00DD73B7"/>
    <w:rsid w:val="00DF28BC"/>
    <w:rsid w:val="00DF34B9"/>
    <w:rsid w:val="00E01053"/>
    <w:rsid w:val="00E07ACF"/>
    <w:rsid w:val="00E152B7"/>
    <w:rsid w:val="00E331A1"/>
    <w:rsid w:val="00E33202"/>
    <w:rsid w:val="00E336A9"/>
    <w:rsid w:val="00E472B1"/>
    <w:rsid w:val="00E50624"/>
    <w:rsid w:val="00E568DF"/>
    <w:rsid w:val="00E64269"/>
    <w:rsid w:val="00E82267"/>
    <w:rsid w:val="00E853CE"/>
    <w:rsid w:val="00E867B6"/>
    <w:rsid w:val="00EA010F"/>
    <w:rsid w:val="00EA2658"/>
    <w:rsid w:val="00ED1B63"/>
    <w:rsid w:val="00ED3C1F"/>
    <w:rsid w:val="00ED4085"/>
    <w:rsid w:val="00ED420E"/>
    <w:rsid w:val="00ED58AF"/>
    <w:rsid w:val="00ED6FBE"/>
    <w:rsid w:val="00EE2F57"/>
    <w:rsid w:val="00EF4C34"/>
    <w:rsid w:val="00EF77C6"/>
    <w:rsid w:val="00F05438"/>
    <w:rsid w:val="00F11E14"/>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0DF0"/>
    <w:rsid w:val="00FA23E8"/>
    <w:rsid w:val="00FD3CC1"/>
    <w:rsid w:val="00FE2A84"/>
    <w:rsid w:val="00FF1E02"/>
    <w:rsid w:val="00FF30B4"/>
    <w:rsid w:val="012E63A7"/>
    <w:rsid w:val="02BF4B84"/>
    <w:rsid w:val="030A0403"/>
    <w:rsid w:val="030E6C81"/>
    <w:rsid w:val="03B6512E"/>
    <w:rsid w:val="04636B6B"/>
    <w:rsid w:val="05EE566D"/>
    <w:rsid w:val="066E0107"/>
    <w:rsid w:val="07996F6E"/>
    <w:rsid w:val="09D7152C"/>
    <w:rsid w:val="0A2032A3"/>
    <w:rsid w:val="0B6E7434"/>
    <w:rsid w:val="0C5A0069"/>
    <w:rsid w:val="0C8D631A"/>
    <w:rsid w:val="0CC410D3"/>
    <w:rsid w:val="0D5D1A4A"/>
    <w:rsid w:val="0DBF6A40"/>
    <w:rsid w:val="0F0F174D"/>
    <w:rsid w:val="0F861F20"/>
    <w:rsid w:val="101860EC"/>
    <w:rsid w:val="1059453B"/>
    <w:rsid w:val="10AB2887"/>
    <w:rsid w:val="10C055FF"/>
    <w:rsid w:val="118107EC"/>
    <w:rsid w:val="13920BA5"/>
    <w:rsid w:val="139C2BD0"/>
    <w:rsid w:val="13C029FD"/>
    <w:rsid w:val="13D50BC4"/>
    <w:rsid w:val="13DD597D"/>
    <w:rsid w:val="15813871"/>
    <w:rsid w:val="15C45944"/>
    <w:rsid w:val="169E386E"/>
    <w:rsid w:val="16BB723D"/>
    <w:rsid w:val="17D43AE7"/>
    <w:rsid w:val="17F10083"/>
    <w:rsid w:val="188F44A2"/>
    <w:rsid w:val="1A20119D"/>
    <w:rsid w:val="1B8F7E3F"/>
    <w:rsid w:val="1BE8440E"/>
    <w:rsid w:val="1BF076F4"/>
    <w:rsid w:val="1C017C59"/>
    <w:rsid w:val="1D155CEE"/>
    <w:rsid w:val="1E1E7210"/>
    <w:rsid w:val="1E84220D"/>
    <w:rsid w:val="1F185A3B"/>
    <w:rsid w:val="1F683B08"/>
    <w:rsid w:val="1FB10875"/>
    <w:rsid w:val="201650A3"/>
    <w:rsid w:val="20CC60A8"/>
    <w:rsid w:val="235B65B3"/>
    <w:rsid w:val="23860B96"/>
    <w:rsid w:val="240371BF"/>
    <w:rsid w:val="264E37B5"/>
    <w:rsid w:val="26857DC4"/>
    <w:rsid w:val="26A01278"/>
    <w:rsid w:val="270B2754"/>
    <w:rsid w:val="27A3322A"/>
    <w:rsid w:val="283B24BB"/>
    <w:rsid w:val="294B7833"/>
    <w:rsid w:val="29FD04D3"/>
    <w:rsid w:val="2A926DF0"/>
    <w:rsid w:val="2AD44FB2"/>
    <w:rsid w:val="2C0340E2"/>
    <w:rsid w:val="2C8A61B5"/>
    <w:rsid w:val="2CA3609B"/>
    <w:rsid w:val="2CF60E3F"/>
    <w:rsid w:val="2D6052A4"/>
    <w:rsid w:val="2DC653E2"/>
    <w:rsid w:val="2DF04E50"/>
    <w:rsid w:val="2E7E3640"/>
    <w:rsid w:val="2ED377BC"/>
    <w:rsid w:val="2FB11542"/>
    <w:rsid w:val="300721B1"/>
    <w:rsid w:val="319F7F4E"/>
    <w:rsid w:val="321224B1"/>
    <w:rsid w:val="32B21123"/>
    <w:rsid w:val="33DE0419"/>
    <w:rsid w:val="34F94FDE"/>
    <w:rsid w:val="35230D03"/>
    <w:rsid w:val="35565A7F"/>
    <w:rsid w:val="36AA5135"/>
    <w:rsid w:val="36B17652"/>
    <w:rsid w:val="37E16F03"/>
    <w:rsid w:val="384E6D7B"/>
    <w:rsid w:val="387D1587"/>
    <w:rsid w:val="39D63DD4"/>
    <w:rsid w:val="39E61BD4"/>
    <w:rsid w:val="3AF04B86"/>
    <w:rsid w:val="3BE15797"/>
    <w:rsid w:val="3BE2252A"/>
    <w:rsid w:val="3C731372"/>
    <w:rsid w:val="3CBC3F70"/>
    <w:rsid w:val="3D87080D"/>
    <w:rsid w:val="3D98207C"/>
    <w:rsid w:val="3DE9570E"/>
    <w:rsid w:val="3E1612A5"/>
    <w:rsid w:val="3EC054A0"/>
    <w:rsid w:val="3F4F35B9"/>
    <w:rsid w:val="3F54019D"/>
    <w:rsid w:val="3FBA6B93"/>
    <w:rsid w:val="40467750"/>
    <w:rsid w:val="40B76606"/>
    <w:rsid w:val="40CA0FBB"/>
    <w:rsid w:val="41933E83"/>
    <w:rsid w:val="440B326A"/>
    <w:rsid w:val="44394E1C"/>
    <w:rsid w:val="44E268DA"/>
    <w:rsid w:val="45743F74"/>
    <w:rsid w:val="4669166E"/>
    <w:rsid w:val="47881E76"/>
    <w:rsid w:val="47975D56"/>
    <w:rsid w:val="48576C0E"/>
    <w:rsid w:val="48E2208B"/>
    <w:rsid w:val="493F7DB0"/>
    <w:rsid w:val="497515F3"/>
    <w:rsid w:val="49FF7A4F"/>
    <w:rsid w:val="4A185DA7"/>
    <w:rsid w:val="4A627F82"/>
    <w:rsid w:val="4AEF42D3"/>
    <w:rsid w:val="4AF76E16"/>
    <w:rsid w:val="4B29199C"/>
    <w:rsid w:val="4B4617D0"/>
    <w:rsid w:val="4B4F25DA"/>
    <w:rsid w:val="4B7C4CEA"/>
    <w:rsid w:val="4BE068DB"/>
    <w:rsid w:val="4CDC0E5B"/>
    <w:rsid w:val="4D577224"/>
    <w:rsid w:val="4EAB630A"/>
    <w:rsid w:val="4EB74399"/>
    <w:rsid w:val="4ECE2238"/>
    <w:rsid w:val="4F69552B"/>
    <w:rsid w:val="4FD025BE"/>
    <w:rsid w:val="50447CC2"/>
    <w:rsid w:val="50660F44"/>
    <w:rsid w:val="50F8076C"/>
    <w:rsid w:val="51561805"/>
    <w:rsid w:val="518C69EB"/>
    <w:rsid w:val="52E44C95"/>
    <w:rsid w:val="52FE4F2F"/>
    <w:rsid w:val="536476B6"/>
    <w:rsid w:val="53752BC0"/>
    <w:rsid w:val="53CC6CF8"/>
    <w:rsid w:val="53FF161C"/>
    <w:rsid w:val="54262E7A"/>
    <w:rsid w:val="54F62ABD"/>
    <w:rsid w:val="554C7E6F"/>
    <w:rsid w:val="557B4375"/>
    <w:rsid w:val="561E6A2B"/>
    <w:rsid w:val="56240E98"/>
    <w:rsid w:val="58647B02"/>
    <w:rsid w:val="586F0ABA"/>
    <w:rsid w:val="589E4E70"/>
    <w:rsid w:val="58E106F0"/>
    <w:rsid w:val="5AB74AC0"/>
    <w:rsid w:val="5AF92295"/>
    <w:rsid w:val="5B2C7753"/>
    <w:rsid w:val="5B5914A5"/>
    <w:rsid w:val="5BD860D9"/>
    <w:rsid w:val="5CD71FC4"/>
    <w:rsid w:val="5DB72921"/>
    <w:rsid w:val="5F087175"/>
    <w:rsid w:val="5F235F4C"/>
    <w:rsid w:val="5FB80E3D"/>
    <w:rsid w:val="60C6303B"/>
    <w:rsid w:val="611F3195"/>
    <w:rsid w:val="618E7E44"/>
    <w:rsid w:val="626F3402"/>
    <w:rsid w:val="633F0E1C"/>
    <w:rsid w:val="63DF4F69"/>
    <w:rsid w:val="65415291"/>
    <w:rsid w:val="657B5256"/>
    <w:rsid w:val="65D95DB8"/>
    <w:rsid w:val="661A1003"/>
    <w:rsid w:val="66931A9B"/>
    <w:rsid w:val="67C415E2"/>
    <w:rsid w:val="67FE56C2"/>
    <w:rsid w:val="6BBB35A9"/>
    <w:rsid w:val="6BDF4534"/>
    <w:rsid w:val="6C4A05C8"/>
    <w:rsid w:val="6CD52D9D"/>
    <w:rsid w:val="6D867064"/>
    <w:rsid w:val="6DE3072A"/>
    <w:rsid w:val="6E6E28E6"/>
    <w:rsid w:val="6E7E3605"/>
    <w:rsid w:val="6FA34366"/>
    <w:rsid w:val="6FF5CC65"/>
    <w:rsid w:val="700D3191"/>
    <w:rsid w:val="7058764A"/>
    <w:rsid w:val="706C54FD"/>
    <w:rsid w:val="70724D5C"/>
    <w:rsid w:val="7087402E"/>
    <w:rsid w:val="715C0E4B"/>
    <w:rsid w:val="718C4267"/>
    <w:rsid w:val="72734D90"/>
    <w:rsid w:val="72916754"/>
    <w:rsid w:val="73AD73D5"/>
    <w:rsid w:val="73B6EB34"/>
    <w:rsid w:val="741233E6"/>
    <w:rsid w:val="75C25129"/>
    <w:rsid w:val="75DA1C7E"/>
    <w:rsid w:val="77456B12"/>
    <w:rsid w:val="776B6C92"/>
    <w:rsid w:val="778B496B"/>
    <w:rsid w:val="77CE0C95"/>
    <w:rsid w:val="78D35779"/>
    <w:rsid w:val="791B368B"/>
    <w:rsid w:val="79EE5BA4"/>
    <w:rsid w:val="7A894339"/>
    <w:rsid w:val="7AB91A90"/>
    <w:rsid w:val="7B0F6158"/>
    <w:rsid w:val="7C5E72E6"/>
    <w:rsid w:val="7D665045"/>
    <w:rsid w:val="7DBB405B"/>
    <w:rsid w:val="7EEF11D3"/>
    <w:rsid w:val="7F6F32EA"/>
    <w:rsid w:val="7FA30C79"/>
    <w:rsid w:val="7FC96657"/>
    <w:rsid w:val="B3EB79D8"/>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0"/>
    <w:rPr>
      <w:rFonts w:ascii="仿宋_GB2312" w:eastAsia="仿宋_GB2312"/>
      <w:spacing w:val="-70"/>
      <w:sz w:val="32"/>
      <w:szCs w:val="32"/>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2"/>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常用样式（方正仿宋简）"/>
    <w:basedOn w:val="1"/>
    <w:qFormat/>
    <w:uiPriority w:val="0"/>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收、支决算总计变动情况（单位：万元）</a:t>
            </a:r>
          </a:p>
        </c:rich>
      </c:tx>
      <c:layout>
        <c:manualLayout>
          <c:xMode val="edge"/>
          <c:yMode val="edge"/>
          <c:x val="0.183"/>
          <c:y val="0.00500000000000001"/>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9629.09</c:v>
                </c:pt>
                <c:pt idx="1">
                  <c:v>8021.89</c:v>
                </c:pt>
              </c:numCache>
            </c:numRef>
          </c:val>
        </c:ser>
        <c:dLbls>
          <c:showLegendKey val="false"/>
          <c:showVal val="true"/>
          <c:showCatName val="false"/>
          <c:showSerName val="false"/>
          <c:showPercent val="false"/>
          <c:showBubbleSize val="false"/>
        </c:dLbls>
        <c:gapWidth val="219"/>
        <c:overlap val="-27"/>
        <c:axId val="180159232"/>
        <c:axId val="180160768"/>
      </c:barChart>
      <c:catAx>
        <c:axId val="180159232"/>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80160768"/>
        <c:crosses val="autoZero"/>
        <c:auto val="true"/>
        <c:lblAlgn val="ctr"/>
        <c:lblOffset val="100"/>
        <c:noMultiLvlLbl val="false"/>
      </c:catAx>
      <c:valAx>
        <c:axId val="18016076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8015923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2021年收入决算结构（单位：万元）</c:v>
                </c:pt>
              </c:strCache>
            </c:strRef>
          </c:tx>
          <c:explosion val="0"/>
          <c:dPt>
            <c:idx val="0"/>
            <c:bubble3D val="false"/>
            <c:spPr>
              <a:solidFill>
                <a:schemeClr val="accent1"/>
              </a:solidFill>
              <a:ln w="19050">
                <a:solidFill>
                  <a:schemeClr val="lt1"/>
                </a:solidFill>
              </a:ln>
              <a:effectLst/>
            </c:spPr>
          </c:dPt>
          <c:dPt>
            <c:idx val="1"/>
            <c:bubble3D val="false"/>
            <c:spPr>
              <a:solidFill>
                <a:schemeClr val="accent3"/>
              </a:solidFill>
              <a:ln w="19050">
                <a:solidFill>
                  <a:schemeClr val="lt1"/>
                </a:solidFill>
              </a:ln>
              <a:effectLst/>
            </c:spPr>
          </c:dPt>
          <c:dPt>
            <c:idx val="2"/>
            <c:bubble3D val="false"/>
            <c:spPr>
              <a:solidFill>
                <a:schemeClr val="accent5"/>
              </a:solidFill>
              <a:ln w="19050">
                <a:solidFill>
                  <a:schemeClr val="lt1"/>
                </a:solidFill>
              </a:ln>
              <a:effectLst/>
            </c:spPr>
          </c:dPt>
          <c:dLbls>
            <c:dLbl>
              <c:idx val="2"/>
              <c:layout>
                <c:manualLayout>
                  <c:x val="0.0550726479219943"/>
                  <c:y val="0.0051899861670775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3554.41</c:v>
                </c:pt>
                <c:pt idx="1">
                  <c:v>120.86</c:v>
                </c:pt>
                <c:pt idx="2">
                  <c:v>23.37</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支出决算结构图（单位：万元）</c:v>
                </c:pt>
              </c:strCache>
            </c:strRef>
          </c:tx>
          <c:explosion val="0"/>
          <c:dPt>
            <c:idx val="0"/>
            <c:bubble3D val="false"/>
            <c:spPr>
              <a:solidFill>
                <a:schemeClr val="accent6"/>
              </a:solidFill>
              <a:ln w="19050">
                <a:solidFill>
                  <a:schemeClr val="lt1"/>
                </a:solidFill>
              </a:ln>
              <a:effectLst/>
            </c:spPr>
          </c:dPt>
          <c:dPt>
            <c:idx val="1"/>
            <c:bubble3D val="false"/>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2471.67</c:v>
                </c:pt>
                <c:pt idx="1">
                  <c:v>1851.59</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财政拨款收、支决算总计变动情况（单位：万元）</a:t>
            </a:r>
          </a:p>
        </c:rich>
      </c:tx>
      <c:layout/>
      <c:overlay val="false"/>
      <c:spPr>
        <a:noFill/>
        <a:ln>
          <a:noFill/>
        </a:ln>
        <a:effectLst/>
      </c:spPr>
    </c:title>
    <c:autoTitleDeleted val="false"/>
    <c:plotArea>
      <c:layout>
        <c:manualLayout>
          <c:layoutTarget val="inner"/>
          <c:xMode val="edge"/>
          <c:yMode val="edge"/>
          <c:x val="0.082575"/>
          <c:y val="0.135082432192874"/>
          <c:w val="0.882425"/>
          <c:h val="0.716255982981741"/>
        </c:manualLayout>
      </c:layout>
      <c:barChart>
        <c:barDir val="col"/>
        <c:grouping val="clustered"/>
        <c:varyColors val="false"/>
        <c:ser>
          <c:idx val="0"/>
          <c:order val="0"/>
          <c:tx>
            <c:strRef>
              <c:f>Sheet1!$B$1</c:f>
              <c:strCache>
                <c:ptCount val="1"/>
                <c:pt idx="0">
                  <c:v>财政拨款收、支决算总计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9570.04</c:v>
                </c:pt>
                <c:pt idx="1">
                  <c:v>7916</c:v>
                </c:pt>
              </c:numCache>
            </c:numRef>
          </c:val>
        </c:ser>
        <c:ser>
          <c:idx val="1"/>
          <c:order val="1"/>
          <c:tx>
            <c:strRef>
              <c:f>Sheet1!#REF!</c:f>
              <c:strCache>
                <c:ptCount val="1"/>
                <c:pt idx="0">
                  <c:v/>
                </c:pt>
              </c:strCache>
            </c:strRef>
          </c:tx>
          <c:spPr>
            <a:solidFill>
              <a:schemeClr val="accent2"/>
            </a:solidFill>
            <a:ln>
              <a:noFill/>
            </a:ln>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219"/>
        <c:overlap val="-27"/>
        <c:axId val="258499712"/>
        <c:axId val="258501248"/>
      </c:barChart>
      <c:catAx>
        <c:axId val="258499712"/>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8501248"/>
        <c:crosses val="autoZero"/>
        <c:auto val="true"/>
        <c:lblAlgn val="ctr"/>
        <c:lblOffset val="100"/>
        <c:noMultiLvlLbl val="false"/>
      </c:catAx>
      <c:valAx>
        <c:axId val="25850124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8499712"/>
        <c:crosses val="autoZero"/>
        <c:crossBetween val="between"/>
      </c:valAx>
      <c:spPr>
        <a:noFill/>
        <a:ln>
          <a:noFill/>
        </a:ln>
        <a:effectLst/>
      </c:spPr>
    </c:plotArea>
    <c:legend>
      <c:legendPos val="b"/>
      <c:legendEntry>
        <c:idx val="1"/>
        <c:delete val="true"/>
      </c:legendEntry>
      <c:legendEntry>
        <c:idx val="2"/>
        <c:delete val="true"/>
      </c:legendEntry>
      <c:layout>
        <c:manualLayout>
          <c:xMode val="edge"/>
          <c:yMode val="edge"/>
          <c:x val="0.358125"/>
          <c:y val="0.939166666666667"/>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overlay val="false"/>
      <c:spPr>
        <a:noFill/>
        <a:ln>
          <a:noFill/>
        </a:ln>
        <a:effectLst/>
      </c:spPr>
    </c:title>
    <c:autoTitleDeleted val="false"/>
    <c:plotArea>
      <c:layout>
        <c:manualLayout>
          <c:layoutTarget val="inner"/>
          <c:xMode val="edge"/>
          <c:yMode val="edge"/>
          <c:x val="0.07495"/>
          <c:y val="0.1855"/>
          <c:w val="0.8938"/>
          <c:h val="0.660900000000001"/>
        </c:manualLayout>
      </c:layout>
      <c:barChart>
        <c:barDir val="col"/>
        <c:grouping val="clustered"/>
        <c:varyColors val="false"/>
        <c:ser>
          <c:idx val="0"/>
          <c:order val="0"/>
          <c:tx>
            <c:strRef>
              <c:f>Sheet1!$B$1</c:f>
              <c:strCache>
                <c:ptCount val="1"/>
                <c:pt idx="0">
                  <c:v>一般公共预算财政拨款支出</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3607.93</c:v>
                </c:pt>
                <c:pt idx="1">
                  <c:v>3670.32</c:v>
                </c:pt>
              </c:numCache>
            </c:numRef>
          </c:val>
        </c:ser>
        <c:dLbls>
          <c:showLegendKey val="false"/>
          <c:showVal val="true"/>
          <c:showCatName val="false"/>
          <c:showSerName val="false"/>
          <c:showPercent val="false"/>
          <c:showBubbleSize val="false"/>
        </c:dLbls>
        <c:gapWidth val="219"/>
        <c:overlap val="-27"/>
        <c:axId val="257749376"/>
        <c:axId val="257750912"/>
      </c:barChart>
      <c:catAx>
        <c:axId val="257749376"/>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7750912"/>
        <c:crosses val="autoZero"/>
        <c:auto val="true"/>
        <c:lblAlgn val="ctr"/>
        <c:lblOffset val="100"/>
        <c:noMultiLvlLbl val="false"/>
      </c:catAx>
      <c:valAx>
        <c:axId val="257750912"/>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774937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一般公共预算财政拨款支出决算结构（单位：万元）</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034305571796363"/>
                  <c:y val="-0.0049843277347621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679239819749542"/>
                  <c:y val="0.00132191335563971"/>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一般公共服务</c:v>
                </c:pt>
                <c:pt idx="1">
                  <c:v>社会保障和就业</c:v>
                </c:pt>
                <c:pt idx="2">
                  <c:v>住房保障支出</c:v>
                </c:pt>
              </c:strCache>
            </c:strRef>
          </c:cat>
          <c:val>
            <c:numRef>
              <c:f>Sheet1!$B$2:$B$4</c:f>
              <c:numCache>
                <c:formatCode>General</c:formatCode>
                <c:ptCount val="3"/>
                <c:pt idx="0">
                  <c:v>22.04</c:v>
                </c:pt>
                <c:pt idx="1">
                  <c:v>3487.04</c:v>
                </c:pt>
                <c:pt idx="2">
                  <c:v>161.22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“三公”经费财政拨款支出结构（单位：万元）</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28.64</c:v>
                </c:pt>
                <c:pt idx="1">
                  <c:v>3.25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49</Pages>
  <Words>3408</Words>
  <Characters>19427</Characters>
  <Lines>161</Lines>
  <Paragraphs>45</Paragraphs>
  <TotalTime>100</TotalTime>
  <ScaleCrop>false</ScaleCrop>
  <LinksUpToDate>false</LinksUpToDate>
  <CharactersWithSpaces>22790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2023-07-13T23:02:00Z</dcterms:created>
  <dc:creator>曹颖</dc:creator>
  <cp:lastModifiedBy>user</cp:lastModifiedBy>
  <cp:lastPrinted>2022-08-09T01:11:00Z</cp:lastPrinted>
  <dcterms:modified xsi:type="dcterms:W3CDTF">2023-09-14T18:46:16Z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