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Times New Roman" w:hAnsi="Times New Roman" w:eastAsia="方正小标宋简体" w:cs="Times New Roman"/>
          <w:szCs w:val="21"/>
        </w:rPr>
      </w:pPr>
      <w:bookmarkStart w:id="0" w:name="_Toc15306267"/>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sz w:val="72"/>
          <w:szCs w:val="72"/>
          <w:lang w:val="en-US" w:eastAsia="zh-CN"/>
        </w:rPr>
      </w:pPr>
      <w:bookmarkStart w:id="1" w:name="_Toc15396476"/>
      <w:bookmarkStart w:id="2" w:name="_Toc15378442"/>
      <w:bookmarkStart w:id="3" w:name="_Toc15377194"/>
      <w:bookmarkStart w:id="4" w:name="_Toc15377426"/>
      <w:bookmarkStart w:id="5" w:name="_Toc15396598"/>
      <w:r>
        <w:rPr>
          <w:rFonts w:hint="eastAsia" w:ascii="方正小标宋简体" w:hAnsi="方正小标宋简体" w:eastAsia="方正小标宋简体" w:cs="方正小标宋简体"/>
          <w:sz w:val="72"/>
          <w:szCs w:val="72"/>
        </w:rPr>
        <w:t>2022年度</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rPr>
        <w:t>攀枝花市</w:t>
      </w:r>
      <w:bookmarkEnd w:id="0"/>
      <w:bookmarkStart w:id="6" w:name="_Toc15306268"/>
      <w:r>
        <w:rPr>
          <w:rFonts w:hint="eastAsia" w:ascii="方正小标宋简体" w:hAnsi="方正小标宋简体" w:eastAsia="方正小标宋简体" w:cs="方正小标宋简体"/>
          <w:sz w:val="72"/>
          <w:szCs w:val="72"/>
          <w:lang w:val="en-US" w:eastAsia="zh-CN"/>
        </w:rPr>
        <w:t>儿童福利院</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1"/>
      <w:bookmarkEnd w:id="2"/>
      <w:bookmarkEnd w:id="3"/>
      <w:bookmarkEnd w:id="4"/>
      <w:bookmarkEnd w:id="5"/>
      <w:bookmarkEnd w:id="6"/>
    </w:p>
    <w:p>
      <w:pPr>
        <w:keepNext w:val="0"/>
        <w:keepLines w:val="0"/>
        <w:pageBreakBefore w:val="0"/>
        <w:widowControl/>
        <w:kinsoku/>
        <w:wordWrap/>
        <w:overflowPunct/>
        <w:topLinePunct w:val="0"/>
        <w:autoSpaceDE/>
        <w:autoSpaceDN/>
        <w:bidi w:val="0"/>
        <w:spacing w:line="800" w:lineRule="exact"/>
        <w:jc w:val="center"/>
        <w:textAlignment w:val="auto"/>
        <w:rPr>
          <w:rFonts w:hint="default" w:ascii="Times New Roman" w:hAnsi="Times New Roman" w:eastAsia="黑体" w:cs="Times New Roman"/>
          <w:sz w:val="48"/>
          <w:szCs w:val="48"/>
        </w:rPr>
      </w:pPr>
      <w:r>
        <w:rPr>
          <w:rFonts w:hint="default" w:ascii="Times New Roman" w:hAnsi="Times New Roman" w:eastAsia="方正小标宋简体" w:cs="Times New Roman"/>
          <w:sz w:val="36"/>
          <w:szCs w:val="36"/>
        </w:rPr>
        <w:br w:type="page"/>
      </w:r>
      <w:r>
        <w:rPr>
          <w:rFonts w:hint="default" w:ascii="Times New Roman" w:hAnsi="Times New Roman" w:eastAsia="黑体" w:cs="Times New Roman"/>
          <w:sz w:val="48"/>
          <w:szCs w:val="48"/>
        </w:rPr>
        <w:t>目录</w:t>
      </w:r>
    </w:p>
    <w:p>
      <w:pPr>
        <w:widowControl/>
        <w:jc w:val="center"/>
        <w:rPr>
          <w:rFonts w:hint="default" w:ascii="Times New Roman" w:hAnsi="Times New Roman" w:eastAsia="黑体" w:cs="Times New Roman"/>
          <w:sz w:val="28"/>
          <w:szCs w:val="28"/>
        </w:rPr>
      </w:pPr>
    </w:p>
    <w:p>
      <w:pPr>
        <w:pStyle w:val="10"/>
        <w:rPr>
          <w:rFonts w:hint="default" w:ascii="Times New Roman" w:hAnsi="Times New Roman" w:cs="Times New Roman"/>
        </w:rPr>
      </w:pPr>
      <w:r>
        <w:rPr>
          <w:rFonts w:hint="default" w:ascii="Times New Roman" w:hAnsi="Times New Roman" w:cs="Times New Roman"/>
        </w:rPr>
        <w:t>公开时间：2023年9月</w:t>
      </w:r>
      <w:r>
        <w:rPr>
          <w:rFonts w:hint="default" w:ascii="Times New Roman" w:hAnsi="Times New Roman" w:cs="Times New Roman"/>
          <w:highlight w:val="none"/>
        </w:rPr>
        <w:t>1</w:t>
      </w:r>
      <w:r>
        <w:rPr>
          <w:rFonts w:hint="eastAsia" w:ascii="Times New Roman" w:hAnsi="Times New Roman" w:cs="Times New Roman"/>
          <w:highlight w:val="none"/>
          <w:lang w:val="en-US" w:eastAsia="zh-CN"/>
        </w:rPr>
        <w:t>8</w:t>
      </w:r>
      <w:r>
        <w:rPr>
          <w:rFonts w:hint="default" w:ascii="Times New Roman" w:hAnsi="Times New Roman" w:cs="Times New Roman"/>
        </w:rPr>
        <w:t>日</w:t>
      </w:r>
    </w:p>
    <w:p>
      <w:pPr>
        <w:rPr>
          <w:rFonts w:hint="default" w:ascii="Times New Roman" w:hAnsi="Times New Roman" w:cs="Times New Roman"/>
        </w:rPr>
      </w:pPr>
    </w:p>
    <w:p>
      <w:pPr>
        <w:pStyle w:val="10"/>
        <w:adjustRightInd w:val="0"/>
        <w:snapToGrid w:val="0"/>
        <w:spacing w:before="0" w:line="440" w:lineRule="exact"/>
        <w:jc w:val="left"/>
        <w:rPr>
          <w:rFonts w:hint="default" w:ascii="Times New Roman" w:hAnsi="Times New Roman" w:eastAsia="仿宋" w:cs="Times New Roman"/>
          <w:sz w:val="24"/>
          <w:szCs w:val="24"/>
          <w:lang w:val="en-US" w:eastAsia="zh-CN"/>
        </w:rPr>
      </w:pPr>
      <w:r>
        <w:rPr>
          <w:rFonts w:hint="default" w:ascii="Times New Roman" w:hAnsi="Times New Roman" w:cs="Times New Roman"/>
          <w:sz w:val="24"/>
        </w:rPr>
        <w:t>第一部分 单位概况</w:t>
      </w:r>
      <w:r>
        <w:rPr>
          <w:rFonts w:hint="default" w:ascii="Times New Roman" w:hAnsi="Times New Roman" w:cs="Times New Roman"/>
          <w:sz w:val="24"/>
          <w:szCs w:val="24"/>
        </w:rPr>
        <w:tab/>
      </w:r>
      <w:r>
        <w:rPr>
          <w:rFonts w:hint="default" w:ascii="Times New Roman" w:hAnsi="Times New Roman" w:cs="Times New Roman"/>
          <w:sz w:val="24"/>
          <w:szCs w:val="24"/>
          <w:lang w:val="en-US" w:eastAsia="zh-CN"/>
        </w:rPr>
        <w:t>4</w:t>
      </w:r>
    </w:p>
    <w:p>
      <w:pPr>
        <w:pStyle w:val="11"/>
        <w:adjustRightInd w:val="0"/>
        <w:snapToGrid w:val="0"/>
        <w:spacing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一、主要职责</w:t>
      </w:r>
      <w:r>
        <w:rPr>
          <w:rFonts w:hint="default" w:ascii="Times New Roman" w:hAnsi="Times New Roman" w:cs="Times New Roman"/>
          <w:sz w:val="24"/>
        </w:rPr>
        <w:tab/>
      </w:r>
      <w:r>
        <w:rPr>
          <w:rFonts w:hint="default" w:ascii="Times New Roman" w:hAnsi="Times New Roman" w:cs="Times New Roman"/>
          <w:sz w:val="24"/>
          <w:lang w:val="en-US" w:eastAsia="zh-CN"/>
        </w:rPr>
        <w:t>4</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二、机构设置</w:t>
      </w:r>
      <w:r>
        <w:rPr>
          <w:rFonts w:hint="default" w:ascii="Times New Roman" w:hAnsi="Times New Roman" w:cs="Times New Roman"/>
          <w:sz w:val="24"/>
        </w:rPr>
        <w:tab/>
      </w:r>
      <w:r>
        <w:rPr>
          <w:rFonts w:hint="default" w:ascii="Times New Roman" w:hAnsi="Times New Roman" w:cs="Times New Roman"/>
          <w:sz w:val="24"/>
          <w:lang w:val="en-US" w:eastAsia="zh-CN"/>
        </w:rPr>
        <w:t>4</w:t>
      </w:r>
    </w:p>
    <w:p>
      <w:pPr>
        <w:pStyle w:val="10"/>
        <w:adjustRightInd w:val="0"/>
        <w:snapToGrid w:val="0"/>
        <w:spacing w:before="0"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第二部分 2022年度单位决算情况说明</w:t>
      </w:r>
      <w:r>
        <w:rPr>
          <w:rFonts w:hint="default" w:ascii="Times New Roman" w:hAnsi="Times New Roman" w:cs="Times New Roman"/>
          <w:sz w:val="24"/>
        </w:rPr>
        <w:tab/>
      </w:r>
      <w:r>
        <w:rPr>
          <w:rFonts w:hint="default" w:ascii="Times New Roman" w:hAnsi="Times New Roman" w:cs="Times New Roman"/>
          <w:sz w:val="24"/>
          <w:lang w:val="en-US" w:eastAsia="zh-CN"/>
        </w:rPr>
        <w:t>5</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一、收入支出决算总体情况说明</w:t>
      </w:r>
      <w:r>
        <w:rPr>
          <w:rFonts w:hint="default" w:ascii="Times New Roman" w:hAnsi="Times New Roman" w:cs="Times New Roman"/>
          <w:sz w:val="24"/>
        </w:rPr>
        <w:tab/>
      </w:r>
      <w:r>
        <w:rPr>
          <w:rFonts w:hint="default" w:ascii="Times New Roman" w:hAnsi="Times New Roman" w:cs="Times New Roman"/>
          <w:sz w:val="24"/>
          <w:lang w:val="en-US" w:eastAsia="zh-CN"/>
        </w:rPr>
        <w:t>5</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二、收入决算情况说明</w:t>
      </w:r>
      <w:r>
        <w:rPr>
          <w:rFonts w:hint="default" w:ascii="Times New Roman" w:hAnsi="Times New Roman" w:cs="Times New Roman"/>
          <w:sz w:val="24"/>
        </w:rPr>
        <w:tab/>
      </w:r>
      <w:r>
        <w:rPr>
          <w:rFonts w:hint="default" w:ascii="Times New Roman" w:hAnsi="Times New Roman" w:cs="Times New Roman"/>
          <w:sz w:val="24"/>
          <w:lang w:val="en-US" w:eastAsia="zh-CN"/>
        </w:rPr>
        <w:t>5</w:t>
      </w:r>
    </w:p>
    <w:p>
      <w:pPr>
        <w:pStyle w:val="11"/>
        <w:adjustRightInd w:val="0"/>
        <w:snapToGrid w:val="0"/>
        <w:spacing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三、支出决算情况说明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6</w:t>
      </w:r>
    </w:p>
    <w:p>
      <w:pPr>
        <w:pStyle w:val="11"/>
        <w:adjustRightInd w:val="0"/>
        <w:snapToGrid w:val="0"/>
        <w:spacing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四、财政拨款收入支出决算总体情况说明</w:t>
      </w:r>
      <w:r>
        <w:rPr>
          <w:rFonts w:hint="default" w:ascii="Times New Roman" w:hAnsi="Times New Roman" w:cs="Times New Roman"/>
          <w:sz w:val="24"/>
        </w:rPr>
        <w:tab/>
      </w:r>
      <w:r>
        <w:rPr>
          <w:rFonts w:hint="default" w:ascii="Times New Roman" w:hAnsi="Times New Roman" w:cs="Times New Roman"/>
          <w:sz w:val="24"/>
          <w:lang w:val="en-US" w:eastAsia="zh-CN"/>
        </w:rPr>
        <w:t>6</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五、一般公共预算财政拨款支出决算情况说明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六、一般公共预算财政拨款基本支出决算情况说明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9</w:t>
      </w:r>
    </w:p>
    <w:p>
      <w:pPr>
        <w:pStyle w:val="11"/>
        <w:adjustRightInd w:val="0"/>
        <w:snapToGrid w:val="0"/>
        <w:spacing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七、财政拨款“三公”经费支出决算情况说明</w:t>
      </w:r>
      <w:r>
        <w:rPr>
          <w:rFonts w:hint="default" w:ascii="Times New Roman" w:hAnsi="Times New Roman" w:cs="Times New Roman"/>
          <w:sz w:val="24"/>
        </w:rPr>
        <w:tab/>
      </w:r>
      <w:r>
        <w:rPr>
          <w:rFonts w:hint="eastAsia" w:cs="Times New Roman"/>
          <w:sz w:val="24"/>
          <w:lang w:val="en-US" w:eastAsia="zh-CN"/>
        </w:rPr>
        <w:t>10</w:t>
      </w:r>
    </w:p>
    <w:p>
      <w:pPr>
        <w:pStyle w:val="11"/>
        <w:adjustRightInd w:val="0"/>
        <w:snapToGrid w:val="0"/>
        <w:spacing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八、政府性基金预算支出决算情况说明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2</w:t>
      </w:r>
    </w:p>
    <w:p>
      <w:pPr>
        <w:pStyle w:val="11"/>
        <w:adjustRightInd w:val="0"/>
        <w:snapToGrid w:val="0"/>
        <w:spacing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九、国有资本经营预算支出决算情况说明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2</w:t>
      </w:r>
    </w:p>
    <w:p>
      <w:pPr>
        <w:pStyle w:val="11"/>
        <w:adjustRightInd w:val="0"/>
        <w:snapToGrid w:val="0"/>
        <w:spacing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十、其他重要事项的情况说明</w:t>
      </w:r>
      <w:r>
        <w:rPr>
          <w:rFonts w:hint="default" w:ascii="Times New Roman" w:hAnsi="Times New Roman" w:cs="Times New Roman"/>
          <w:sz w:val="24"/>
        </w:rPr>
        <w:tab/>
      </w:r>
      <w:r>
        <w:rPr>
          <w:rFonts w:hint="default" w:ascii="Times New Roman" w:hAnsi="Times New Roman" w:cs="Times New Roman"/>
          <w:sz w:val="24"/>
          <w:lang w:val="en-US" w:eastAsia="zh-CN"/>
        </w:rPr>
        <w:t>12</w:t>
      </w:r>
    </w:p>
    <w:p>
      <w:pPr>
        <w:pStyle w:val="10"/>
        <w:adjustRightInd w:val="0"/>
        <w:snapToGrid w:val="0"/>
        <w:spacing w:before="0"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第三部分 名词解释</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4</w:t>
      </w:r>
    </w:p>
    <w:p>
      <w:pPr>
        <w:pStyle w:val="10"/>
        <w:adjustRightInd w:val="0"/>
        <w:snapToGrid w:val="0"/>
        <w:spacing w:before="0"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第四部分 附件</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6</w:t>
      </w:r>
    </w:p>
    <w:p>
      <w:pPr>
        <w:pStyle w:val="10"/>
        <w:adjustRightInd w:val="0"/>
        <w:snapToGrid w:val="0"/>
        <w:spacing w:before="0"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第五部分 附表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一、收入支出决算总表</w:t>
      </w:r>
      <w:r>
        <w:rPr>
          <w:rFonts w:hint="default" w:ascii="Times New Roman" w:hAnsi="Times New Roman" w:cs="Times New Roman"/>
          <w:sz w:val="24"/>
        </w:rPr>
        <w:tab/>
      </w:r>
      <w:r>
        <w:rPr>
          <w:rFonts w:hint="default" w:ascii="Times New Roman" w:hAnsi="Times New Roman" w:cs="Times New Roman"/>
          <w:sz w:val="24"/>
          <w:lang w:val="en-US" w:eastAsia="zh-CN"/>
        </w:rPr>
        <w:t>16</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二、收入决算表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三、支出决算表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四、财政拨款收入支出决算总表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五、财政拨款支出决算明细表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六、一般公共预算财政拨款支出决算表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七、一般公共预算财政拨款支出决算明细表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八、一般公共预算财政拨款基本支出决算明细表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九、一般公共预算财政拨款项目支出决算表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十、政府性基金预算财政拨款收入支出决算表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十一、国有资本经营预算财政拨款收入支出决算表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十二、国有资本经营预算财政拨款支出决算表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lang w:val="en-US" w:eastAsia="zh-CN"/>
        </w:rPr>
      </w:pPr>
      <w:r>
        <w:rPr>
          <w:rFonts w:hint="default" w:ascii="Times New Roman" w:hAnsi="Times New Roman" w:cs="Times New Roman"/>
          <w:sz w:val="24"/>
        </w:rPr>
        <w:t>十三、财政拨款“三公”经费支出决算表</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7</w:t>
      </w:r>
    </w:p>
    <w:p>
      <w:pPr>
        <w:pStyle w:val="11"/>
        <w:adjustRightInd w:val="0"/>
        <w:snapToGrid w:val="0"/>
        <w:spacing w:line="440" w:lineRule="exact"/>
        <w:jc w:val="left"/>
        <w:rPr>
          <w:rFonts w:hint="default" w:ascii="Times New Roman" w:hAnsi="Times New Roman" w:cs="Times New Roman"/>
          <w:sz w:val="24"/>
        </w:rPr>
      </w:pPr>
    </w:p>
    <w:p>
      <w:pPr>
        <w:widowControl/>
        <w:spacing w:line="440" w:lineRule="exact"/>
        <w:jc w:val="left"/>
        <w:rPr>
          <w:rFonts w:hint="default" w:ascii="Times New Roman" w:hAnsi="Times New Roman" w:eastAsia="仿宋" w:cs="Times New Roman"/>
          <w:bCs/>
          <w:kern w:val="44"/>
          <w:sz w:val="24"/>
        </w:rPr>
      </w:pPr>
      <w:bookmarkStart w:id="7" w:name="_Toc15396599"/>
      <w:bookmarkStart w:id="8" w:name="_Toc15377196"/>
      <w:r>
        <w:rPr>
          <w:rFonts w:hint="default" w:ascii="Times New Roman" w:hAnsi="Times New Roman" w:eastAsia="仿宋" w:cs="Times New Roman"/>
          <w:b/>
          <w:sz w:val="24"/>
        </w:rPr>
        <w:br w:type="page"/>
      </w:r>
    </w:p>
    <w:p>
      <w:pPr>
        <w:pStyle w:val="3"/>
        <w:jc w:val="center"/>
        <w:rPr>
          <w:rStyle w:val="24"/>
          <w:rFonts w:hint="default" w:ascii="Times New Roman" w:hAnsi="Times New Roman" w:eastAsia="黑体" w:cs="Times New Roman"/>
          <w:b/>
          <w:bCs w:val="0"/>
        </w:rPr>
      </w:pPr>
      <w:r>
        <w:rPr>
          <w:rFonts w:hint="default" w:ascii="Times New Roman" w:hAnsi="Times New Roman" w:eastAsia="黑体" w:cs="Times New Roman"/>
          <w:b w:val="0"/>
        </w:rPr>
        <w:t>第一部分 单位</w:t>
      </w:r>
      <w:r>
        <w:rPr>
          <w:rStyle w:val="24"/>
          <w:rFonts w:hint="default" w:ascii="Times New Roman" w:hAnsi="Times New Roman" w:eastAsia="黑体" w:cs="Times New Roman"/>
          <w:b w:val="0"/>
          <w:bCs w:val="0"/>
        </w:rPr>
        <w:t>概况</w:t>
      </w:r>
      <w:bookmarkEnd w:id="7"/>
      <w:bookmarkEnd w:id="8"/>
    </w:p>
    <w:p>
      <w:pPr>
        <w:widowControl/>
        <w:jc w:val="left"/>
        <w:rPr>
          <w:rFonts w:hint="default" w:ascii="Times New Roman" w:hAnsi="Times New Roman" w:eastAsia="黑体" w:cs="Times New Roman"/>
          <w:sz w:val="32"/>
          <w:szCs w:val="32"/>
        </w:rPr>
      </w:pPr>
    </w:p>
    <w:p>
      <w:pPr>
        <w:pStyle w:val="4"/>
        <w:numPr>
          <w:ilvl w:val="0"/>
          <w:numId w:val="1"/>
        </w:numPr>
        <w:rPr>
          <w:rStyle w:val="25"/>
          <w:rFonts w:hint="default" w:ascii="Times New Roman" w:hAnsi="Times New Roman" w:eastAsia="黑体" w:cs="Times New Roman"/>
          <w:b w:val="0"/>
          <w:bCs w:val="0"/>
        </w:rPr>
      </w:pPr>
      <w:bookmarkStart w:id="9" w:name="_Toc15396600"/>
      <w:bookmarkStart w:id="10" w:name="_Toc15377197"/>
      <w:r>
        <w:rPr>
          <w:rStyle w:val="25"/>
          <w:rFonts w:hint="default" w:ascii="Times New Roman" w:hAnsi="Times New Roman" w:eastAsia="黑体" w:cs="Times New Roman"/>
          <w:b w:val="0"/>
          <w:bCs w:val="0"/>
        </w:rPr>
        <w:t>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攀枝花市儿童福利院为市民政局下属全额拨款事业单位，承担全市无依无靠、无生活来源孤儿的收养、保育护理、康复治疗、特殊教学、就业培训以及为社会残疾孤儿提供代养、康复治疗服务等工作。</w:t>
      </w:r>
    </w:p>
    <w:p>
      <w:pPr>
        <w:pStyle w:val="4"/>
        <w:rPr>
          <w:rFonts w:hint="default" w:ascii="Times New Roman" w:hAnsi="Times New Roman" w:eastAsia="黑体" w:cs="Times New Roman"/>
          <w:b w:val="0"/>
        </w:rPr>
      </w:pPr>
      <w:r>
        <w:rPr>
          <w:rFonts w:hint="default" w:ascii="Times New Roman" w:hAnsi="Times New Roman" w:eastAsia="黑体" w:cs="Times New Roman"/>
          <w:b w:val="0"/>
        </w:rPr>
        <w:t>二、机构设置</w:t>
      </w:r>
    </w:p>
    <w:bookmarkEnd w:id="9"/>
    <w:bookmarkEnd w:id="10"/>
    <w:p>
      <w:pPr>
        <w:spacing w:line="600" w:lineRule="exact"/>
        <w:ind w:firstLine="640" w:firstLineChars="200"/>
        <w:outlineLvl w:val="1"/>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攀枝花市儿童福利院位于市东区龙箐路28号，现投入使用综合大楼建筑面积3300 m²。内设办公室、康复护理股、社工教育股、安全管理股4个股室。</w:t>
      </w:r>
      <w:bookmarkStart w:id="62" w:name="_GoBack"/>
      <w:bookmarkEnd w:id="62"/>
      <w:r>
        <w:rPr>
          <w:rFonts w:hint="default" w:ascii="Times New Roman" w:hAnsi="Times New Roman" w:eastAsia="仿宋" w:cs="Times New Roman"/>
          <w:sz w:val="32"/>
          <w:szCs w:val="32"/>
          <w:lang w:val="en-US" w:eastAsia="zh-CN"/>
        </w:rPr>
        <w:t>2022年养育孤残儿童31人、代养儿童4人。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攀枝花市儿童福利院围绕“一切为了孩子，为了孩子的一切”的办院宗旨，坚持“人为本、院似家、爱如海”的文化理念，秉承儿童利益最大化、儿童利益优先化的原则，在不断提高养育水平的同时，真正做到孩子医疗康复教育培训全覆盖。</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3"/>
        <w:ind w:right="440"/>
        <w:jc w:val="center"/>
        <w:rPr>
          <w:rStyle w:val="24"/>
          <w:rFonts w:hint="default" w:ascii="Times New Roman" w:hAnsi="Times New Roman" w:eastAsia="黑体" w:cs="Times New Roman"/>
          <w:b w:val="0"/>
          <w:bCs/>
        </w:rPr>
      </w:pPr>
      <w:bookmarkStart w:id="11" w:name="_Toc15377204"/>
      <w:bookmarkStart w:id="12" w:name="_Toc15396602"/>
      <w:r>
        <w:rPr>
          <w:rFonts w:hint="default" w:ascii="Times New Roman" w:hAnsi="Times New Roman" w:eastAsia="黑体" w:cs="Times New Roman"/>
          <w:b w:val="0"/>
        </w:rPr>
        <w:t>第二部分 2022年度</w:t>
      </w:r>
      <w:r>
        <w:rPr>
          <w:rStyle w:val="24"/>
          <w:rFonts w:hint="default" w:ascii="Times New Roman" w:hAnsi="Times New Roman" w:eastAsia="黑体" w:cs="Times New Roman"/>
          <w:b w:val="0"/>
          <w:bCs/>
        </w:rPr>
        <w:t>单位决算情况说明</w:t>
      </w:r>
      <w:bookmarkEnd w:id="11"/>
      <w:bookmarkEnd w:id="12"/>
    </w:p>
    <w:p>
      <w:pPr>
        <w:rPr>
          <w:rFonts w:hint="default" w:ascii="Times New Roman" w:hAnsi="Times New Roman" w:cs="Times New Roman"/>
        </w:rPr>
      </w:pPr>
    </w:p>
    <w:p>
      <w:pPr>
        <w:pStyle w:val="23"/>
        <w:numPr>
          <w:ilvl w:val="0"/>
          <w:numId w:val="2"/>
        </w:numPr>
        <w:spacing w:line="600" w:lineRule="exact"/>
        <w:ind w:firstLineChars="0"/>
        <w:outlineLvl w:val="1"/>
        <w:rPr>
          <w:rStyle w:val="25"/>
          <w:rFonts w:hint="default" w:ascii="Times New Roman" w:hAnsi="Times New Roman" w:eastAsia="黑体" w:cs="Times New Roman"/>
          <w:b w:val="0"/>
        </w:rPr>
      </w:pPr>
      <w:bookmarkStart w:id="13" w:name="_Toc15396603"/>
      <w:bookmarkStart w:id="14" w:name="_Toc15377205"/>
      <w:r>
        <w:rPr>
          <w:rFonts w:hint="default" w:ascii="Times New Roman" w:hAnsi="Times New Roman" w:eastAsia="黑体" w:cs="Times New Roman"/>
          <w:sz w:val="32"/>
          <w:szCs w:val="32"/>
        </w:rPr>
        <w:t>收</w:t>
      </w:r>
      <w:r>
        <w:rPr>
          <w:rStyle w:val="25"/>
          <w:rFonts w:hint="default" w:ascii="Times New Roman" w:hAnsi="Times New Roman" w:eastAsia="黑体" w:cs="Times New Roman"/>
          <w:b w:val="0"/>
        </w:rPr>
        <w:t>入支出决算总体情况说明</w:t>
      </w:r>
      <w:bookmarkEnd w:id="13"/>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2022年度收、支总计1065.99万元。与2021年相比，财政拨款收入减少76.94万元、下降13.09%；财政拨款支出减少105.92万元，下降16.02%。主要变动原因是2022年人员经费和项目经费财政拨款收入和支出都较2021年减少。</w:t>
      </w:r>
    </w:p>
    <w:p>
      <w:pPr>
        <w:pStyle w:val="2"/>
        <w:rPr>
          <w:rFonts w:hint="default" w:ascii="Times New Roman" w:hAnsi="Times New Roman" w:eastAsia="仿宋" w:cs="Times New Roman"/>
          <w:sz w:val="32"/>
          <w:szCs w:val="32"/>
          <w:lang w:val="en-US" w:eastAsia="zh-CN"/>
        </w:rPr>
      </w:pPr>
      <w:r>
        <w:rPr>
          <w:rFonts w:hint="default" w:ascii="Times New Roman" w:hAnsi="Times New Roman" w:cs="Times New Roman"/>
        </w:rPr>
        <w:drawing>
          <wp:inline distT="0" distB="0" distL="0" distR="0">
            <wp:extent cx="5400675" cy="2901950"/>
            <wp:effectExtent l="4445" t="4445" r="508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（图1：收、支决算总计变动情况图）</w:t>
      </w:r>
    </w:p>
    <w:p>
      <w:pPr>
        <w:pStyle w:val="23"/>
        <w:numPr>
          <w:ilvl w:val="0"/>
          <w:numId w:val="2"/>
        </w:numPr>
        <w:spacing w:line="600" w:lineRule="exact"/>
        <w:ind w:firstLineChars="0"/>
        <w:outlineLvl w:val="1"/>
        <w:rPr>
          <w:rStyle w:val="25"/>
          <w:rFonts w:hint="default" w:ascii="Times New Roman" w:hAnsi="Times New Roman" w:eastAsia="黑体" w:cs="Times New Roman"/>
          <w:b w:val="0"/>
        </w:rPr>
      </w:pPr>
      <w:bookmarkStart w:id="15" w:name="_Toc15377206"/>
      <w:bookmarkStart w:id="16" w:name="_Toc15396604"/>
      <w:r>
        <w:rPr>
          <w:rFonts w:hint="default" w:ascii="Times New Roman" w:hAnsi="Times New Roman" w:eastAsia="黑体" w:cs="Times New Roman"/>
          <w:sz w:val="32"/>
          <w:szCs w:val="32"/>
        </w:rPr>
        <w:t>收</w:t>
      </w:r>
      <w:r>
        <w:rPr>
          <w:rStyle w:val="25"/>
          <w:rFonts w:hint="default" w:ascii="Times New Roman" w:hAnsi="Times New Roman" w:eastAsia="黑体" w:cs="Times New Roman"/>
          <w:b w:val="0"/>
        </w:rPr>
        <w:t>入决算情况说明</w:t>
      </w:r>
      <w:bookmarkEnd w:id="15"/>
      <w:bookmarkEnd w:id="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2022年财政拨款收入合计510.81万元，其中：一般公共预算财政拨款收入471.08万元，占92.22%；政府性基金预算财政拨款收入39.73万元，占7.78%。</w:t>
      </w:r>
    </w:p>
    <w:p>
      <w:pPr>
        <w:pStyle w:val="2"/>
        <w:rPr>
          <w:rFonts w:hint="default" w:ascii="Times New Roman" w:hAnsi="Times New Roman" w:eastAsia="仿宋" w:cs="Times New Roman"/>
          <w:sz w:val="32"/>
          <w:szCs w:val="32"/>
        </w:rPr>
      </w:pPr>
      <w:r>
        <w:rPr>
          <w:rFonts w:hint="default" w:ascii="Times New Roman" w:hAnsi="Times New Roman" w:cs="Times New Roman"/>
          <w:szCs w:val="32"/>
        </w:rPr>
        <w:drawing>
          <wp:inline distT="0" distB="0" distL="0" distR="0">
            <wp:extent cx="5133340" cy="2715260"/>
            <wp:effectExtent l="4445" t="4445" r="5715" b="10795"/>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（图2：收入决算结构图）</w:t>
      </w:r>
    </w:p>
    <w:p>
      <w:pPr>
        <w:pStyle w:val="23"/>
        <w:numPr>
          <w:ilvl w:val="0"/>
          <w:numId w:val="2"/>
        </w:numPr>
        <w:spacing w:line="600" w:lineRule="exact"/>
        <w:ind w:firstLineChars="0"/>
        <w:outlineLvl w:val="1"/>
        <w:rPr>
          <w:rStyle w:val="25"/>
          <w:rFonts w:hint="default" w:ascii="Times New Roman" w:hAnsi="Times New Roman" w:eastAsia="黑体" w:cs="Times New Roman"/>
          <w:b w:val="0"/>
        </w:rPr>
      </w:pPr>
      <w:bookmarkStart w:id="17" w:name="_Toc15377207"/>
      <w:bookmarkStart w:id="18" w:name="_Toc15396605"/>
      <w:r>
        <w:rPr>
          <w:rFonts w:hint="default" w:ascii="Times New Roman" w:hAnsi="Times New Roman" w:eastAsia="黑体" w:cs="Times New Roman"/>
          <w:sz w:val="32"/>
          <w:szCs w:val="32"/>
        </w:rPr>
        <w:t>支</w:t>
      </w:r>
      <w:r>
        <w:rPr>
          <w:rStyle w:val="25"/>
          <w:rFonts w:hint="default" w:ascii="Times New Roman" w:hAnsi="Times New Roman" w:eastAsia="黑体" w:cs="Times New Roman"/>
          <w:b w:val="0"/>
        </w:rPr>
        <w:t>出决算情况说明</w:t>
      </w:r>
      <w:bookmarkEnd w:id="17"/>
      <w:bookmarkEnd w:id="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2022年本年支出合计555.18万元，其中：基本支出422.88万元，占76.17%；项目支出132.3万元，占23.83%。</w:t>
      </w:r>
    </w:p>
    <w:p>
      <w:pPr>
        <w:pStyle w:val="2"/>
        <w:rPr>
          <w:rFonts w:hint="default" w:ascii="Times New Roman" w:hAnsi="Times New Roman" w:eastAsia="仿宋" w:cs="Times New Roman"/>
          <w:sz w:val="32"/>
          <w:szCs w:val="32"/>
          <w:shd w:val="pct10" w:color="auto" w:fill="FFFFFF"/>
        </w:rPr>
      </w:pPr>
      <w:r>
        <w:rPr>
          <w:rFonts w:hint="default" w:ascii="Times New Roman" w:hAnsi="Times New Roman" w:eastAsia="仿宋" w:cs="Times New Roman"/>
          <w:sz w:val="32"/>
          <w:szCs w:val="32"/>
        </w:rPr>
        <w:drawing>
          <wp:inline distT="0" distB="0" distL="0" distR="0">
            <wp:extent cx="5024755" cy="2846070"/>
            <wp:effectExtent l="4445" t="4445" r="12700" b="6985"/>
            <wp:docPr id="1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（图3：支出决算结构图）</w:t>
      </w:r>
    </w:p>
    <w:p>
      <w:pPr>
        <w:spacing w:line="600" w:lineRule="exact"/>
        <w:ind w:firstLine="640" w:firstLineChars="200"/>
        <w:outlineLvl w:val="1"/>
        <w:rPr>
          <w:rStyle w:val="25"/>
          <w:rFonts w:hint="default" w:ascii="Times New Roman" w:hAnsi="Times New Roman" w:eastAsia="黑体" w:cs="Times New Roman"/>
          <w:b w:val="0"/>
        </w:rPr>
      </w:pPr>
      <w:bookmarkStart w:id="19" w:name="_Toc15377208"/>
      <w:bookmarkStart w:id="20" w:name="_Toc15396606"/>
      <w:r>
        <w:rPr>
          <w:rFonts w:hint="default" w:ascii="Times New Roman" w:hAnsi="Times New Roman" w:eastAsia="黑体" w:cs="Times New Roman"/>
          <w:sz w:val="32"/>
          <w:szCs w:val="32"/>
        </w:rPr>
        <w:t>四、财</w:t>
      </w:r>
      <w:r>
        <w:rPr>
          <w:rStyle w:val="25"/>
          <w:rFonts w:hint="default" w:ascii="Times New Roman" w:hAnsi="Times New Roman" w:eastAsia="黑体" w:cs="Times New Roman"/>
          <w:b w:val="0"/>
        </w:rPr>
        <w:t>政拨款收入支出决算总体情况说明</w:t>
      </w:r>
      <w:bookmarkEnd w:id="19"/>
      <w:bookmarkEnd w:id="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2022年财政拨款收、支总计1065.99万元。与2021年相比，财政拨款收入减少76.94万元，下降13.09%；财政拨款支出减少105.92元，下降16.02%。主要变动原因是2022年人员经费和项目经费拨款收入和支出都较2021年减少。</w:t>
      </w:r>
    </w:p>
    <w:p>
      <w:pPr>
        <w:pStyle w:val="2"/>
        <w:rPr>
          <w:rFonts w:hint="default" w:ascii="Times New Roman" w:hAnsi="Times New Roman" w:eastAsia="仿宋" w:cs="Times New Roman"/>
          <w:sz w:val="32"/>
          <w:szCs w:val="32"/>
        </w:rPr>
      </w:pPr>
      <w:r>
        <w:rPr>
          <w:rFonts w:hint="default" w:ascii="Times New Roman" w:hAnsi="Times New Roman" w:cs="Times New Roman"/>
        </w:rPr>
        <w:drawing>
          <wp:inline distT="0" distB="0" distL="0" distR="0">
            <wp:extent cx="5041265" cy="2461895"/>
            <wp:effectExtent l="4445" t="4445" r="8890" b="10160"/>
            <wp:docPr id="3"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（图4：财政拨款收、支决算总计变动情况）</w:t>
      </w:r>
    </w:p>
    <w:p>
      <w:pPr>
        <w:spacing w:line="600" w:lineRule="exact"/>
        <w:ind w:firstLine="640" w:firstLineChars="200"/>
        <w:outlineLvl w:val="1"/>
        <w:rPr>
          <w:rStyle w:val="25"/>
          <w:rFonts w:hint="default" w:ascii="Times New Roman" w:hAnsi="Times New Roman" w:eastAsia="黑体" w:cs="Times New Roman"/>
          <w:b w:val="0"/>
        </w:rPr>
      </w:pPr>
      <w:bookmarkStart w:id="21" w:name="_Toc15377209"/>
      <w:bookmarkStart w:id="22" w:name="_Toc15396607"/>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25"/>
          <w:rFonts w:hint="default" w:ascii="Times New Roman" w:hAnsi="Times New Roman" w:eastAsia="黑体" w:cs="Times New Roman"/>
          <w:b w:val="0"/>
        </w:rPr>
        <w:t>般公共预算财政拨款支出决算情况说明</w:t>
      </w:r>
      <w:bookmarkEnd w:id="21"/>
      <w:bookmarkEnd w:id="22"/>
    </w:p>
    <w:p>
      <w:pPr>
        <w:spacing w:line="600" w:lineRule="exact"/>
        <w:ind w:firstLine="643" w:firstLineChars="200"/>
        <w:outlineLvl w:val="2"/>
        <w:rPr>
          <w:rFonts w:hint="default" w:ascii="Times New Roman" w:hAnsi="Times New Roman" w:eastAsia="楷体_GB2312" w:cs="Times New Roman"/>
          <w:b/>
          <w:sz w:val="32"/>
          <w:szCs w:val="32"/>
        </w:rPr>
      </w:pPr>
      <w:bookmarkStart w:id="23" w:name="_Toc15377210"/>
      <w:r>
        <w:rPr>
          <w:rFonts w:hint="default" w:ascii="Times New Roman" w:hAnsi="Times New Roman" w:eastAsia="楷体_GB2312" w:cs="Times New Roman"/>
          <w:b/>
          <w:sz w:val="32"/>
          <w:szCs w:val="32"/>
        </w:rPr>
        <w:t>（一）一般公共预算财政拨款支出决算总体情况</w:t>
      </w:r>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 w:cs="Times New Roman"/>
          <w:sz w:val="32"/>
          <w:szCs w:val="32"/>
          <w:lang w:val="en-US" w:eastAsia="zh-CN"/>
        </w:rPr>
        <w:t>2022年一般公共预算财政拨款支出515.45万元，占本年支出合计的92.84%。与2021年相比，一般公共预算财政拨款支出减少8.70万元，下降1.66%。主要变动原因是2022年一般公共预算财政拨款支出减少。</w:t>
      </w:r>
    </w:p>
    <w:p>
      <w:pPr>
        <w:pStyle w:val="2"/>
        <w:rPr>
          <w:rFonts w:hint="default" w:ascii="Times New Roman" w:hAnsi="Times New Roman" w:cs="Times New Roman"/>
          <w:lang w:eastAsia="zh-CN"/>
        </w:rPr>
      </w:pPr>
      <w:r>
        <w:rPr>
          <w:rFonts w:hint="default" w:ascii="Times New Roman" w:hAnsi="Times New Roman" w:cs="Times New Roman"/>
        </w:rPr>
        <w:drawing>
          <wp:inline distT="0" distB="0" distL="0" distR="0">
            <wp:extent cx="5083810" cy="2080895"/>
            <wp:effectExtent l="4445" t="4445" r="17145" b="101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（图5：一般公共预算财政拨款支出决算变动情况）</w:t>
      </w:r>
    </w:p>
    <w:p>
      <w:pPr>
        <w:spacing w:line="600" w:lineRule="exact"/>
        <w:ind w:firstLine="643" w:firstLineChars="200"/>
        <w:outlineLvl w:val="2"/>
        <w:rPr>
          <w:rFonts w:hint="default" w:ascii="Times New Roman" w:hAnsi="Times New Roman" w:eastAsia="楷体_GB2312" w:cs="Times New Roman"/>
          <w:b/>
          <w:sz w:val="32"/>
          <w:szCs w:val="32"/>
        </w:rPr>
      </w:pPr>
      <w:bookmarkStart w:id="24" w:name="_Toc15377211"/>
      <w:r>
        <w:rPr>
          <w:rFonts w:hint="default" w:ascii="Times New Roman" w:hAnsi="Times New Roman" w:eastAsia="楷体_GB2312" w:cs="Times New Roman"/>
          <w:b/>
          <w:sz w:val="32"/>
          <w:szCs w:val="32"/>
        </w:rPr>
        <w:t>（二）一般公共预算财政拨款支出决算结构情况</w:t>
      </w:r>
      <w:bookmarkEnd w:id="2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2022年一般公共预算财政拨款支出515.45万元，主要用于以下方面:社会保障和就业支出（类）483.3万元，占93.76%；住房保障支出（类）32.15万元，占6.24%。</w:t>
      </w:r>
    </w:p>
    <w:p>
      <w:pPr>
        <w:pStyle w:val="2"/>
        <w:rPr>
          <w:rFonts w:hint="default" w:ascii="Times New Roman" w:hAnsi="Times New Roman" w:eastAsia="仿宋" w:cs="Times New Roman"/>
          <w:sz w:val="32"/>
          <w:szCs w:val="32"/>
        </w:rPr>
      </w:pPr>
      <w:r>
        <w:rPr>
          <w:rFonts w:hint="default" w:ascii="Times New Roman" w:hAnsi="Times New Roman" w:cs="Times New Roman"/>
        </w:rPr>
        <w:drawing>
          <wp:inline distT="0" distB="0" distL="0" distR="0">
            <wp:extent cx="5139690" cy="2569210"/>
            <wp:effectExtent l="4445" t="4445" r="12065" b="1714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（图6：一般公共预算财政拨款支出决算结构）</w:t>
      </w:r>
    </w:p>
    <w:p>
      <w:pPr>
        <w:spacing w:line="600" w:lineRule="exact"/>
        <w:ind w:firstLine="643" w:firstLineChars="200"/>
        <w:outlineLvl w:val="2"/>
        <w:rPr>
          <w:rFonts w:hint="default" w:ascii="Times New Roman" w:hAnsi="Times New Roman" w:eastAsia="楷体_GB2312" w:cs="Times New Roman"/>
          <w:b/>
          <w:sz w:val="32"/>
          <w:szCs w:val="32"/>
        </w:rPr>
      </w:pPr>
      <w:bookmarkStart w:id="25" w:name="_Toc15377212"/>
      <w:r>
        <w:rPr>
          <w:rFonts w:hint="default" w:ascii="Times New Roman" w:hAnsi="Times New Roman" w:eastAsia="楷体_GB2312" w:cs="Times New Roman"/>
          <w:b/>
          <w:sz w:val="32"/>
          <w:szCs w:val="32"/>
        </w:rPr>
        <w:t>（三）一般公共预算财政拨款支出决算具体情况</w:t>
      </w:r>
      <w:bookmarkEnd w:id="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bookmarkStart w:id="26" w:name="_Toc15378460"/>
      <w:bookmarkStart w:id="27" w:name="_Toc15377213"/>
      <w:bookmarkStart w:id="28" w:name="_Toc15377444"/>
      <w:r>
        <w:rPr>
          <w:rFonts w:hint="default" w:ascii="Times New Roman" w:hAnsi="Times New Roman" w:eastAsia="仿宋" w:cs="Times New Roman"/>
          <w:sz w:val="32"/>
          <w:szCs w:val="32"/>
          <w:lang w:val="en-US" w:eastAsia="zh-CN"/>
        </w:rPr>
        <w:t>2022年一般公共预算支出决算数为515.45，完成预算100%。其中：</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z w:val="32"/>
          <w:szCs w:val="32"/>
          <w:lang w:val="en-US" w:eastAsia="zh-CN"/>
        </w:rPr>
      </w:pPr>
      <w:r>
        <w:rPr>
          <w:rFonts w:hint="eastAsia" w:ascii="仿宋" w:hAnsi="仿宋" w:eastAsia="仿宋" w:cs="仿宋"/>
          <w:b/>
          <w:bCs/>
          <w:sz w:val="32"/>
          <w:szCs w:val="32"/>
          <w:lang w:val="en-US" w:eastAsia="zh-CN"/>
        </w:rPr>
        <w:t>1.社会保障和就业支出（类）行政事业单位养老支出（款）事业单位离退休（项）</w:t>
      </w:r>
      <w:r>
        <w:rPr>
          <w:rFonts w:hint="default" w:ascii="Times New Roman" w:hAnsi="Times New Roman" w:eastAsia="仿宋" w:cs="Times New Roman"/>
          <w:sz w:val="32"/>
          <w:szCs w:val="32"/>
          <w:lang w:val="en-US" w:eastAsia="zh-CN"/>
        </w:rPr>
        <w:t>: 支出决算为19.57万元，完成预算100%。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z w:val="32"/>
          <w:szCs w:val="32"/>
          <w:lang w:val="en-US" w:eastAsia="zh-CN"/>
        </w:rPr>
      </w:pPr>
      <w:r>
        <w:rPr>
          <w:rFonts w:hint="default" w:ascii="仿宋" w:hAnsi="仿宋" w:eastAsia="仿宋" w:cs="仿宋"/>
          <w:b/>
          <w:bCs/>
          <w:sz w:val="32"/>
          <w:szCs w:val="32"/>
          <w:lang w:val="en-US" w:eastAsia="zh-CN"/>
        </w:rPr>
        <w:t>2.社会保障和就业支出（类）行政事业单位养老支出（款）机关事业单位基本养老保险缴费支出（项）</w:t>
      </w:r>
      <w:r>
        <w:rPr>
          <w:rFonts w:hint="default" w:ascii="Times New Roman" w:hAnsi="Times New Roman" w:eastAsia="仿宋" w:cs="Times New Roman"/>
          <w:sz w:val="32"/>
          <w:szCs w:val="32"/>
          <w:lang w:val="en-US" w:eastAsia="zh-CN"/>
        </w:rPr>
        <w:t>: 支出决算为26.38万元，完成预算100%。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z w:val="32"/>
          <w:szCs w:val="32"/>
          <w:lang w:val="en-US" w:eastAsia="zh-CN"/>
        </w:rPr>
      </w:pPr>
      <w:r>
        <w:rPr>
          <w:rFonts w:hint="default" w:ascii="仿宋" w:hAnsi="仿宋" w:eastAsia="仿宋" w:cs="仿宋"/>
          <w:b/>
          <w:bCs/>
          <w:sz w:val="32"/>
          <w:szCs w:val="32"/>
          <w:lang w:val="en-US" w:eastAsia="zh-CN"/>
        </w:rPr>
        <w:t xml:space="preserve">3.社会保障和就业（类）社会福利（款）儿童福利（项）: </w:t>
      </w:r>
      <w:r>
        <w:rPr>
          <w:rFonts w:hint="default" w:ascii="Times New Roman" w:hAnsi="Times New Roman" w:eastAsia="仿宋" w:cs="Times New Roman"/>
          <w:sz w:val="32"/>
          <w:szCs w:val="32"/>
          <w:lang w:val="en-US" w:eastAsia="zh-CN"/>
        </w:rPr>
        <w:t>支出决算为437.27万元，完成预算100%。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z w:val="32"/>
          <w:szCs w:val="32"/>
          <w:lang w:val="en-US" w:eastAsia="zh-CN"/>
        </w:rPr>
      </w:pPr>
      <w:r>
        <w:rPr>
          <w:rFonts w:hint="default" w:ascii="仿宋" w:hAnsi="仿宋" w:eastAsia="仿宋" w:cs="仿宋"/>
          <w:b/>
          <w:bCs/>
          <w:sz w:val="32"/>
          <w:szCs w:val="32"/>
          <w:lang w:val="en-US" w:eastAsia="zh-CN"/>
        </w:rPr>
        <w:t>4.社会保障和就业（类）其他社会保障和就业支出（款）其他社会保障和就业支出（项）</w:t>
      </w:r>
      <w:r>
        <w:rPr>
          <w:rFonts w:hint="default" w:ascii="Times New Roman" w:hAnsi="Times New Roman" w:eastAsia="仿宋" w:cs="Times New Roman"/>
          <w:sz w:val="32"/>
          <w:szCs w:val="32"/>
          <w:lang w:val="en-US" w:eastAsia="zh-CN"/>
        </w:rPr>
        <w:t>: 支出决算为0.08万元，完成预算100%。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z w:val="32"/>
          <w:szCs w:val="32"/>
          <w:lang w:val="en-US" w:eastAsia="zh-CN"/>
        </w:rPr>
      </w:pPr>
      <w:r>
        <w:rPr>
          <w:rFonts w:hint="default" w:ascii="仿宋" w:hAnsi="仿宋" w:eastAsia="仿宋" w:cs="仿宋"/>
          <w:b/>
          <w:bCs/>
          <w:sz w:val="32"/>
          <w:szCs w:val="32"/>
          <w:lang w:val="en-US" w:eastAsia="zh-CN"/>
        </w:rPr>
        <w:t xml:space="preserve">5.住房保障支出（类）住房改革支出（款）住房公积金（项）: </w:t>
      </w:r>
      <w:r>
        <w:rPr>
          <w:rFonts w:hint="default" w:ascii="Times New Roman" w:hAnsi="Times New Roman" w:eastAsia="仿宋" w:cs="Times New Roman"/>
          <w:sz w:val="32"/>
          <w:szCs w:val="32"/>
          <w:lang w:val="en-US" w:eastAsia="zh-CN"/>
        </w:rPr>
        <w:t>支出决算为32.15万元，完成预算100%。</w:t>
      </w:r>
    </w:p>
    <w:p>
      <w:pPr>
        <w:tabs>
          <w:tab w:val="right" w:pos="8306"/>
        </w:tabs>
        <w:spacing w:line="600" w:lineRule="exact"/>
        <w:ind w:firstLine="640"/>
        <w:outlineLvl w:val="1"/>
        <w:rPr>
          <w:rStyle w:val="25"/>
          <w:rFonts w:hint="default" w:ascii="Times New Roman" w:hAnsi="Times New Roman" w:cs="Times New Roman"/>
        </w:rPr>
      </w:pPr>
      <w:bookmarkStart w:id="29" w:name="_Toc15396608"/>
      <w:bookmarkStart w:id="30" w:name="_Toc15377214"/>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25"/>
          <w:rFonts w:hint="default" w:ascii="Times New Roman" w:hAnsi="Times New Roman" w:eastAsia="黑体" w:cs="Times New Roman"/>
          <w:b w:val="0"/>
        </w:rPr>
        <w:t>般公共预算财政拨款基本支出决算情况说明</w:t>
      </w:r>
      <w:bookmarkEnd w:id="29"/>
      <w:bookmarkEnd w:id="30"/>
      <w:r>
        <w:rPr>
          <w:rStyle w:val="25"/>
          <w:rFonts w:hint="default" w:ascii="Times New Roman" w:hAnsi="Times New Roman" w:eastAsia="黑体" w:cs="Times New Roman"/>
          <w:b w:val="0"/>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2022年一般公共预算财政拨款基本支出422.88万元，其中：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人员经费392.48万元，主要包括：基本工资、津贴补贴、绩效工资、机关事业单位基本养老保险缴费、职工基本医疗保险缴费、公务员医疗补助缴费、其他社会保障缴费、住房公积金、其他工资福利支出、生活补助、医疗费补助、救济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公用经费30.40万元，主要包括：办公费、咨询费、水费、电费、邮电费、差旅费、维修（护）费、公务接待费、工会经费、福利费、公务用车运行维护费、其他商品和服务支出、办公设备购置等。</w:t>
      </w:r>
    </w:p>
    <w:p>
      <w:pPr>
        <w:spacing w:line="600" w:lineRule="exact"/>
        <w:ind w:firstLine="640"/>
        <w:outlineLvl w:val="1"/>
        <w:rPr>
          <w:rStyle w:val="25"/>
          <w:rFonts w:hint="default" w:ascii="Times New Roman" w:hAnsi="Times New Roman" w:eastAsia="黑体" w:cs="Times New Roman"/>
          <w:b w:val="0"/>
        </w:rPr>
      </w:pPr>
      <w:bookmarkStart w:id="31" w:name="_Toc15396609"/>
      <w:bookmarkStart w:id="32" w:name="_Toc15377215"/>
      <w:r>
        <w:rPr>
          <w:rFonts w:hint="default" w:ascii="Times New Roman" w:hAnsi="Times New Roman" w:eastAsia="黑体" w:cs="Times New Roman"/>
          <w:sz w:val="32"/>
          <w:szCs w:val="32"/>
        </w:rPr>
        <w:t>七、</w:t>
      </w:r>
      <w:r>
        <w:rPr>
          <w:rStyle w:val="25"/>
          <w:rFonts w:hint="default" w:ascii="Times New Roman" w:hAnsi="Times New Roman" w:eastAsia="黑体" w:cs="Times New Roman"/>
          <w:b w:val="0"/>
        </w:rPr>
        <w:t>财政拨款</w:t>
      </w:r>
      <w:r>
        <w:rPr>
          <w:rStyle w:val="25"/>
          <w:rFonts w:hint="default" w:ascii="Times New Roman" w:hAnsi="Times New Roman" w:eastAsia="黑体" w:cs="Times New Roman"/>
        </w:rPr>
        <w:t>“</w:t>
      </w:r>
      <w:r>
        <w:rPr>
          <w:rStyle w:val="25"/>
          <w:rFonts w:hint="default" w:ascii="Times New Roman" w:hAnsi="Times New Roman" w:eastAsia="黑体" w:cs="Times New Roman"/>
          <w:b w:val="0"/>
        </w:rPr>
        <w:t>三公”经费支出决算情况说明</w:t>
      </w:r>
      <w:bookmarkEnd w:id="31"/>
      <w:bookmarkEnd w:id="32"/>
    </w:p>
    <w:p>
      <w:pPr>
        <w:spacing w:line="600" w:lineRule="exact"/>
        <w:ind w:firstLine="643" w:firstLineChars="200"/>
        <w:outlineLvl w:val="2"/>
        <w:rPr>
          <w:rFonts w:hint="default" w:ascii="Times New Roman" w:hAnsi="Times New Roman" w:eastAsia="楷体_GB2312" w:cs="Times New Roman"/>
          <w:b/>
          <w:sz w:val="32"/>
          <w:szCs w:val="32"/>
        </w:rPr>
      </w:pPr>
      <w:bookmarkStart w:id="33" w:name="_Toc15377216"/>
      <w:r>
        <w:rPr>
          <w:rFonts w:hint="default" w:ascii="Times New Roman" w:hAnsi="Times New Roman" w:eastAsia="楷体_GB2312" w:cs="Times New Roman"/>
          <w:b/>
          <w:sz w:val="32"/>
          <w:szCs w:val="32"/>
        </w:rPr>
        <w:t>（一）“三公”经费财政拨款支出决算总体情况说明</w:t>
      </w:r>
      <w:bookmarkEnd w:id="3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 w:cs="Times New Roman"/>
          <w:sz w:val="32"/>
          <w:szCs w:val="32"/>
          <w:lang w:val="en-US" w:eastAsia="zh-CN"/>
        </w:rPr>
        <w:t>2022年“三公”经费财政拨款支出决算为1.37万元，完成预算100%，较上年增加1.09万元，增长389.28%。决算数与预算数持平。</w:t>
      </w:r>
    </w:p>
    <w:p>
      <w:pPr>
        <w:spacing w:line="600" w:lineRule="exact"/>
        <w:ind w:firstLine="643" w:firstLineChars="200"/>
        <w:outlineLvl w:val="2"/>
        <w:rPr>
          <w:rFonts w:hint="default" w:ascii="Times New Roman" w:hAnsi="Times New Roman" w:eastAsia="楷体_GB2312" w:cs="Times New Roman"/>
          <w:b/>
          <w:sz w:val="32"/>
          <w:szCs w:val="32"/>
        </w:rPr>
      </w:pPr>
      <w:bookmarkStart w:id="34" w:name="_Toc15377217"/>
      <w:r>
        <w:rPr>
          <w:rFonts w:hint="default" w:ascii="Times New Roman" w:hAnsi="Times New Roman" w:eastAsia="楷体_GB2312" w:cs="Times New Roman"/>
          <w:b/>
          <w:sz w:val="32"/>
          <w:szCs w:val="32"/>
        </w:rPr>
        <w:t>（二）“三公”经费财政拨款支出决算具体情况说明</w:t>
      </w:r>
      <w:bookmarkEnd w:id="3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2022年“三公”经费财政拨款支出决算中，因公出国（境）费支出决算0万元，占0%；公务用车购置及运行维护费支出决算1.21万元，占88.32%；公务接待费支出决算0.16万元，占11.68%。具体情况如下：</w:t>
      </w:r>
    </w:p>
    <w:p>
      <w:pPr>
        <w:pStyle w:val="2"/>
        <w:rPr>
          <w:rFonts w:hint="default" w:ascii="Times New Roman" w:hAnsi="Times New Roman" w:eastAsia="仿宋" w:cs="Times New Roman"/>
          <w:sz w:val="32"/>
          <w:szCs w:val="32"/>
        </w:rPr>
      </w:pPr>
      <w:r>
        <w:rPr>
          <w:rFonts w:hint="default" w:ascii="Times New Roman" w:hAnsi="Times New Roman" w:cs="Times New Roman"/>
        </w:rPr>
        <w:drawing>
          <wp:inline distT="0" distB="0" distL="0" distR="0">
            <wp:extent cx="5170170" cy="2409825"/>
            <wp:effectExtent l="4445" t="4445" r="6985"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（图7：“三公”经费财政拨款支出结构）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1.因公出国（境）经费支出0万元，完成预算0%。全年安排因公出国（境）团组0次，出国（境）0人。因公出国（境）支出决算与2021年因公出国（境）支出决算数均为0。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2.公务用车购置及运行维护费支出1.21万元,完成预算100%。公务用车购置及运行维护费支出决算比2021年增加1.02万元，增长536.84%。主要原因是2021年产生的公务用车运行维护费较大金额在2022年完成支付。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其中：公务用车购置支出0万元。全年按规定更新购置公务用车0辆，其中：轿车0辆、金额0万元，越野车0辆、金额0万元，载客汽车0辆、金额0万元。截至2022年12月底，单位共有公务用车1辆，其中：轿车1辆、越野车0辆、载客汽车0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公务用车运行维护费支出1.21万元。主要用于保障单位正常运转及完成特定工作任务等所需的公务用车燃料费、维修费、过路过桥费、保险费等支出。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3.公务接待费支出0.16万元，完成预算100%。公务接待费支出决算比2021年增加0.07万元，增长77.78%。主要原因是接待省民政厅康复医院工作人员来我院办事相关事务的晚餐费用。其中：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国内公务接待支出0.16万元，主要用于接待四川省民政康复医院工作人员来我院开展“明天计划”项目复查工作的用餐费用。国内公务接待1批次，6人次（不包括陪同人员），共计支出0.16万元，具体内容包括：四川省民政康复医院6名工作人员来我院开展“明天计划”项目复查工作的用餐费用0.16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外事接待支出0万元，无接待。外事接待0批次，0人次（不包括陪同人员），共计支出0万元。</w:t>
      </w:r>
      <w:bookmarkStart w:id="35" w:name="_Toc15377218"/>
      <w:bookmarkStart w:id="36" w:name="_Toc15396610"/>
    </w:p>
    <w:p>
      <w:pPr>
        <w:spacing w:line="600" w:lineRule="exact"/>
        <w:ind w:firstLine="640"/>
        <w:outlineLvl w:val="1"/>
        <w:rPr>
          <w:rStyle w:val="25"/>
          <w:rFonts w:hint="default" w:ascii="Times New Roman" w:hAnsi="Times New Roman" w:eastAsia="黑体" w:cs="Times New Roman"/>
        </w:rPr>
      </w:pPr>
      <w:r>
        <w:rPr>
          <w:rFonts w:hint="default" w:ascii="Times New Roman" w:hAnsi="Times New Roman" w:eastAsia="黑体" w:cs="Times New Roman"/>
          <w:sz w:val="32"/>
          <w:szCs w:val="32"/>
        </w:rPr>
        <w:t>八、</w:t>
      </w:r>
      <w:r>
        <w:rPr>
          <w:rStyle w:val="25"/>
          <w:rFonts w:hint="default" w:ascii="Times New Roman" w:hAnsi="Times New Roman" w:eastAsia="黑体" w:cs="Times New Roman"/>
          <w:b w:val="0"/>
        </w:rPr>
        <w:t>政府性基金预算支出决算情况说明</w:t>
      </w:r>
      <w:bookmarkEnd w:id="35"/>
      <w:bookmarkEnd w:id="3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 w:cs="Times New Roman"/>
          <w:sz w:val="32"/>
          <w:szCs w:val="32"/>
          <w:lang w:val="en-US" w:eastAsia="zh-CN"/>
        </w:rPr>
        <w:t>2022年政府性基金预算财政拨款支出39.73万元。</w:t>
      </w:r>
    </w:p>
    <w:p>
      <w:pPr>
        <w:numPr>
          <w:ilvl w:val="0"/>
          <w:numId w:val="3"/>
        </w:numPr>
        <w:spacing w:line="600" w:lineRule="exact"/>
        <w:ind w:firstLine="640"/>
        <w:outlineLvl w:val="1"/>
        <w:rPr>
          <w:rStyle w:val="25"/>
          <w:rFonts w:hint="default" w:ascii="Times New Roman" w:hAnsi="Times New Roman" w:eastAsia="黑体" w:cs="Times New Roman"/>
          <w:b w:val="0"/>
        </w:rPr>
      </w:pPr>
      <w:bookmarkStart w:id="37" w:name="_Toc15396611"/>
      <w:bookmarkStart w:id="38" w:name="_Toc15377219"/>
      <w:r>
        <w:rPr>
          <w:rStyle w:val="25"/>
          <w:rFonts w:hint="default" w:ascii="Times New Roman" w:hAnsi="Times New Roman" w:eastAsia="黑体" w:cs="Times New Roman"/>
          <w:b w:val="0"/>
        </w:rPr>
        <w:t>国有资本经营预算支出决算情况说明</w:t>
      </w:r>
      <w:bookmarkEnd w:id="37"/>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2022年国有资本经营预算财政拨款支出0万元。</w:t>
      </w:r>
    </w:p>
    <w:p>
      <w:pPr>
        <w:numPr>
          <w:ilvl w:val="0"/>
          <w:numId w:val="3"/>
        </w:numPr>
        <w:spacing w:line="600" w:lineRule="exact"/>
        <w:ind w:firstLine="640"/>
        <w:outlineLvl w:val="1"/>
        <w:rPr>
          <w:rStyle w:val="25"/>
          <w:rFonts w:hint="default" w:ascii="Times New Roman" w:hAnsi="Times New Roman" w:eastAsia="黑体" w:cs="Times New Roman"/>
          <w:b w:val="0"/>
        </w:rPr>
      </w:pPr>
      <w:bookmarkStart w:id="39" w:name="_Toc15377221"/>
      <w:bookmarkStart w:id="40" w:name="_Toc15396612"/>
      <w:r>
        <w:rPr>
          <w:rStyle w:val="25"/>
          <w:rFonts w:hint="default" w:ascii="Times New Roman" w:hAnsi="Times New Roman" w:eastAsia="黑体" w:cs="Times New Roman"/>
          <w:b w:val="0"/>
        </w:rPr>
        <w:t>其他重要事项的情况说明</w:t>
      </w:r>
      <w:bookmarkEnd w:id="39"/>
      <w:bookmarkEnd w:id="40"/>
    </w:p>
    <w:p>
      <w:pPr>
        <w:spacing w:line="600" w:lineRule="exact"/>
        <w:ind w:firstLine="643" w:firstLineChars="200"/>
        <w:outlineLvl w:val="2"/>
        <w:rPr>
          <w:rFonts w:hint="default" w:ascii="Times New Roman" w:hAnsi="Times New Roman" w:eastAsia="楷体_GB2312" w:cs="Times New Roman"/>
          <w:b/>
          <w:sz w:val="32"/>
          <w:szCs w:val="32"/>
        </w:rPr>
      </w:pPr>
      <w:bookmarkStart w:id="41" w:name="_Toc15377222"/>
      <w:r>
        <w:rPr>
          <w:rFonts w:hint="default" w:ascii="Times New Roman" w:hAnsi="Times New Roman" w:eastAsia="楷体_GB2312" w:cs="Times New Roman"/>
          <w:b/>
          <w:sz w:val="32"/>
          <w:szCs w:val="32"/>
        </w:rPr>
        <w:t>（一）机关运行经费支出情况</w:t>
      </w:r>
      <w:bookmarkEnd w:id="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2022年，机关运行经费支出0万元，与2021年决算数持平。主要原因是2021年和2022年均无机关运行经费。</w:t>
      </w:r>
    </w:p>
    <w:p>
      <w:pPr>
        <w:spacing w:line="600" w:lineRule="exact"/>
        <w:ind w:firstLine="643" w:firstLineChars="200"/>
        <w:outlineLvl w:val="2"/>
        <w:rPr>
          <w:rFonts w:hint="default" w:ascii="Times New Roman" w:hAnsi="Times New Roman" w:eastAsia="楷体_GB2312" w:cs="Times New Roman"/>
          <w:b/>
          <w:sz w:val="32"/>
          <w:szCs w:val="32"/>
        </w:rPr>
      </w:pPr>
      <w:bookmarkStart w:id="42" w:name="_Toc15377223"/>
      <w:r>
        <w:rPr>
          <w:rFonts w:hint="default" w:ascii="Times New Roman" w:hAnsi="Times New Roman" w:eastAsia="楷体_GB2312" w:cs="Times New Roman"/>
          <w:b/>
          <w:sz w:val="32"/>
          <w:szCs w:val="32"/>
        </w:rPr>
        <w:t>（二）政府采购支出情况</w:t>
      </w:r>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攀枝花市儿童福利院政府采购支出总额43.79万元，其中：政府采购货物支出5.10万元、政府采购工程支出0万元、政府采购服务支出38.69万元。主要用于政府采购设备（空调）5.1万元和政府采购“养治康教社”服务支出38.69万元。授予中小企业合同金额60.29万元，占政府采购支出总额的100%，其中：授予小微企业合同金额0万元，占政府采购支出总额的0%。</w:t>
      </w:r>
    </w:p>
    <w:p>
      <w:pPr>
        <w:spacing w:line="600" w:lineRule="exact"/>
        <w:ind w:firstLine="643" w:firstLineChars="200"/>
        <w:outlineLvl w:val="2"/>
        <w:rPr>
          <w:rFonts w:hint="default" w:ascii="Times New Roman" w:hAnsi="Times New Roman" w:eastAsia="楷体_GB2312" w:cs="Times New Roman"/>
          <w:b/>
          <w:sz w:val="32"/>
          <w:szCs w:val="32"/>
        </w:rPr>
      </w:pPr>
      <w:bookmarkStart w:id="43" w:name="_Toc15377224"/>
      <w:r>
        <w:rPr>
          <w:rFonts w:hint="default" w:ascii="Times New Roman" w:hAnsi="Times New Roman" w:eastAsia="楷体_GB2312" w:cs="Times New Roman"/>
          <w:b/>
          <w:sz w:val="32"/>
          <w:szCs w:val="32"/>
        </w:rPr>
        <w:t>（三）国有资产占有使用情况</w:t>
      </w:r>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截至2022年12月31日，攀枝花市儿童福利院共有车辆1辆，其中：主要领导干部用车1辆、机要通信用车0辆、应急保障用车0辆、其他用车0辆。单价100万元以上专用设备0台（套）。</w:t>
      </w:r>
    </w:p>
    <w:p>
      <w:pPr>
        <w:spacing w:line="600" w:lineRule="exact"/>
        <w:ind w:firstLine="643" w:firstLineChars="200"/>
        <w:outlineLvl w:val="2"/>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（四）预算绩效管理情况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预算绩效管理要求，本单位在2022年度预算编制阶段，组织对孤儿收养费项目1个项目开展了预算事前绩效评估，对1个项目编制了绩效目标，预算执行过程中，选取9个项目开展绩效监控，组织对8个项目开展绩效自评，绩效自评表详见第四部分附件。</w:t>
      </w: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widowControl/>
        <w:jc w:val="left"/>
        <w:rPr>
          <w:rFonts w:hint="default" w:ascii="Times New Roman" w:hAnsi="Times New Roman" w:eastAsia="仿宋_GB2312" w:cs="Times New Roman"/>
          <w:b/>
          <w:sz w:val="32"/>
          <w:szCs w:val="32"/>
        </w:rPr>
      </w:pPr>
    </w:p>
    <w:p>
      <w:pPr>
        <w:numPr>
          <w:ilvl w:val="0"/>
          <w:numId w:val="4"/>
        </w:numPr>
        <w:spacing w:line="600" w:lineRule="exact"/>
        <w:ind w:firstLine="660" w:firstLineChars="150"/>
        <w:jc w:val="center"/>
        <w:outlineLvl w:val="0"/>
        <w:rPr>
          <w:rStyle w:val="24"/>
          <w:rFonts w:hint="default" w:ascii="Times New Roman" w:hAnsi="Times New Roman" w:eastAsia="黑体" w:cs="Times New Roman"/>
          <w:b w:val="0"/>
        </w:rPr>
      </w:pPr>
      <w:bookmarkStart w:id="44" w:name="_Toc15396613"/>
      <w:bookmarkStart w:id="45" w:name="_Toc15377225"/>
      <w:r>
        <w:rPr>
          <w:rFonts w:hint="default" w:ascii="Times New Roman" w:hAnsi="Times New Roman" w:eastAsia="黑体" w:cs="Times New Roman"/>
          <w:sz w:val="44"/>
          <w:szCs w:val="44"/>
        </w:rPr>
        <w:t>名</w:t>
      </w:r>
      <w:r>
        <w:rPr>
          <w:rStyle w:val="24"/>
          <w:rFonts w:hint="default" w:ascii="Times New Roman" w:hAnsi="Times New Roman" w:eastAsia="黑体" w:cs="Times New Roman"/>
          <w:b w:val="0"/>
        </w:rPr>
        <w:t>词解释</w:t>
      </w:r>
      <w:bookmarkEnd w:id="44"/>
      <w:bookmarkEnd w:id="45"/>
    </w:p>
    <w:p>
      <w:pPr>
        <w:spacing w:line="600" w:lineRule="exact"/>
        <w:ind w:firstLine="640" w:firstLineChars="200"/>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2. 年初结转和结余：指以前年度尚未完成、结转到本年按有关规定继续使用的资金。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3.结余分配：指事业单位按照会计制度规定缴纳的所得税、提取的专用结余以及转入非财政拨款结余的金额等。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5.社会保障和就业（类）行政事业单位养老支出（款）事业单位离退休（项）：反映事业单位开支的离退休经费。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6.社会保障和就业（类）行政事业单位养老支出（款）      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7.社会保障和就业（类）社会福利（款）儿童福利（项）: 反映对儿童提供福利服务方面的支出。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8. 住房保障支出（类）住房改革支出（款）住房公积金（项）: 反映机关事业单位住房公积金方面的支出。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9.社会保障和就业（类）其他社会保障和就业支出（款）其他社会保障和就业支出（项）：反映其他用于社会保障和就业方面的支出。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10.基本支出：指为保障机构正常运转、完成日常工作任务而发生的人员支出和公用支出。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11.项目支出：指在基本支出之外为完成特定行政任务和事业发展目标所发生的支出。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12.“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Style w:val="24"/>
          <w:rFonts w:hint="default" w:ascii="Times New Roman" w:hAnsi="Times New Roman" w:eastAsia="黑体" w:cs="Times New Roman"/>
          <w:b w:val="0"/>
        </w:rPr>
      </w:pPr>
      <w:bookmarkStart w:id="46" w:name="_Toc15377226"/>
      <w:r>
        <w:rPr>
          <w:rFonts w:hint="default" w:ascii="Times New Roman" w:hAnsi="Times New Roman" w:eastAsia="仿宋_GB2312" w:cs="Times New Roman"/>
          <w:sz w:val="32"/>
          <w:szCs w:val="32"/>
          <w:lang w:val="en-US" w:eastAsia="zh-CN"/>
        </w:rPr>
        <w:br w:type="page"/>
      </w:r>
      <w:bookmarkStart w:id="47" w:name="_Toc15396614"/>
      <w:r>
        <w:rPr>
          <w:rFonts w:hint="default" w:ascii="Times New Roman" w:hAnsi="Times New Roman" w:eastAsia="黑体" w:cs="Times New Roman"/>
          <w:sz w:val="44"/>
          <w:szCs w:val="44"/>
        </w:rPr>
        <w:t>第</w:t>
      </w:r>
      <w:r>
        <w:rPr>
          <w:rStyle w:val="24"/>
          <w:rFonts w:hint="default" w:ascii="Times New Roman" w:hAnsi="Times New Roman" w:eastAsia="黑体" w:cs="Times New Roman"/>
          <w:b w:val="0"/>
        </w:rPr>
        <w:t>四部分 附件</w:t>
      </w:r>
      <w:bookmarkEnd w:id="47"/>
    </w:p>
    <w:p>
      <w:pPr>
        <w:spacing w:line="572" w:lineRule="exact"/>
        <w:jc w:val="left"/>
        <w:outlineLvl w:val="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 w:cs="Times New Roman"/>
          <w:sz w:val="32"/>
          <w:szCs w:val="32"/>
          <w:lang w:val="en-US" w:eastAsia="zh-CN"/>
        </w:rPr>
      </w:pPr>
      <w:bookmarkStart w:id="48" w:name="_Toc15396618"/>
      <w:r>
        <w:rPr>
          <w:rFonts w:hint="default" w:ascii="Times New Roman" w:hAnsi="Times New Roman" w:eastAsia="仿宋" w:cs="Times New Roman"/>
          <w:sz w:val="32"/>
          <w:szCs w:val="32"/>
          <w:lang w:val="en-US" w:eastAsia="zh-CN"/>
        </w:rPr>
        <w:t>预算项目支出绩效自评表（2022年度）见附件3</w:t>
      </w:r>
    </w:p>
    <w:p>
      <w:pPr>
        <w:spacing w:line="600" w:lineRule="exact"/>
        <w:ind w:firstLine="640" w:firstLineChars="200"/>
        <w:rPr>
          <w:rFonts w:hint="default" w:ascii="Times New Roman" w:hAnsi="Times New Roman" w:eastAsia="仿宋_GB2312" w:cs="Times New Roman"/>
          <w:sz w:val="32"/>
          <w:szCs w:val="32"/>
          <w:lang w:val="en-US" w:eastAsia="zh-CN"/>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both"/>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仿宋" w:cs="Times New Roman"/>
        </w:rPr>
      </w:pPr>
      <w:r>
        <w:rPr>
          <w:rFonts w:hint="default" w:ascii="Times New Roman" w:hAnsi="Times New Roman" w:eastAsia="黑体" w:cs="Times New Roman"/>
          <w:sz w:val="44"/>
          <w:szCs w:val="44"/>
        </w:rPr>
        <w:t>第</w:t>
      </w:r>
      <w:r>
        <w:rPr>
          <w:rStyle w:val="24"/>
          <w:rFonts w:hint="default" w:ascii="Times New Roman" w:hAnsi="Times New Roman" w:eastAsia="黑体" w:cs="Times New Roman"/>
          <w:b w:val="0"/>
        </w:rPr>
        <w:t>五部分 附表</w:t>
      </w:r>
      <w:bookmarkEnd w:id="46"/>
      <w:bookmarkEnd w:id="48"/>
      <w:bookmarkStart w:id="49" w:name="_Toc15396619"/>
    </w:p>
    <w:p>
      <w:pPr>
        <w:pStyle w:val="4"/>
        <w:keepNext/>
        <w:keepLines/>
        <w:pageBreakBefore w:val="0"/>
        <w:widowControl w:val="0"/>
        <w:kinsoku/>
        <w:wordWrap/>
        <w:overflowPunct/>
        <w:topLinePunct w:val="0"/>
        <w:autoSpaceDE/>
        <w:autoSpaceDN/>
        <w:bidi w:val="0"/>
        <w:adjustRightInd/>
        <w:snapToGrid/>
        <w:spacing w:line="560" w:lineRule="exact"/>
        <w:textAlignment w:val="auto"/>
        <w:rPr>
          <w:rStyle w:val="25"/>
          <w:rFonts w:hint="default" w:ascii="Times New Roman" w:hAnsi="Times New Roman" w:eastAsia="仿宋" w:cs="Times New Roman"/>
          <w:b w:val="0"/>
          <w:bCs w:val="0"/>
        </w:rPr>
      </w:pPr>
      <w:r>
        <w:rPr>
          <w:rStyle w:val="25"/>
          <w:rFonts w:hint="default" w:ascii="Times New Roman" w:hAnsi="Times New Roman" w:eastAsia="仿宋" w:cs="Times New Roman"/>
          <w:b w:val="0"/>
          <w:bCs w:val="0"/>
        </w:rPr>
        <w:t>一、收入支出决算总表</w:t>
      </w:r>
      <w:bookmarkEnd w:id="49"/>
    </w:p>
    <w:p>
      <w:pPr>
        <w:pStyle w:val="4"/>
        <w:keepNext/>
        <w:keepLines/>
        <w:pageBreakBefore w:val="0"/>
        <w:widowControl w:val="0"/>
        <w:kinsoku/>
        <w:wordWrap/>
        <w:overflowPunct/>
        <w:topLinePunct w:val="0"/>
        <w:autoSpaceDE/>
        <w:autoSpaceDN/>
        <w:bidi w:val="0"/>
        <w:adjustRightInd/>
        <w:snapToGrid/>
        <w:spacing w:line="560" w:lineRule="exact"/>
        <w:textAlignment w:val="auto"/>
        <w:rPr>
          <w:rStyle w:val="25"/>
          <w:rFonts w:hint="default" w:ascii="Times New Roman" w:hAnsi="Times New Roman" w:eastAsia="仿宋" w:cs="Times New Roman"/>
          <w:b w:val="0"/>
          <w:bCs w:val="0"/>
        </w:rPr>
      </w:pPr>
      <w:bookmarkStart w:id="50" w:name="_Toc15396620"/>
      <w:r>
        <w:rPr>
          <w:rStyle w:val="25"/>
          <w:rFonts w:hint="default" w:ascii="Times New Roman" w:hAnsi="Times New Roman" w:eastAsia="仿宋" w:cs="Times New Roman"/>
          <w:b w:val="0"/>
          <w:bCs w:val="0"/>
        </w:rPr>
        <w:t>二、收入决算表</w:t>
      </w:r>
      <w:bookmarkEnd w:id="50"/>
    </w:p>
    <w:p>
      <w:pPr>
        <w:pStyle w:val="4"/>
        <w:keepNext/>
        <w:keepLines/>
        <w:pageBreakBefore w:val="0"/>
        <w:widowControl w:val="0"/>
        <w:kinsoku/>
        <w:wordWrap/>
        <w:overflowPunct/>
        <w:topLinePunct w:val="0"/>
        <w:autoSpaceDE/>
        <w:autoSpaceDN/>
        <w:bidi w:val="0"/>
        <w:adjustRightInd/>
        <w:snapToGrid/>
        <w:spacing w:line="560" w:lineRule="exact"/>
        <w:textAlignment w:val="auto"/>
        <w:rPr>
          <w:rStyle w:val="25"/>
          <w:rFonts w:hint="default" w:ascii="Times New Roman" w:hAnsi="Times New Roman" w:eastAsia="仿宋" w:cs="Times New Roman"/>
          <w:b w:val="0"/>
          <w:bCs w:val="0"/>
        </w:rPr>
      </w:pPr>
      <w:bookmarkStart w:id="51" w:name="_Toc15396621"/>
      <w:r>
        <w:rPr>
          <w:rStyle w:val="25"/>
          <w:rFonts w:hint="default" w:ascii="Times New Roman" w:hAnsi="Times New Roman" w:eastAsia="仿宋" w:cs="Times New Roman"/>
          <w:b w:val="0"/>
          <w:bCs w:val="0"/>
        </w:rPr>
        <w:t>三、支出决算表</w:t>
      </w:r>
      <w:bookmarkEnd w:id="51"/>
    </w:p>
    <w:p>
      <w:pPr>
        <w:pStyle w:val="4"/>
        <w:keepNext/>
        <w:keepLines/>
        <w:pageBreakBefore w:val="0"/>
        <w:widowControl w:val="0"/>
        <w:kinsoku/>
        <w:wordWrap/>
        <w:overflowPunct/>
        <w:topLinePunct w:val="0"/>
        <w:autoSpaceDE/>
        <w:autoSpaceDN/>
        <w:bidi w:val="0"/>
        <w:adjustRightInd/>
        <w:snapToGrid/>
        <w:spacing w:line="560" w:lineRule="exact"/>
        <w:textAlignment w:val="auto"/>
        <w:rPr>
          <w:rStyle w:val="25"/>
          <w:rFonts w:hint="default" w:ascii="Times New Roman" w:hAnsi="Times New Roman" w:eastAsia="仿宋" w:cs="Times New Roman"/>
          <w:b w:val="0"/>
          <w:bCs w:val="0"/>
        </w:rPr>
      </w:pPr>
      <w:bookmarkStart w:id="52" w:name="_Toc15396622"/>
      <w:r>
        <w:rPr>
          <w:rStyle w:val="25"/>
          <w:rFonts w:hint="default" w:ascii="Times New Roman" w:hAnsi="Times New Roman" w:eastAsia="仿宋" w:cs="Times New Roman"/>
          <w:b w:val="0"/>
          <w:bCs w:val="0"/>
        </w:rPr>
        <w:t>四、财政拨款收入支出决算总表</w:t>
      </w:r>
      <w:bookmarkEnd w:id="52"/>
    </w:p>
    <w:p>
      <w:pPr>
        <w:pStyle w:val="4"/>
        <w:keepNext/>
        <w:keepLines/>
        <w:pageBreakBefore w:val="0"/>
        <w:widowControl w:val="0"/>
        <w:kinsoku/>
        <w:wordWrap/>
        <w:overflowPunct/>
        <w:topLinePunct w:val="0"/>
        <w:autoSpaceDE/>
        <w:autoSpaceDN/>
        <w:bidi w:val="0"/>
        <w:adjustRightInd/>
        <w:snapToGrid/>
        <w:spacing w:line="560" w:lineRule="exact"/>
        <w:textAlignment w:val="auto"/>
        <w:rPr>
          <w:rStyle w:val="25"/>
          <w:rFonts w:hint="default" w:ascii="Times New Roman" w:hAnsi="Times New Roman" w:eastAsia="仿宋" w:cs="Times New Roman"/>
          <w:b w:val="0"/>
          <w:bCs w:val="0"/>
        </w:rPr>
      </w:pPr>
      <w:bookmarkStart w:id="53" w:name="_Toc15396623"/>
      <w:r>
        <w:rPr>
          <w:rStyle w:val="25"/>
          <w:rFonts w:hint="default" w:ascii="Times New Roman" w:hAnsi="Times New Roman" w:eastAsia="仿宋" w:cs="Times New Roman"/>
          <w:b w:val="0"/>
          <w:bCs w:val="0"/>
        </w:rPr>
        <w:t>五、财政拨款支出决算明细表</w:t>
      </w:r>
      <w:bookmarkEnd w:id="53"/>
      <w:bookmarkStart w:id="54" w:name="_Toc15396624"/>
    </w:p>
    <w:p>
      <w:pPr>
        <w:pStyle w:val="4"/>
        <w:keepNext/>
        <w:keepLines/>
        <w:pageBreakBefore w:val="0"/>
        <w:widowControl w:val="0"/>
        <w:kinsoku/>
        <w:wordWrap/>
        <w:overflowPunct/>
        <w:topLinePunct w:val="0"/>
        <w:autoSpaceDE/>
        <w:autoSpaceDN/>
        <w:bidi w:val="0"/>
        <w:adjustRightInd/>
        <w:snapToGrid/>
        <w:spacing w:line="560" w:lineRule="exact"/>
        <w:textAlignment w:val="auto"/>
        <w:rPr>
          <w:rStyle w:val="25"/>
          <w:rFonts w:hint="default" w:ascii="Times New Roman" w:hAnsi="Times New Roman" w:eastAsia="仿宋" w:cs="Times New Roman"/>
          <w:b w:val="0"/>
          <w:bCs w:val="0"/>
        </w:rPr>
      </w:pPr>
      <w:r>
        <w:rPr>
          <w:rStyle w:val="25"/>
          <w:rFonts w:hint="default" w:ascii="Times New Roman" w:hAnsi="Times New Roman" w:eastAsia="仿宋" w:cs="Times New Roman"/>
          <w:b w:val="0"/>
          <w:bCs w:val="0"/>
        </w:rPr>
        <w:t>六、一般公共预算财政拨款支出决算表</w:t>
      </w:r>
      <w:bookmarkEnd w:id="54"/>
    </w:p>
    <w:p>
      <w:pPr>
        <w:pStyle w:val="4"/>
        <w:keepNext/>
        <w:keepLines/>
        <w:pageBreakBefore w:val="0"/>
        <w:widowControl w:val="0"/>
        <w:kinsoku/>
        <w:wordWrap/>
        <w:overflowPunct/>
        <w:topLinePunct w:val="0"/>
        <w:autoSpaceDE/>
        <w:autoSpaceDN/>
        <w:bidi w:val="0"/>
        <w:adjustRightInd/>
        <w:snapToGrid/>
        <w:spacing w:line="560" w:lineRule="exact"/>
        <w:textAlignment w:val="auto"/>
        <w:rPr>
          <w:rStyle w:val="25"/>
          <w:rFonts w:hint="default" w:ascii="Times New Roman" w:hAnsi="Times New Roman" w:eastAsia="仿宋" w:cs="Times New Roman"/>
          <w:b w:val="0"/>
          <w:bCs w:val="0"/>
        </w:rPr>
      </w:pPr>
      <w:bookmarkStart w:id="55" w:name="_Toc15396625"/>
      <w:r>
        <w:rPr>
          <w:rStyle w:val="25"/>
          <w:rFonts w:hint="default" w:ascii="Times New Roman" w:hAnsi="Times New Roman" w:eastAsia="仿宋" w:cs="Times New Roman"/>
          <w:b w:val="0"/>
          <w:bCs w:val="0"/>
        </w:rPr>
        <w:t>七、一般公共预算财政拨款支出决算明细表</w:t>
      </w:r>
      <w:bookmarkEnd w:id="55"/>
    </w:p>
    <w:p>
      <w:pPr>
        <w:pStyle w:val="4"/>
        <w:keepNext/>
        <w:keepLines/>
        <w:pageBreakBefore w:val="0"/>
        <w:widowControl w:val="0"/>
        <w:kinsoku/>
        <w:wordWrap/>
        <w:overflowPunct/>
        <w:topLinePunct w:val="0"/>
        <w:autoSpaceDE/>
        <w:autoSpaceDN/>
        <w:bidi w:val="0"/>
        <w:adjustRightInd/>
        <w:snapToGrid/>
        <w:spacing w:line="560" w:lineRule="exact"/>
        <w:textAlignment w:val="auto"/>
        <w:rPr>
          <w:rStyle w:val="25"/>
          <w:rFonts w:hint="default" w:ascii="Times New Roman" w:hAnsi="Times New Roman" w:eastAsia="仿宋" w:cs="Times New Roman"/>
          <w:b w:val="0"/>
          <w:bCs w:val="0"/>
        </w:rPr>
      </w:pPr>
      <w:bookmarkStart w:id="56" w:name="_Toc15396626"/>
      <w:r>
        <w:rPr>
          <w:rStyle w:val="25"/>
          <w:rFonts w:hint="default" w:ascii="Times New Roman" w:hAnsi="Times New Roman" w:eastAsia="仿宋" w:cs="Times New Roman"/>
          <w:b w:val="0"/>
          <w:bCs w:val="0"/>
        </w:rPr>
        <w:t>八、一般公共预算财政拨款基本支出决算表</w:t>
      </w:r>
      <w:bookmarkEnd w:id="56"/>
    </w:p>
    <w:p>
      <w:pPr>
        <w:pStyle w:val="4"/>
        <w:keepNext/>
        <w:keepLines/>
        <w:pageBreakBefore w:val="0"/>
        <w:widowControl w:val="0"/>
        <w:kinsoku/>
        <w:wordWrap/>
        <w:overflowPunct/>
        <w:topLinePunct w:val="0"/>
        <w:autoSpaceDE/>
        <w:autoSpaceDN/>
        <w:bidi w:val="0"/>
        <w:adjustRightInd/>
        <w:snapToGrid/>
        <w:spacing w:line="560" w:lineRule="exact"/>
        <w:textAlignment w:val="auto"/>
        <w:rPr>
          <w:rStyle w:val="25"/>
          <w:rFonts w:hint="default" w:ascii="Times New Roman" w:hAnsi="Times New Roman" w:eastAsia="仿宋" w:cs="Times New Roman"/>
          <w:b w:val="0"/>
          <w:bCs w:val="0"/>
        </w:rPr>
      </w:pPr>
      <w:bookmarkStart w:id="57" w:name="_Toc15396627"/>
      <w:r>
        <w:rPr>
          <w:rStyle w:val="25"/>
          <w:rFonts w:hint="default" w:ascii="Times New Roman" w:hAnsi="Times New Roman" w:eastAsia="仿宋" w:cs="Times New Roman"/>
          <w:b w:val="0"/>
          <w:bCs w:val="0"/>
        </w:rPr>
        <w:t>九、一般公共预算财政拨款项目支出决算表</w:t>
      </w:r>
      <w:bookmarkEnd w:id="57"/>
    </w:p>
    <w:p>
      <w:pPr>
        <w:pStyle w:val="4"/>
        <w:keepNext/>
        <w:keepLines/>
        <w:pageBreakBefore w:val="0"/>
        <w:widowControl w:val="0"/>
        <w:kinsoku/>
        <w:wordWrap/>
        <w:overflowPunct/>
        <w:topLinePunct w:val="0"/>
        <w:autoSpaceDE/>
        <w:autoSpaceDN/>
        <w:bidi w:val="0"/>
        <w:adjustRightInd/>
        <w:snapToGrid/>
        <w:spacing w:line="560" w:lineRule="exact"/>
        <w:textAlignment w:val="auto"/>
        <w:rPr>
          <w:rStyle w:val="25"/>
          <w:rFonts w:hint="default" w:ascii="Times New Roman" w:hAnsi="Times New Roman" w:eastAsia="仿宋" w:cs="Times New Roman"/>
          <w:b w:val="0"/>
          <w:bCs w:val="0"/>
        </w:rPr>
      </w:pPr>
      <w:bookmarkStart w:id="58" w:name="_Toc15396628"/>
      <w:r>
        <w:rPr>
          <w:rStyle w:val="25"/>
          <w:rFonts w:hint="default" w:ascii="Times New Roman" w:hAnsi="Times New Roman" w:eastAsia="仿宋" w:cs="Times New Roman"/>
          <w:b w:val="0"/>
          <w:bCs w:val="0"/>
        </w:rPr>
        <w:t>十、</w:t>
      </w:r>
      <w:bookmarkEnd w:id="58"/>
      <w:r>
        <w:rPr>
          <w:rStyle w:val="25"/>
          <w:rFonts w:hint="default" w:ascii="Times New Roman" w:hAnsi="Times New Roman" w:eastAsia="仿宋" w:cs="Times New Roman"/>
          <w:b w:val="0"/>
          <w:bCs w:val="0"/>
        </w:rPr>
        <w:t>政府性基金预算财政拨款收入支出决算表</w:t>
      </w:r>
    </w:p>
    <w:p>
      <w:pPr>
        <w:pStyle w:val="4"/>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rPr>
      </w:pPr>
      <w:bookmarkStart w:id="59" w:name="_Toc15396629"/>
      <w:r>
        <w:rPr>
          <w:rStyle w:val="25"/>
          <w:rFonts w:hint="default" w:ascii="Times New Roman" w:hAnsi="Times New Roman" w:eastAsia="仿宋" w:cs="Times New Roman"/>
          <w:b w:val="0"/>
          <w:bCs w:val="0"/>
        </w:rPr>
        <w:t>十一、</w:t>
      </w:r>
      <w:bookmarkEnd w:id="59"/>
      <w:r>
        <w:rPr>
          <w:rFonts w:hint="default" w:ascii="Times New Roman" w:hAnsi="Times New Roman" w:eastAsia="仿宋" w:cs="Times New Roman"/>
          <w:b w:val="0"/>
        </w:rPr>
        <w:t>国</w:t>
      </w:r>
      <w:r>
        <w:rPr>
          <w:rStyle w:val="25"/>
          <w:rFonts w:hint="default" w:ascii="Times New Roman" w:hAnsi="Times New Roman" w:eastAsia="仿宋" w:cs="Times New Roman"/>
          <w:b w:val="0"/>
          <w:bCs w:val="0"/>
        </w:rPr>
        <w:t>有资本经营预算财政拨款收入支出决算表</w:t>
      </w:r>
    </w:p>
    <w:p>
      <w:pPr>
        <w:pStyle w:val="4"/>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rPr>
      </w:pPr>
      <w:bookmarkStart w:id="60" w:name="_Toc15396630"/>
      <w:r>
        <w:rPr>
          <w:rStyle w:val="25"/>
          <w:rFonts w:hint="default" w:ascii="Times New Roman" w:hAnsi="Times New Roman" w:eastAsia="仿宋" w:cs="Times New Roman"/>
          <w:b w:val="0"/>
          <w:bCs w:val="0"/>
        </w:rPr>
        <w:t>十二、</w:t>
      </w:r>
      <w:bookmarkEnd w:id="60"/>
      <w:r>
        <w:rPr>
          <w:rStyle w:val="25"/>
          <w:rFonts w:hint="default" w:ascii="Times New Roman" w:hAnsi="Times New Roman" w:eastAsia="仿宋" w:cs="Times New Roman"/>
          <w:b w:val="0"/>
          <w:bCs w:val="0"/>
        </w:rPr>
        <w:t>国有资本经营预算财政拨款支出决算表</w:t>
      </w:r>
    </w:p>
    <w:p>
      <w:pPr>
        <w:pStyle w:val="4"/>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rPr>
      </w:pPr>
      <w:bookmarkStart w:id="61" w:name="_Toc15396631"/>
      <w:r>
        <w:rPr>
          <w:rStyle w:val="25"/>
          <w:rFonts w:hint="default" w:ascii="Times New Roman" w:hAnsi="Times New Roman" w:eastAsia="仿宋" w:cs="Times New Roman"/>
          <w:b w:val="0"/>
          <w:bCs w:val="0"/>
        </w:rPr>
        <w:t>十三、</w:t>
      </w:r>
      <w:bookmarkEnd w:id="61"/>
      <w:r>
        <w:rPr>
          <w:rStyle w:val="25"/>
          <w:rFonts w:hint="default" w:ascii="Times New Roman" w:hAnsi="Times New Roman" w:eastAsia="仿宋" w:cs="Times New Roman"/>
          <w:b w:val="0"/>
          <w:bCs w:val="0"/>
        </w:rPr>
        <w:t>财政拨款“三公”经费支出决算表</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MWMwMDk2N2EzNGU0NDI4NWU3MjkxNDBkMmI4Yz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F1864"/>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F618FA"/>
    <w:rsid w:val="053A62B5"/>
    <w:rsid w:val="08C75E74"/>
    <w:rsid w:val="0A2032A3"/>
    <w:rsid w:val="0B5A23CC"/>
    <w:rsid w:val="0B8A37D8"/>
    <w:rsid w:val="0FF82B59"/>
    <w:rsid w:val="10C055FF"/>
    <w:rsid w:val="118107EC"/>
    <w:rsid w:val="11DD6519"/>
    <w:rsid w:val="122D652B"/>
    <w:rsid w:val="14736CE8"/>
    <w:rsid w:val="16BB723D"/>
    <w:rsid w:val="171C2304"/>
    <w:rsid w:val="172D706A"/>
    <w:rsid w:val="18015F3F"/>
    <w:rsid w:val="1BE8440E"/>
    <w:rsid w:val="1C953206"/>
    <w:rsid w:val="1D155CEE"/>
    <w:rsid w:val="20F57F95"/>
    <w:rsid w:val="234169D6"/>
    <w:rsid w:val="23F53DD4"/>
    <w:rsid w:val="240371BF"/>
    <w:rsid w:val="241E3C54"/>
    <w:rsid w:val="24C41DFA"/>
    <w:rsid w:val="25711CC6"/>
    <w:rsid w:val="25C741E6"/>
    <w:rsid w:val="273677D8"/>
    <w:rsid w:val="27842671"/>
    <w:rsid w:val="28A07AED"/>
    <w:rsid w:val="29FD04D3"/>
    <w:rsid w:val="2ABE7A3E"/>
    <w:rsid w:val="2CA234A8"/>
    <w:rsid w:val="2E620EB2"/>
    <w:rsid w:val="2EFA178C"/>
    <w:rsid w:val="30B46D73"/>
    <w:rsid w:val="319F7F4E"/>
    <w:rsid w:val="31DA0E5F"/>
    <w:rsid w:val="32EE115A"/>
    <w:rsid w:val="33956113"/>
    <w:rsid w:val="35AE3841"/>
    <w:rsid w:val="383D272C"/>
    <w:rsid w:val="389C2EDD"/>
    <w:rsid w:val="39AE70AB"/>
    <w:rsid w:val="39CF3992"/>
    <w:rsid w:val="3A0379ED"/>
    <w:rsid w:val="3C0C0783"/>
    <w:rsid w:val="3CDF20E6"/>
    <w:rsid w:val="3F854720"/>
    <w:rsid w:val="3F9F3A96"/>
    <w:rsid w:val="407D6885"/>
    <w:rsid w:val="42BC7212"/>
    <w:rsid w:val="43A16A2A"/>
    <w:rsid w:val="48BF60AB"/>
    <w:rsid w:val="493C27E9"/>
    <w:rsid w:val="496F39ED"/>
    <w:rsid w:val="49FF41D3"/>
    <w:rsid w:val="4A91319F"/>
    <w:rsid w:val="4BE068DB"/>
    <w:rsid w:val="4BF6002B"/>
    <w:rsid w:val="4C5F3F2E"/>
    <w:rsid w:val="4ECE2238"/>
    <w:rsid w:val="50615827"/>
    <w:rsid w:val="51DB4B86"/>
    <w:rsid w:val="535B5F29"/>
    <w:rsid w:val="55333C3E"/>
    <w:rsid w:val="55AB2D93"/>
    <w:rsid w:val="5AC33EE1"/>
    <w:rsid w:val="5F3F1921"/>
    <w:rsid w:val="61D23CC7"/>
    <w:rsid w:val="64CA39A1"/>
    <w:rsid w:val="6623710E"/>
    <w:rsid w:val="69630ADE"/>
    <w:rsid w:val="6A4E15C1"/>
    <w:rsid w:val="6C4A05C8"/>
    <w:rsid w:val="6D3B1A89"/>
    <w:rsid w:val="70136802"/>
    <w:rsid w:val="71BF4EC2"/>
    <w:rsid w:val="72734D90"/>
    <w:rsid w:val="72B06807"/>
    <w:rsid w:val="7412278C"/>
    <w:rsid w:val="74E00371"/>
    <w:rsid w:val="74F0120D"/>
    <w:rsid w:val="7617099C"/>
    <w:rsid w:val="78413089"/>
    <w:rsid w:val="78CC0C00"/>
    <w:rsid w:val="79E7B28D"/>
    <w:rsid w:val="7A0F3ED7"/>
    <w:rsid w:val="7AEB6F85"/>
    <w:rsid w:val="7B7905E7"/>
    <w:rsid w:val="7C921F30"/>
    <w:rsid w:val="7D1B75F0"/>
    <w:rsid w:val="7D9B4E14"/>
    <w:rsid w:val="7ED8612B"/>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sz="1400"/>
              <a:t>收、支决算总计变动情况图（单位：万元）</a:t>
            </a:r>
            <a:endParaRPr lang="zh-CN" sz="14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hade val="95000"/>
                          <a:satMod val="105000"/>
                        </a:schemeClr>
                      </a:solidFill>
                      <a:prstDash val="solid"/>
                      <a:round/>
                    </a:ln>
                    <a:effectLst/>
                  </c:spPr>
                </c15:leaderLines>
              </c:ext>
            </c:extLst>
          </c:dLbls>
          <c:cat>
            <c:strRef>
              <c:f>Sheet1!$A$2</c:f>
              <c:strCache>
                <c:ptCount val="1"/>
                <c:pt idx="0">
                  <c:v>金额（万元）</c:v>
                </c:pt>
              </c:strCache>
            </c:strRef>
          </c:cat>
          <c:val>
            <c:numRef>
              <c:f>Sheet1!$B$2</c:f>
              <c:numCache>
                <c:formatCode>General</c:formatCode>
                <c:ptCount val="1"/>
                <c:pt idx="0">
                  <c:v>587.75</c:v>
                </c:pt>
              </c:numCache>
            </c:numRef>
          </c:val>
        </c:ser>
        <c:ser>
          <c:idx val="1"/>
          <c:order val="1"/>
          <c:tx>
            <c:strRef>
              <c:f>Sheet1!$C$1</c:f>
              <c:strCache>
                <c:ptCount val="1"/>
                <c:pt idx="0">
                  <c:v>2022年收入</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hade val="95000"/>
                          <a:satMod val="105000"/>
                        </a:schemeClr>
                      </a:solidFill>
                      <a:prstDash val="solid"/>
                      <a:round/>
                    </a:ln>
                    <a:effectLst/>
                  </c:spPr>
                </c15:leaderLines>
              </c:ext>
            </c:extLst>
          </c:dLbls>
          <c:cat>
            <c:strRef>
              <c:f>Sheet1!$A$2</c:f>
              <c:strCache>
                <c:ptCount val="1"/>
                <c:pt idx="0">
                  <c:v>金额（万元）</c:v>
                </c:pt>
              </c:strCache>
            </c:strRef>
          </c:cat>
          <c:val>
            <c:numRef>
              <c:f>Sheet1!$C$2</c:f>
              <c:numCache>
                <c:formatCode>General</c:formatCode>
                <c:ptCount val="1"/>
                <c:pt idx="0">
                  <c:v>510.81</c:v>
                </c:pt>
              </c:numCache>
            </c:numRef>
          </c:val>
        </c:ser>
        <c:ser>
          <c:idx val="2"/>
          <c:order val="2"/>
          <c:tx>
            <c:strRef>
              <c:f>Sheet1!$D$1</c:f>
              <c:strCache>
                <c:ptCount val="1"/>
                <c:pt idx="0">
                  <c:v>2021年支出</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hade val="95000"/>
                          <a:satMod val="105000"/>
                        </a:schemeClr>
                      </a:solidFill>
                      <a:prstDash val="solid"/>
                      <a:round/>
                    </a:ln>
                    <a:effectLst/>
                  </c:spPr>
                </c15:leaderLines>
              </c:ext>
            </c:extLst>
          </c:dLbls>
          <c:cat>
            <c:strRef>
              <c:f>Sheet1!$A$2</c:f>
              <c:strCache>
                <c:ptCount val="1"/>
                <c:pt idx="0">
                  <c:v>金额（万元）</c:v>
                </c:pt>
              </c:strCache>
            </c:strRef>
          </c:cat>
          <c:val>
            <c:numRef>
              <c:f>Sheet1!$D$2</c:f>
              <c:numCache>
                <c:formatCode>General</c:formatCode>
                <c:ptCount val="1"/>
                <c:pt idx="0">
                  <c:v>661.1</c:v>
                </c:pt>
              </c:numCache>
            </c:numRef>
          </c:val>
        </c:ser>
        <c:ser>
          <c:idx val="3"/>
          <c:order val="3"/>
          <c:tx>
            <c:strRef>
              <c:f>Sheet1!$E$1</c:f>
              <c:strCache>
                <c:ptCount val="1"/>
                <c:pt idx="0">
                  <c:v>2022年支出</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hade val="95000"/>
                          <a:satMod val="105000"/>
                        </a:schemeClr>
                      </a:solidFill>
                      <a:prstDash val="solid"/>
                      <a:round/>
                    </a:ln>
                    <a:effectLst/>
                  </c:spPr>
                </c15:leaderLines>
              </c:ext>
            </c:extLst>
          </c:dLbls>
          <c:cat>
            <c:strRef>
              <c:f>Sheet1!$A$2</c:f>
              <c:strCache>
                <c:ptCount val="1"/>
                <c:pt idx="0">
                  <c:v>金额（万元）</c:v>
                </c:pt>
              </c:strCache>
            </c:strRef>
          </c:cat>
          <c:val>
            <c:numRef>
              <c:f>Sheet1!$E$2</c:f>
              <c:numCache>
                <c:formatCode>General</c:formatCode>
                <c:ptCount val="1"/>
                <c:pt idx="0">
                  <c:v>555.18</c:v>
                </c:pt>
              </c:numCache>
            </c:numRef>
          </c:val>
        </c:ser>
        <c:dLbls>
          <c:showLegendKey val="0"/>
          <c:showVal val="1"/>
          <c:showCatName val="0"/>
          <c:showSerName val="0"/>
          <c:showPercent val="0"/>
          <c:showBubbleSize val="0"/>
        </c:dLbls>
        <c:gapWidth val="75"/>
        <c:overlap val="-25"/>
        <c:axId val="166177024"/>
        <c:axId val="189784064"/>
      </c:barChart>
      <c:catAx>
        <c:axId val="166177024"/>
        <c:scaling>
          <c:orientation val="minMax"/>
        </c:scaling>
        <c:delete val="0"/>
        <c:axPos val="b"/>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784064"/>
        <c:crosses val="autoZero"/>
        <c:auto val="1"/>
        <c:lblAlgn val="ctr"/>
        <c:lblOffset val="100"/>
        <c:noMultiLvlLbl val="0"/>
      </c:catAx>
      <c:valAx>
        <c:axId val="18978406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6177024"/>
        <c:crosses val="autoZero"/>
        <c:crossBetween val="between"/>
      </c:valAx>
      <c:spPr>
        <a:solidFill>
          <a:schemeClr val="bg1"/>
        </a:solidFill>
        <a:ln>
          <a:noFill/>
        </a:ln>
        <a:effectLst/>
      </c:spPr>
    </c:plotArea>
    <c:legend>
      <c:legendPos val="b"/>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收入决算结构图（单位：万元）</a:t>
            </a:r>
            <a:endParaRPr lang="zh-CN" altLang="en-US" sz="1400"/>
          </a:p>
        </c:rich>
      </c:tx>
      <c:layout/>
      <c:overlay val="0"/>
      <c:spPr>
        <a:noFill/>
        <a:ln>
          <a:noFill/>
        </a:ln>
        <a:effectLst/>
      </c:spPr>
    </c:title>
    <c:autoTitleDeleted val="0"/>
    <c:plotArea>
      <c:layout/>
      <c:pieChart>
        <c:varyColors val="1"/>
        <c:ser>
          <c:idx val="0"/>
          <c:order val="0"/>
          <c:tx>
            <c:strRef>
              <c:f>Sheet1!$B$1</c:f>
              <c:strCache>
                <c:ptCount val="1"/>
                <c:pt idx="0">
                  <c:v>金额（万元）</c:v>
                </c:pt>
              </c:strCache>
            </c:strRef>
          </c:tx>
          <c:spPr/>
          <c:explosion val="0"/>
          <c:dPt>
            <c:idx val="0"/>
            <c:bubble3D val="0"/>
            <c:spPr>
              <a:solidFill>
                <a:schemeClr val="accent6"/>
              </a:solidFill>
              <a:ln>
                <a:noFill/>
              </a:ln>
              <a:effectLst/>
            </c:spPr>
          </c:dPt>
          <c:dPt>
            <c:idx val="1"/>
            <c:bubble3D val="0"/>
            <c:spPr>
              <a:solidFill>
                <a:schemeClr val="accent5"/>
              </a:solidFill>
              <a:ln>
                <a:noFill/>
              </a:ln>
              <a:effectLst/>
            </c:spPr>
          </c:dPt>
          <c:dLbls>
            <c:dLbl>
              <c:idx val="0"/>
              <c:layout>
                <c:manualLayout>
                  <c:x val="0.0166744543418398"/>
                  <c:y val="-0.19497307457981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471.08</a:t>
                    </a:r>
                    <a:r>
                      <a:rPr altLang="en-US" b="1">
                        <a:solidFill>
                          <a:schemeClr val="tx1"/>
                        </a:solidFill>
                        <a:uFillTx/>
                      </a:rPr>
                      <a:t>万元</a:t>
                    </a:r>
                    <a:r>
                      <a:rPr altLang="en-US"/>
                      <a:t>，</a:t>
                    </a:r>
                    <a:endParaRPr altLang="en-US"/>
                  </a:p>
                  <a:p>
                    <a:pPr>
                      <a:defRPr lang="zh-CN" sz="1000" b="0" i="0" u="none" strike="noStrike" kern="1200" baseline="0">
                        <a:solidFill>
                          <a:schemeClr val="tx1"/>
                        </a:solidFill>
                        <a:latin typeface="+mn-lt"/>
                        <a:ea typeface="+mn-ea"/>
                        <a:cs typeface="+mn-cs"/>
                      </a:defRPr>
                    </a:pPr>
                    <a:r>
                      <a:rPr altLang="en-US"/>
                      <a:t>占</a:t>
                    </a:r>
                    <a:r>
                      <a:rPr lang="en-US" altLang="en-US"/>
                      <a:t>92.22%</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15:layout>
                    <c:manualLayout>
                      <c:w val="0.162537294071864"/>
                      <c:h val="0.17209528439475"/>
                    </c:manualLayout>
                  </c15:layout>
                </c:ext>
              </c:extLst>
            </c:dLbl>
            <c:dLbl>
              <c:idx val="1"/>
              <c:layout>
                <c:manualLayout>
                  <c:x val="0.010412710218658"/>
                  <c:y val="0.19945813533712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b="1">
                        <a:solidFill>
                          <a:schemeClr val="tx1"/>
                        </a:solidFill>
                        <a:uFillTx/>
                      </a:rPr>
                      <a:t>39.73</a:t>
                    </a:r>
                    <a:r>
                      <a:rPr altLang="en-US" b="1">
                        <a:solidFill>
                          <a:schemeClr val="tx1"/>
                        </a:solidFill>
                        <a:uFillTx/>
                      </a:rPr>
                      <a:t>万元，</a:t>
                    </a:r>
                    <a:endParaRPr altLang="en-US" b="1">
                      <a:solidFill>
                        <a:schemeClr val="tx1"/>
                      </a:solidFill>
                      <a:uFillTx/>
                    </a:endParaRPr>
                  </a:p>
                  <a:p>
                    <a:pPr>
                      <a:defRPr lang="zh-CN" sz="1000" b="0" i="0" u="none" strike="noStrike" kern="1200" baseline="0">
                        <a:solidFill>
                          <a:schemeClr val="tx1"/>
                        </a:solidFill>
                        <a:latin typeface="+mn-lt"/>
                        <a:ea typeface="+mn-ea"/>
                        <a:cs typeface="+mn-cs"/>
                      </a:defRPr>
                    </a:pPr>
                    <a:r>
                      <a:rPr altLang="en-US" b="1">
                        <a:solidFill>
                          <a:schemeClr val="tx1"/>
                        </a:solidFill>
                        <a:uFillTx/>
                      </a:rPr>
                      <a:t>占</a:t>
                    </a:r>
                    <a:r>
                      <a:rPr lang="en-US" altLang="zh-CN" b="1">
                        <a:solidFill>
                          <a:schemeClr val="tx1"/>
                        </a:solidFill>
                        <a:uFillTx/>
                      </a:rPr>
                      <a:t>7.78%</a:t>
                    </a:r>
                    <a:endParaRPr lang="en-US" altLang="zh-CN" b="1">
                      <a:solidFill>
                        <a:schemeClr val="tx1"/>
                      </a:solidFill>
                      <a:uFillTx/>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Sheet1!$A$2:$A$3</c:f>
              <c:strCache>
                <c:ptCount val="2"/>
                <c:pt idx="0">
                  <c:v>2022年一般公共预算财政拨款收入</c:v>
                </c:pt>
                <c:pt idx="1">
                  <c:v>2022年政府性基金预算财政拨款收入</c:v>
                </c:pt>
              </c:strCache>
            </c:strRef>
          </c:cat>
          <c:val>
            <c:numRef>
              <c:f>Sheet1!$B$2:$B$3</c:f>
              <c:numCache>
                <c:formatCode>General</c:formatCode>
                <c:ptCount val="2"/>
                <c:pt idx="0">
                  <c:v>471.08</c:v>
                </c:pt>
                <c:pt idx="1">
                  <c:v>39.73</c:v>
                </c:pt>
              </c:numCache>
            </c:numRef>
          </c:val>
        </c:ser>
        <c:dLbls>
          <c:showLegendKey val="0"/>
          <c:showVal val="1"/>
          <c:showCatName val="0"/>
          <c:showSerName val="0"/>
          <c:showPercent val="1"/>
          <c:showBubbleSize val="0"/>
          <c:showLeaderLines val="1"/>
        </c:dLbls>
        <c:firstSliceAng val="15"/>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支出决算结构图（单位：万元）</a:t>
            </a:r>
            <a:endParaRPr lang="zh-CN" altLang="en-US" sz="1200"/>
          </a:p>
        </c:rich>
      </c:tx>
      <c:layout/>
      <c:overlay val="0"/>
    </c:title>
    <c:autoTitleDeleted val="0"/>
    <c:plotArea>
      <c:layout/>
      <c:pieChart>
        <c:varyColors val="1"/>
        <c:ser>
          <c:idx val="0"/>
          <c:order val="0"/>
          <c:tx>
            <c:strRef>
              <c:f>Sheet1!$B$1</c:f>
              <c:strCache>
                <c:ptCount val="1"/>
                <c:pt idx="0">
                  <c:v>金额（万元）</c:v>
                </c:pt>
              </c:strCache>
            </c:strRef>
          </c:tx>
          <c:explosion val="0"/>
          <c:dPt>
            <c:idx val="0"/>
            <c:bubble3D val="0"/>
          </c:dPt>
          <c:dPt>
            <c:idx val="1"/>
            <c:bubble3D val="0"/>
          </c:dPt>
          <c:dLbls>
            <c:dLbl>
              <c:idx val="0"/>
              <c:layout>
                <c:manualLayout>
                  <c:x val="-0.143847424914366"/>
                  <c:y val="-0.20795577294881"/>
                </c:manualLayout>
              </c:layout>
              <c:tx>
                <c:rich>
                  <a:bodyPr rot="0" spcFirstLastPara="0" vertOverflow="ellipsis" vert="horz" wrap="square" lIns="38100" tIns="19050" rIns="38100" bIns="19050" anchor="ctr" anchorCtr="1"/>
                  <a:lstStyle/>
                  <a:p>
                    <a:pPr>
                      <a:defRPr lang="zh-CN" sz="1000" b="1" i="0" u="none" strike="noStrike" kern="1200" cap="none" spc="0" normalizeH="0" baseline="0">
                        <a:solidFill>
                          <a:schemeClr val="tx1"/>
                        </a:solidFill>
                        <a:uFill>
                          <a:solidFill>
                            <a:schemeClr val="tx1"/>
                          </a:solidFill>
                        </a:uFill>
                        <a:latin typeface="+mn-lt"/>
                        <a:ea typeface="+mn-ea"/>
                        <a:cs typeface="+mn-cs"/>
                      </a:defRPr>
                    </a:pPr>
                    <a:r>
                      <a:rPr lang="zh-CN" altLang="en-US" b="1" u="none" strike="noStrike" cap="none" normalizeH="0">
                        <a:solidFill>
                          <a:schemeClr val="tx1"/>
                        </a:solidFill>
                        <a:uFill>
                          <a:solidFill>
                            <a:schemeClr val="tx1"/>
                          </a:solidFill>
                        </a:uFill>
                      </a:rPr>
                      <a:t>
基本支出
</a:t>
                    </a:r>
                    <a:r>
                      <a:rPr lang="en-US" altLang="zh-CN" b="1" u="none" strike="noStrike" cap="none" normalizeH="0">
                        <a:solidFill>
                          <a:schemeClr val="tx1"/>
                        </a:solidFill>
                        <a:uFill>
                          <a:solidFill>
                            <a:schemeClr val="tx1"/>
                          </a:solidFill>
                        </a:uFill>
                      </a:rPr>
                      <a:t>422.88</a:t>
                    </a:r>
                    <a:r>
                      <a:rPr altLang="en-US" b="1" u="none" strike="noStrike" cap="none" normalizeH="0">
                        <a:solidFill>
                          <a:schemeClr val="tx1"/>
                        </a:solidFill>
                        <a:uFill>
                          <a:solidFill>
                            <a:schemeClr val="tx1"/>
                          </a:solidFill>
                        </a:uFill>
                      </a:rPr>
                      <a:t>万元</a:t>
                    </a:r>
                    <a:endParaRPr altLang="en-US" b="1" u="none" strike="noStrike" cap="none" normalizeH="0">
                      <a:solidFill>
                        <a:schemeClr val="tx1"/>
                      </a:solidFill>
                      <a:uFill>
                        <a:solidFill>
                          <a:schemeClr val="tx1"/>
                        </a:solidFill>
                      </a:uFill>
                    </a:endParaRPr>
                  </a:p>
                  <a:p>
                    <a:pPr>
                      <a:defRPr lang="zh-CN" sz="1000" b="1" i="0" u="none" strike="noStrike" kern="1200" cap="none" spc="0" normalizeH="0" baseline="0">
                        <a:solidFill>
                          <a:schemeClr val="tx1"/>
                        </a:solidFill>
                        <a:uFill>
                          <a:solidFill>
                            <a:schemeClr val="tx1"/>
                          </a:solidFill>
                        </a:uFill>
                        <a:latin typeface="+mn-lt"/>
                        <a:ea typeface="+mn-ea"/>
                        <a:cs typeface="+mn-cs"/>
                      </a:defRPr>
                    </a:pPr>
                    <a:r>
                      <a:rPr lang="zh-CN" altLang="en-US" b="1" u="none" strike="noStrike" cap="none" normalizeH="0">
                        <a:solidFill>
                          <a:schemeClr val="tx1"/>
                        </a:solidFill>
                        <a:uFill>
                          <a:solidFill>
                            <a:schemeClr val="tx1"/>
                          </a:solidFill>
                        </a:uFill>
                      </a:rPr>
                      <a:t>占</a:t>
                    </a:r>
                    <a:r>
                      <a:rPr lang="en-US" altLang="zh-CN" b="1" u="none" strike="noStrike" cap="none" normalizeH="0">
                        <a:solidFill>
                          <a:schemeClr val="tx1"/>
                        </a:solidFill>
                        <a:uFill>
                          <a:solidFill>
                            <a:schemeClr val="tx1"/>
                          </a:solidFill>
                        </a:uFill>
                      </a:rPr>
                      <a:t>76.17%</a:t>
                    </a:r>
                    <a:endParaRPr lang="en-US" altLang="zh-CN" b="1" u="none" strike="noStrike" cap="none" normalizeH="0">
                      <a:solidFill>
                        <a:schemeClr val="tx1"/>
                      </a:solidFill>
                      <a:uFill>
                        <a:solidFill>
                          <a:schemeClr val="tx1"/>
                        </a:solidFill>
                      </a:u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solidFill>
                      <a:uFill>
                        <a:solidFill>
                          <a:schemeClr val="tx1"/>
                        </a:solidFill>
                      </a:uFill>
                      <a:latin typeface="+mn-lt"/>
                      <a:ea typeface="+mn-ea"/>
                      <a:cs typeface="+mn-cs"/>
                    </a:defRPr>
                  </a:pPr>
                </a:p>
              </c:txPr>
              <c:dLblPos val="bestFit"/>
              <c:showLegendKey val="0"/>
              <c:showVal val="1"/>
              <c:showCatName val="1"/>
              <c:showSerName val="1"/>
              <c:showPercent val="1"/>
              <c:showBubbleSize val="0"/>
              <c:extLst>
                <c:ext xmlns:c15="http://schemas.microsoft.com/office/drawing/2012/chart" uri="{CE6537A1-D6FC-4f65-9D91-7224C49458BB}">
                  <c15:layout>
                    <c:manualLayout>
                      <c:w val="0.22216605585745"/>
                      <c:h val="0.228023203926818"/>
                    </c:manualLayout>
                  </c15:layout>
                </c:ext>
              </c:extLst>
            </c:dLbl>
            <c:dLbl>
              <c:idx val="1"/>
              <c:layout>
                <c:manualLayout>
                  <c:x val="0.0847261857163716"/>
                  <c:y val="0.18698298589170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b="1">
                        <a:solidFill>
                          <a:schemeClr val="tx1"/>
                        </a:solidFill>
                        <a:uFillTx/>
                      </a:rPr>
                      <a:t>
项目支出
</a:t>
                    </a:r>
                    <a:r>
                      <a:rPr lang="en-US" altLang="zh-CN" b="1">
                        <a:solidFill>
                          <a:schemeClr val="tx1"/>
                        </a:solidFill>
                        <a:uFillTx/>
                      </a:rPr>
                      <a:t>132.3</a:t>
                    </a:r>
                    <a:r>
                      <a:rPr altLang="en-US" b="1">
                        <a:solidFill>
                          <a:schemeClr val="tx1"/>
                        </a:solidFill>
                        <a:uFillTx/>
                      </a:rPr>
                      <a:t>万元，</a:t>
                    </a:r>
                    <a:endParaRPr altLang="en-US" b="1">
                      <a:solidFill>
                        <a:schemeClr val="tx1"/>
                      </a:solidFill>
                      <a:uFillTx/>
                    </a:endParaRPr>
                  </a:p>
                  <a:p>
                    <a:pPr>
                      <a:defRPr lang="zh-CN" sz="1000" b="0" i="0" u="none" strike="noStrike" kern="1200" baseline="0">
                        <a:solidFill>
                          <a:schemeClr val="tx1"/>
                        </a:solidFill>
                        <a:latin typeface="+mn-lt"/>
                        <a:ea typeface="+mn-ea"/>
                        <a:cs typeface="+mn-cs"/>
                      </a:defRPr>
                    </a:pPr>
                    <a:r>
                      <a:rPr lang="zh-CN" altLang="en-US" b="1">
                        <a:solidFill>
                          <a:schemeClr val="tx1"/>
                        </a:solidFill>
                        <a:uFillTx/>
                      </a:rPr>
                      <a:t>占</a:t>
                    </a:r>
                    <a:r>
                      <a:rPr lang="en-US" altLang="zh-CN" b="1">
                        <a:solidFill>
                          <a:schemeClr val="tx1"/>
                        </a:solidFill>
                        <a:uFillTx/>
                      </a:rPr>
                      <a:t>23.83%</a:t>
                    </a:r>
                    <a:endParaRPr lang="en-US" altLang="zh-CN" b="1">
                      <a:solidFill>
                        <a:schemeClr val="tx1"/>
                      </a:solidFill>
                      <a:uFillTx/>
                    </a:endParaRPr>
                  </a:p>
                </c:rich>
              </c:tx>
              <c:dLblPos val="bestFit"/>
              <c:showLegendKey val="0"/>
              <c:showVal val="1"/>
              <c:showCatName val="1"/>
              <c:showSerName val="1"/>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1"/>
            <c:showSerName val="1"/>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2022年基本支出</c:v>
                </c:pt>
                <c:pt idx="1">
                  <c:v>2022年项目支出</c:v>
                </c:pt>
              </c:strCache>
            </c:strRef>
          </c:cat>
          <c:val>
            <c:numRef>
              <c:f>Sheet1!$B$2:$B$3</c:f>
              <c:numCache>
                <c:formatCode>General</c:formatCode>
                <c:ptCount val="2"/>
                <c:pt idx="0">
                  <c:v>422.88</c:v>
                </c:pt>
                <c:pt idx="1">
                  <c:v>132.3</c:v>
                </c:pt>
              </c:numCache>
            </c:numRef>
          </c:val>
        </c:ser>
        <c:dLbls>
          <c:showLegendKey val="0"/>
          <c:showVal val="1"/>
          <c:showCatName val="1"/>
          <c:showSerName val="1"/>
          <c:showPercent val="1"/>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manualLayout>
          <c:layoutTarget val="inner"/>
          <c:xMode val="edge"/>
          <c:yMode val="edge"/>
          <c:x val="0.0809421841541756"/>
          <c:y val="0.166881609491875"/>
          <c:w val="0.892984003023051"/>
          <c:h val="0.591539850399794"/>
        </c:manualLayout>
      </c:layout>
      <c:barChart>
        <c:barDir val="col"/>
        <c:grouping val="clustered"/>
        <c:varyColors val="0"/>
        <c:ser>
          <c:idx val="0"/>
          <c:order val="0"/>
          <c:tx>
            <c:strRef>
              <c:f>Sheet1!$B$1</c:f>
              <c:strCache>
                <c:ptCount val="1"/>
                <c:pt idx="0">
                  <c:v>金额（万元）</c:v>
                </c:pt>
              </c:strCache>
            </c:strRef>
          </c:tx>
          <c:spPr>
            <a:solidFill>
              <a:schemeClr val="accent1"/>
            </a:solidFill>
            <a:ln>
              <a:noFill/>
            </a:ln>
            <a:effectLst/>
          </c:spPr>
          <c:invertIfNegative val="0"/>
          <c:dLbls>
            <c:dLbl>
              <c:idx val="0"/>
              <c:layout>
                <c:manualLayout>
                  <c:x val="0.00629802242095982"/>
                  <c:y val="-0.116069125612587"/>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1271601753933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1065.99</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2021年财政拨款收支总额</c:v>
                </c:pt>
                <c:pt idx="1">
                  <c:v>2022年财政拨款收支总额</c:v>
                </c:pt>
              </c:strCache>
            </c:strRef>
          </c:cat>
          <c:val>
            <c:numRef>
              <c:f>Sheet1!$B$2:$B$3</c:f>
              <c:numCache>
                <c:formatCode>General</c:formatCode>
                <c:ptCount val="2"/>
                <c:pt idx="0">
                  <c:v>1248.85</c:v>
                </c:pt>
                <c:pt idx="1">
                  <c:v>1065.99</c:v>
                </c:pt>
              </c:numCache>
            </c:numRef>
          </c:val>
        </c:ser>
        <c:dLbls>
          <c:showLegendKey val="0"/>
          <c:showVal val="1"/>
          <c:showCatName val="0"/>
          <c:showSerName val="0"/>
          <c:showPercent val="0"/>
          <c:showBubbleSize val="0"/>
        </c:dLbls>
        <c:gapWidth val="219"/>
        <c:overlap val="-27"/>
        <c:axId val="274547840"/>
        <c:axId val="274549376"/>
      </c:barChart>
      <c:catAx>
        <c:axId val="274547840"/>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4549376"/>
        <c:crosses val="autoZero"/>
        <c:auto val="1"/>
        <c:lblAlgn val="ctr"/>
        <c:lblOffset val="100"/>
        <c:noMultiLvlLbl val="0"/>
      </c:catAx>
      <c:valAx>
        <c:axId val="27454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45478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200"/>
              <a:t>一般公共预算财政拨款支出决算变动情况图（单位：万元）</a:t>
            </a:r>
            <a:endParaRPr lang="zh-CN" altLang="en-US" sz="1200"/>
          </a:p>
        </c:rich>
      </c:tx>
      <c:layout>
        <c:manualLayout>
          <c:xMode val="edge"/>
          <c:yMode val="edge"/>
          <c:x val="0.171382228196674"/>
          <c:y val="0.020639834881321"/>
        </c:manualLayout>
      </c:layout>
      <c:overlay val="0"/>
      <c:spPr>
        <a:noFill/>
        <a:ln>
          <a:noFill/>
        </a:ln>
        <a:effectLst/>
      </c:spPr>
    </c:title>
    <c:autoTitleDeleted val="0"/>
    <c:plotArea>
      <c:layout>
        <c:manualLayout>
          <c:layoutTarget val="inner"/>
          <c:xMode val="edge"/>
          <c:yMode val="edge"/>
          <c:x val="0.0856903878342352"/>
          <c:y val="0.194920755651466"/>
          <c:w val="0.783949066821466"/>
          <c:h val="0.612583135812078"/>
        </c:manualLayout>
      </c:layout>
      <c:barChart>
        <c:barDir val="col"/>
        <c:grouping val="clustered"/>
        <c:varyColors val="0"/>
        <c:ser>
          <c:idx val="0"/>
          <c:order val="0"/>
          <c:tx>
            <c:strRef>
              <c:f>Sheet1!$B$1</c:f>
              <c:strCache>
                <c:ptCount val="1"/>
                <c:pt idx="0">
                  <c:v>金额（万元）</c:v>
                </c:pt>
              </c:strCache>
            </c:strRef>
          </c:tx>
          <c:spPr>
            <a:solidFill>
              <a:schemeClr val="accent6"/>
            </a:solidFill>
            <a:ln>
              <a:noFill/>
            </a:ln>
            <a:effectLst/>
          </c:spPr>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524.15</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hade val="95000"/>
                          <a:satMod val="105000"/>
                        </a:schemeClr>
                      </a:solidFill>
                      <a:prstDash val="solid"/>
                      <a:round/>
                    </a:ln>
                    <a:effectLst/>
                  </c:spPr>
                </c15:leaderLines>
              </c:ext>
            </c:extLst>
          </c:dLbls>
          <c:cat>
            <c:strRef>
              <c:f>Sheet1!$A$2:$A$3</c:f>
              <c:strCache>
                <c:ptCount val="2"/>
                <c:pt idx="0">
                  <c:v>2021年一般公共预算财政拨款支出</c:v>
                </c:pt>
                <c:pt idx="1">
                  <c:v>2022年一般公共预算财政拨款支出</c:v>
                </c:pt>
              </c:strCache>
            </c:strRef>
          </c:cat>
          <c:val>
            <c:numRef>
              <c:f>Sheet1!$B$2:$B$3</c:f>
              <c:numCache>
                <c:formatCode>General</c:formatCode>
                <c:ptCount val="2"/>
                <c:pt idx="0">
                  <c:v>524.15</c:v>
                </c:pt>
                <c:pt idx="1">
                  <c:v>515.45</c:v>
                </c:pt>
              </c:numCache>
            </c:numRef>
          </c:val>
        </c:ser>
        <c:dLbls>
          <c:showLegendKey val="0"/>
          <c:showVal val="1"/>
          <c:showCatName val="0"/>
          <c:showSerName val="0"/>
          <c:showPercent val="0"/>
          <c:showBubbleSize val="0"/>
        </c:dLbls>
        <c:gapWidth val="150"/>
        <c:axId val="189456768"/>
        <c:axId val="189458304"/>
      </c:barChart>
      <c:catAx>
        <c:axId val="189456768"/>
        <c:scaling>
          <c:orientation val="minMax"/>
        </c:scaling>
        <c:delete val="0"/>
        <c:axPos val="b"/>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458304"/>
        <c:crosses val="autoZero"/>
        <c:auto val="1"/>
        <c:lblAlgn val="ctr"/>
        <c:lblOffset val="100"/>
        <c:noMultiLvlLbl val="0"/>
      </c:catAx>
      <c:valAx>
        <c:axId val="18945830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456768"/>
        <c:crosses val="autoZero"/>
        <c:crossBetween val="between"/>
      </c:valAx>
      <c:spPr>
        <a:solidFill>
          <a:schemeClr val="bg1"/>
        </a:solidFill>
        <a:ln>
          <a:noFill/>
        </a:ln>
        <a:effectLst/>
      </c:spPr>
    </c:plotArea>
    <c:legend>
      <c:legendPos val="r"/>
      <c:layout>
        <c:manualLayout>
          <c:xMode val="edge"/>
          <c:yMode val="edge"/>
          <c:x val="0.805395953035224"/>
          <c:y val="0.511138236191638"/>
        </c:manualLayout>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一般公共预算财政拨款支出决算结构图（单位：万元）</a:t>
            </a:r>
          </a:p>
        </c:rich>
      </c:tx>
      <c:layout/>
      <c:overlay val="0"/>
      <c:spPr>
        <a:noFill/>
        <a:ln>
          <a:noFill/>
        </a:ln>
        <a:effectLst/>
      </c:spPr>
    </c:title>
    <c:autoTitleDeleted val="0"/>
    <c:plotArea>
      <c:layout/>
      <c:pieChart>
        <c:varyColors val="1"/>
        <c:ser>
          <c:idx val="0"/>
          <c:order val="0"/>
          <c:tx>
            <c:strRef>
              <c:f>Sheet1!$B$1</c:f>
              <c:strCache>
                <c:ptCount val="1"/>
                <c:pt idx="0">
                  <c:v>金额（万元）</c:v>
                </c:pt>
              </c:strCache>
            </c:strRef>
          </c:tx>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dLbl>
              <c:idx val="0"/>
              <c:layout>
                <c:manualLayout>
                  <c:x val="-0.0132612312186508"/>
                  <c:y val="0.02342873440190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社会保障和就业支出483.3万元，占93.76%</a:t>
                    </a:r>
                  </a:p>
                </c:rich>
              </c:tx>
              <c:dLblPos val="ctr"/>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0265224624373015"/>
                  <c:y val="-0.028114481282285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
住房保障支出32.15万元
占6.24%</a:t>
                    </a:r>
                  </a:p>
                </c:rich>
              </c:tx>
              <c:dLblPos val="ctr"/>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2022年社会保障和就业支出</c:v>
                </c:pt>
                <c:pt idx="1">
                  <c:v>2022年住房保障支出</c:v>
                </c:pt>
              </c:strCache>
            </c:strRef>
          </c:cat>
          <c:val>
            <c:numRef>
              <c:f>Sheet1!$B$2:$B$3</c:f>
              <c:numCache>
                <c:formatCode>General</c:formatCode>
                <c:ptCount val="2"/>
                <c:pt idx="0">
                  <c:v>483.3</c:v>
                </c:pt>
                <c:pt idx="1">
                  <c:v>32.15</c:v>
                </c:pt>
              </c:numCache>
            </c:numRef>
          </c:val>
        </c:ser>
        <c:dLbls>
          <c:showLegendKey val="0"/>
          <c:showVal val="1"/>
          <c:showCatName val="1"/>
          <c:showSerName val="0"/>
          <c:showPercent val="1"/>
          <c:showBubbleSize val="0"/>
          <c:showLeaderLines val="1"/>
        </c:dLbls>
        <c:firstSliceAng val="15"/>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“三公”经费财政拨款支出结构图（单位：万元）</a:t>
            </a:r>
          </a:p>
        </c:rich>
      </c:tx>
      <c:layout>
        <c:manualLayout>
          <c:xMode val="edge"/>
          <c:yMode val="edge"/>
          <c:x val="0.134465655007808"/>
          <c:y val="0.0319293498187109"/>
        </c:manualLayout>
      </c:layout>
      <c:overlay val="0"/>
      <c:spPr>
        <a:noFill/>
        <a:ln>
          <a:noFill/>
        </a:ln>
        <a:effectLst/>
      </c:spPr>
    </c:title>
    <c:autoTitleDeleted val="0"/>
    <c:plotArea>
      <c:layout>
        <c:manualLayout>
          <c:layoutTarget val="inner"/>
          <c:xMode val="edge"/>
          <c:yMode val="edge"/>
          <c:x val="0.0287150183451352"/>
          <c:y val="0.21192400295597"/>
          <c:w val="0.618913885777125"/>
          <c:h val="0.60252041841899"/>
        </c:manualLayout>
      </c:layout>
      <c:pieChart>
        <c:varyColors val="1"/>
        <c:ser>
          <c:idx val="0"/>
          <c:order val="0"/>
          <c:tx>
            <c:strRef>
              <c:f>Sheet1!$B$1</c:f>
              <c:strCache>
                <c:ptCount val="1"/>
                <c:pt idx="0">
                  <c:v>金额（万元）</c:v>
                </c:pt>
              </c:strCache>
            </c:strRef>
          </c:tx>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2022年公车运行费, 1.21万元, 占88.32%</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ctr"/>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b="1" u="none" strike="noStrike" cap="none" normalizeH="0">
                        <a:solidFill>
                          <a:schemeClr val="tx1">
                            <a:lumMod val="75000"/>
                            <a:lumOff val="25000"/>
                          </a:schemeClr>
                        </a:solidFill>
                        <a:uFill>
                          <a:solidFill>
                            <a:schemeClr val="tx1">
                              <a:lumMod val="75000"/>
                              <a:lumOff val="25000"/>
                            </a:schemeClr>
                          </a:solidFill>
                        </a:uFill>
                      </a:rPr>
                      <a:t>2022年公务接待费, 0.16万元，占, 11.68%</a:t>
                    </a:r>
                    <a:endParaRPr b="1" u="none" strike="noStrike" cap="none" normalizeH="0">
                      <a:solidFill>
                        <a:schemeClr val="tx1">
                          <a:lumMod val="75000"/>
                          <a:lumOff val="25000"/>
                        </a:schemeClr>
                      </a:solidFill>
                      <a:uFill>
                        <a:solidFill>
                          <a:schemeClr val="tx1">
                            <a:lumMod val="75000"/>
                            <a:lumOff val="25000"/>
                          </a:schemeClr>
                        </a:solidFill>
                      </a:uFill>
                    </a:endParaRPr>
                  </a:p>
                </c:rich>
              </c:tx>
              <c:dLblPos val="ctr"/>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2022年公车运行费</c:v>
                </c:pt>
                <c:pt idx="1">
                  <c:v>2022年公务接待费</c:v>
                </c:pt>
              </c:strCache>
            </c:strRef>
          </c:cat>
          <c:val>
            <c:numRef>
              <c:f>Sheet1!$B$2:$B$3</c:f>
              <c:numCache>
                <c:formatCode>General</c:formatCode>
                <c:ptCount val="2"/>
                <c:pt idx="0">
                  <c:v>1.21</c:v>
                </c:pt>
                <c:pt idx="1">
                  <c:v>0.16</c:v>
                </c:pt>
              </c:numCache>
            </c:numRef>
          </c:val>
        </c:ser>
        <c:dLbls>
          <c:showLegendKey val="0"/>
          <c:showVal val="1"/>
          <c:showCatName val="1"/>
          <c:showSerName val="0"/>
          <c:showPercent val="1"/>
          <c:showBubbleSize val="0"/>
          <c:showLeaderLines val="1"/>
        </c:dLbls>
        <c:firstSliceAng val="15"/>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4276</Words>
  <Characters>4746</Characters>
  <Lines>41</Lines>
  <Paragraphs>11</Paragraphs>
  <TotalTime>18</TotalTime>
  <ScaleCrop>false</ScaleCrop>
  <LinksUpToDate>false</LinksUpToDate>
  <CharactersWithSpaces>4806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尘埃落定</cp:lastModifiedBy>
  <cp:lastPrinted>2023-07-31T02:35:00Z</cp:lastPrinted>
  <dcterms:modified xsi:type="dcterms:W3CDTF">2023-09-18T07:24:40Z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FC0D8C53C57C489EB7F1950B41FB041A_12</vt:lpwstr>
  </property>
</Properties>
</file>