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E3" w:rsidRDefault="003C4AE3">
      <w:pPr>
        <w:spacing w:line="600" w:lineRule="exact"/>
        <w:jc w:val="left"/>
        <w:outlineLvl w:val="0"/>
        <w:rPr>
          <w:rFonts w:ascii="方正小标宋简体" w:eastAsia="方正小标宋简体" w:hAnsi="宋体"/>
          <w:szCs w:val="21"/>
        </w:rPr>
      </w:pPr>
      <w:bookmarkStart w:id="0" w:name="_Toc15306267"/>
    </w:p>
    <w:p w:rsidR="003C4AE3" w:rsidRDefault="003C4AE3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72"/>
          <w:szCs w:val="72"/>
        </w:rPr>
      </w:pPr>
    </w:p>
    <w:p w:rsidR="003C4AE3" w:rsidRDefault="003C4AE3">
      <w:pPr>
        <w:pStyle w:val="a0"/>
        <w:spacing w:before="93"/>
        <w:rPr>
          <w:rFonts w:ascii="方正小标宋简体" w:eastAsia="方正小标宋简体" w:hAnsi="宋体"/>
          <w:sz w:val="72"/>
          <w:szCs w:val="72"/>
        </w:rPr>
      </w:pPr>
    </w:p>
    <w:p w:rsidR="003C4AE3" w:rsidRDefault="003C4AE3">
      <w:pPr>
        <w:pStyle w:val="a0"/>
        <w:spacing w:before="93"/>
        <w:rPr>
          <w:rFonts w:ascii="方正小标宋简体" w:eastAsia="方正小标宋简体" w:hAnsi="宋体"/>
          <w:sz w:val="72"/>
          <w:szCs w:val="72"/>
        </w:rPr>
      </w:pPr>
    </w:p>
    <w:p w:rsidR="003C4AE3" w:rsidRDefault="003C4AE3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72"/>
          <w:szCs w:val="72"/>
        </w:rPr>
      </w:pPr>
    </w:p>
    <w:p w:rsidR="003C4AE3" w:rsidRDefault="00D57D69">
      <w:pPr>
        <w:adjustRightInd w:val="0"/>
        <w:snapToGrid w:val="0"/>
        <w:spacing w:line="360" w:lineRule="auto"/>
        <w:jc w:val="center"/>
        <w:outlineLvl w:val="0"/>
        <w:rPr>
          <w:rFonts w:ascii="方正小标宋简体" w:eastAsia="方正小标宋简体" w:hAnsi="方正小标宋简体" w:cs="方正小标宋简体"/>
          <w:sz w:val="72"/>
          <w:szCs w:val="72"/>
        </w:rPr>
      </w:pPr>
      <w:bookmarkStart w:id="1" w:name="_Toc15396597"/>
      <w:bookmarkStart w:id="2" w:name="_Toc15396475"/>
      <w:bookmarkStart w:id="3" w:name="_Toc15377193"/>
      <w:bookmarkStart w:id="4" w:name="_Toc15378441"/>
      <w:bookmarkStart w:id="5" w:name="_Toc15377425"/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2022年度</w:t>
      </w:r>
      <w:bookmarkEnd w:id="1"/>
      <w:bookmarkEnd w:id="2"/>
      <w:bookmarkEnd w:id="3"/>
      <w:bookmarkEnd w:id="4"/>
      <w:bookmarkEnd w:id="5"/>
    </w:p>
    <w:p w:rsidR="003C4AE3" w:rsidRDefault="00D57D69">
      <w:pPr>
        <w:adjustRightInd w:val="0"/>
        <w:snapToGrid w:val="0"/>
        <w:spacing w:line="360" w:lineRule="auto"/>
        <w:jc w:val="center"/>
        <w:outlineLvl w:val="0"/>
        <w:rPr>
          <w:rFonts w:ascii="方正小标宋简体" w:eastAsia="方正小标宋简体" w:hAnsi="方正小标宋简体" w:cs="方正小标宋简体"/>
          <w:sz w:val="72"/>
          <w:szCs w:val="72"/>
        </w:rPr>
      </w:pPr>
      <w:bookmarkStart w:id="6" w:name="_Toc15377426"/>
      <w:bookmarkStart w:id="7" w:name="_Toc15377194"/>
      <w:bookmarkStart w:id="8" w:name="_Toc15396476"/>
      <w:bookmarkStart w:id="9" w:name="_Toc15378442"/>
      <w:bookmarkStart w:id="10" w:name="_Toc15396598"/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攀枝花市</w:t>
      </w:r>
      <w:bookmarkStart w:id="11" w:name="_Toc15306268"/>
      <w:bookmarkEnd w:id="0"/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民政局单位决算</w:t>
      </w:r>
      <w:bookmarkEnd w:id="6"/>
      <w:bookmarkEnd w:id="7"/>
      <w:bookmarkEnd w:id="8"/>
      <w:bookmarkEnd w:id="9"/>
      <w:bookmarkEnd w:id="10"/>
      <w:bookmarkEnd w:id="11"/>
    </w:p>
    <w:p w:rsidR="003C4AE3" w:rsidRDefault="00D57D69">
      <w:pPr>
        <w:widowControl/>
        <w:jc w:val="center"/>
        <w:rPr>
          <w:rFonts w:ascii="黑体" w:eastAsia="黑体" w:hAnsi="黑体"/>
          <w:sz w:val="48"/>
          <w:szCs w:val="48"/>
        </w:rPr>
      </w:pPr>
      <w:r>
        <w:rPr>
          <w:rFonts w:ascii="方正小标宋简体" w:eastAsia="方正小标宋简体" w:hAnsi="宋体"/>
          <w:sz w:val="36"/>
          <w:szCs w:val="36"/>
        </w:rPr>
        <w:br w:type="page"/>
      </w:r>
      <w:r>
        <w:rPr>
          <w:rFonts w:ascii="黑体" w:eastAsia="黑体" w:hAnsi="黑体" w:hint="eastAsia"/>
          <w:sz w:val="48"/>
          <w:szCs w:val="48"/>
        </w:rPr>
        <w:lastRenderedPageBreak/>
        <w:t>目录</w:t>
      </w:r>
    </w:p>
    <w:p w:rsidR="003C4AE3" w:rsidRDefault="003C4AE3">
      <w:pPr>
        <w:widowControl/>
        <w:jc w:val="center"/>
        <w:rPr>
          <w:rFonts w:ascii="黑体" w:eastAsia="黑体" w:hAnsi="黑体" w:cstheme="minorBidi"/>
          <w:sz w:val="28"/>
          <w:szCs w:val="28"/>
        </w:rPr>
      </w:pPr>
    </w:p>
    <w:p w:rsidR="003C4AE3" w:rsidRDefault="00D57D69">
      <w:pPr>
        <w:pStyle w:val="10"/>
      </w:pPr>
      <w:r>
        <w:rPr>
          <w:rFonts w:hint="eastAsia"/>
        </w:rPr>
        <w:t>公开时间：2023年9月</w:t>
      </w:r>
      <w:r>
        <w:t>1</w:t>
      </w:r>
      <w:r w:rsidR="00F22465">
        <w:rPr>
          <w:rFonts w:hint="eastAsia"/>
        </w:rPr>
        <w:t>8</w:t>
      </w:r>
      <w:r>
        <w:rPr>
          <w:rFonts w:hint="eastAsia"/>
        </w:rPr>
        <w:t>日</w:t>
      </w:r>
    </w:p>
    <w:p w:rsidR="003C4AE3" w:rsidRDefault="003C4AE3"/>
    <w:p w:rsidR="003C4AE3" w:rsidRDefault="00D57D69">
      <w:pPr>
        <w:pStyle w:val="10"/>
        <w:adjustRightInd w:val="0"/>
        <w:snapToGrid w:val="0"/>
        <w:spacing w:before="0" w:line="440" w:lineRule="exact"/>
        <w:jc w:val="left"/>
        <w:rPr>
          <w:rFonts w:cstheme="minorBidi"/>
          <w:sz w:val="24"/>
          <w:szCs w:val="24"/>
        </w:rPr>
      </w:pPr>
      <w:r>
        <w:rPr>
          <w:rFonts w:hint="eastAsia"/>
          <w:sz w:val="24"/>
        </w:rPr>
        <w:t>第一部分</w:t>
      </w:r>
      <w:r>
        <w:rPr>
          <w:sz w:val="24"/>
        </w:rPr>
        <w:t xml:space="preserve"> </w:t>
      </w:r>
      <w:r>
        <w:rPr>
          <w:rFonts w:hint="eastAsia"/>
          <w:sz w:val="24"/>
        </w:rPr>
        <w:t>单位概况</w:t>
      </w:r>
      <w:r>
        <w:rPr>
          <w:rFonts w:cstheme="minorBidi"/>
          <w:sz w:val="24"/>
          <w:szCs w:val="24"/>
        </w:rPr>
        <w:tab/>
      </w:r>
      <w:r>
        <w:rPr>
          <w:rFonts w:cstheme="minorBidi" w:hint="eastAsia"/>
          <w:sz w:val="24"/>
          <w:szCs w:val="24"/>
        </w:rPr>
        <w:t>4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一、主要职责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4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</w:pPr>
      <w:r>
        <w:rPr>
          <w:rFonts w:hint="eastAsia"/>
          <w:sz w:val="24"/>
        </w:rPr>
        <w:t>二、机构设置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5</w:t>
      </w:r>
    </w:p>
    <w:p w:rsidR="003C4AE3" w:rsidRDefault="00D57D69">
      <w:pPr>
        <w:pStyle w:val="10"/>
        <w:adjustRightInd w:val="0"/>
        <w:snapToGrid w:val="0"/>
        <w:spacing w:before="0" w:line="440" w:lineRule="exact"/>
        <w:jc w:val="left"/>
        <w:rPr>
          <w:sz w:val="24"/>
          <w:szCs w:val="24"/>
        </w:rPr>
      </w:pPr>
      <w:r>
        <w:rPr>
          <w:rFonts w:hint="eastAsia"/>
          <w:sz w:val="24"/>
        </w:rPr>
        <w:t>第二部分 2022年度单位决算情况说明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7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rFonts w:ascii="仿宋" w:eastAsia="仿宋" w:hAnsi="仿宋" w:cstheme="minorBidi"/>
          <w:sz w:val="24"/>
        </w:rPr>
      </w:pPr>
      <w:r>
        <w:rPr>
          <w:rFonts w:hint="eastAsia"/>
          <w:sz w:val="24"/>
        </w:rPr>
        <w:t>一、收入支出决算总体情况说明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7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rFonts w:ascii="仿宋" w:eastAsia="仿宋" w:hAnsi="仿宋" w:cstheme="minorBidi"/>
          <w:sz w:val="24"/>
        </w:rPr>
      </w:pPr>
      <w:r>
        <w:rPr>
          <w:rFonts w:hint="eastAsia"/>
          <w:sz w:val="24"/>
        </w:rPr>
        <w:t>二、收入决算情况说明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7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rFonts w:ascii="仿宋" w:eastAsia="仿宋" w:hAnsi="仿宋" w:cstheme="minorBidi"/>
          <w:sz w:val="24"/>
        </w:rPr>
      </w:pPr>
      <w:r>
        <w:rPr>
          <w:rFonts w:hint="eastAsia"/>
          <w:sz w:val="24"/>
        </w:rPr>
        <w:t>三、支出决算情况说明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8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rFonts w:ascii="仿宋" w:eastAsia="仿宋" w:hAnsi="仿宋" w:cstheme="minorBidi"/>
          <w:sz w:val="24"/>
        </w:rPr>
      </w:pPr>
      <w:r>
        <w:rPr>
          <w:rFonts w:hint="eastAsia"/>
          <w:sz w:val="24"/>
        </w:rPr>
        <w:t>四、财政拨款收入支出决算总体情况说明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8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rFonts w:ascii="仿宋" w:eastAsia="仿宋" w:hAnsi="仿宋" w:cstheme="minorBidi"/>
          <w:sz w:val="24"/>
        </w:rPr>
      </w:pPr>
      <w:r>
        <w:rPr>
          <w:rFonts w:hint="eastAsia"/>
          <w:sz w:val="24"/>
        </w:rPr>
        <w:t>五、一般公共预算财政拨款支出决算情况说明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9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rFonts w:ascii="仿宋" w:eastAsia="仿宋" w:hAnsi="仿宋" w:cstheme="minorBidi"/>
          <w:sz w:val="24"/>
        </w:rPr>
      </w:pPr>
      <w:r>
        <w:rPr>
          <w:rFonts w:hint="eastAsia"/>
          <w:sz w:val="24"/>
        </w:rPr>
        <w:t>六、一般公共预算财政拨款基本支出决算情况说明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12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rFonts w:ascii="仿宋" w:eastAsia="仿宋" w:hAnsi="仿宋" w:cstheme="minorBidi"/>
          <w:sz w:val="24"/>
        </w:rPr>
      </w:pPr>
      <w:r>
        <w:rPr>
          <w:rFonts w:hint="eastAsia"/>
          <w:sz w:val="24"/>
        </w:rPr>
        <w:t>七、财政拨款“三公”经费支出决算情况说明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13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rFonts w:ascii="仿宋" w:eastAsia="仿宋" w:hAnsi="仿宋" w:cstheme="minorBidi"/>
          <w:sz w:val="24"/>
        </w:rPr>
      </w:pPr>
      <w:r>
        <w:rPr>
          <w:rFonts w:hint="eastAsia"/>
          <w:sz w:val="24"/>
        </w:rPr>
        <w:t>八、政府性基金预算支出决算情况说明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15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九、国有资本经营预算支出决算情况说明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15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十、其他重要事项的情况说明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15</w:t>
      </w:r>
    </w:p>
    <w:p w:rsidR="003C4AE3" w:rsidRDefault="00D57D69">
      <w:pPr>
        <w:pStyle w:val="10"/>
        <w:adjustRightInd w:val="0"/>
        <w:snapToGrid w:val="0"/>
        <w:spacing w:before="0" w:line="440" w:lineRule="exact"/>
        <w:jc w:val="left"/>
        <w:rPr>
          <w:rFonts w:cstheme="minorBidi"/>
          <w:sz w:val="24"/>
          <w:szCs w:val="24"/>
        </w:rPr>
      </w:pPr>
      <w:r>
        <w:rPr>
          <w:rFonts w:hint="eastAsia"/>
          <w:sz w:val="24"/>
        </w:rPr>
        <w:t>第三部分</w:t>
      </w:r>
      <w:r>
        <w:rPr>
          <w:sz w:val="24"/>
        </w:rPr>
        <w:t xml:space="preserve"> </w:t>
      </w:r>
      <w:r>
        <w:rPr>
          <w:rFonts w:hint="eastAsia"/>
          <w:sz w:val="24"/>
        </w:rPr>
        <w:t>名词解释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17</w:t>
      </w:r>
    </w:p>
    <w:p w:rsidR="003C4AE3" w:rsidRDefault="00D57D69">
      <w:pPr>
        <w:pStyle w:val="10"/>
        <w:adjustRightInd w:val="0"/>
        <w:snapToGrid w:val="0"/>
        <w:spacing w:before="0" w:line="440" w:lineRule="exact"/>
        <w:jc w:val="left"/>
        <w:rPr>
          <w:rFonts w:cstheme="minorBidi"/>
          <w:sz w:val="24"/>
          <w:szCs w:val="24"/>
        </w:rPr>
      </w:pPr>
      <w:r>
        <w:rPr>
          <w:rFonts w:hint="eastAsia"/>
          <w:sz w:val="24"/>
        </w:rPr>
        <w:t>第四部分</w:t>
      </w:r>
      <w:r>
        <w:rPr>
          <w:sz w:val="24"/>
        </w:rPr>
        <w:t xml:space="preserve"> </w:t>
      </w:r>
      <w:r>
        <w:rPr>
          <w:rFonts w:hint="eastAsia"/>
          <w:sz w:val="24"/>
        </w:rPr>
        <w:t>附件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19</w:t>
      </w:r>
    </w:p>
    <w:p w:rsidR="003C4AE3" w:rsidRDefault="00D57D69">
      <w:pPr>
        <w:pStyle w:val="10"/>
        <w:adjustRightInd w:val="0"/>
        <w:snapToGrid w:val="0"/>
        <w:spacing w:before="0" w:line="440" w:lineRule="exact"/>
        <w:jc w:val="left"/>
        <w:rPr>
          <w:rFonts w:cstheme="minorBidi"/>
          <w:sz w:val="24"/>
          <w:szCs w:val="24"/>
        </w:rPr>
      </w:pPr>
      <w:r>
        <w:rPr>
          <w:rFonts w:hint="eastAsia"/>
          <w:sz w:val="24"/>
        </w:rPr>
        <w:t>第五部分</w:t>
      </w:r>
      <w:r>
        <w:rPr>
          <w:sz w:val="24"/>
        </w:rPr>
        <w:t xml:space="preserve"> </w:t>
      </w:r>
      <w:r>
        <w:rPr>
          <w:rFonts w:hint="eastAsia"/>
          <w:sz w:val="24"/>
        </w:rPr>
        <w:t>附表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20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一、收入支出决算总表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20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二、收入决算表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20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三、支出决算表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20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四、财政拨款收入支出决算总表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20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五、财政拨款支出决算明细表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20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六、一般公共预算财政拨款支出决算表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20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>七、一般公共预算财政拨款支出决算明细表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20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八、一般公共预算财政拨款基本支出决算明细表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20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九、一般公共预算财政拨款项目支出决算表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20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十、政府性基金预算财政拨款收入支出决算表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20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十一、国有资本经营预算财政拨款收入支出决算表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20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十二、国有资本经营预算财政拨款支出决算表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20</w:t>
      </w:r>
    </w:p>
    <w:p w:rsidR="003C4AE3" w:rsidRDefault="00D57D69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十三、财政拨款“三公”经费支出决算表</w:t>
      </w:r>
      <w:r>
        <w:rPr>
          <w:rFonts w:cstheme="minorBidi"/>
          <w:sz w:val="24"/>
        </w:rPr>
        <w:tab/>
      </w:r>
      <w:r>
        <w:rPr>
          <w:rFonts w:cstheme="minorBidi" w:hint="eastAsia"/>
          <w:sz w:val="24"/>
        </w:rPr>
        <w:t>20</w:t>
      </w:r>
    </w:p>
    <w:p w:rsidR="003C4AE3" w:rsidRDefault="00D57D69">
      <w:pPr>
        <w:widowControl/>
        <w:spacing w:line="440" w:lineRule="exact"/>
        <w:jc w:val="left"/>
        <w:rPr>
          <w:rFonts w:ascii="仿宋" w:eastAsia="仿宋" w:hAnsi="仿宋"/>
          <w:bCs/>
          <w:kern w:val="44"/>
          <w:sz w:val="24"/>
        </w:rPr>
      </w:pPr>
      <w:bookmarkStart w:id="12" w:name="_Toc15396599"/>
      <w:bookmarkStart w:id="13" w:name="_Toc15377196"/>
      <w:r>
        <w:rPr>
          <w:rFonts w:ascii="仿宋" w:eastAsia="仿宋" w:hAnsi="仿宋"/>
          <w:b/>
          <w:sz w:val="24"/>
        </w:rPr>
        <w:br w:type="page"/>
      </w:r>
    </w:p>
    <w:p w:rsidR="003C4AE3" w:rsidRDefault="00D57D69">
      <w:pPr>
        <w:pStyle w:val="1"/>
        <w:numPr>
          <w:ilvl w:val="0"/>
          <w:numId w:val="1"/>
        </w:numPr>
        <w:jc w:val="center"/>
      </w:pPr>
      <w:r>
        <w:rPr>
          <w:rFonts w:ascii="黑体" w:eastAsia="黑体" w:hAnsi="黑体" w:hint="eastAsia"/>
          <w:b w:val="0"/>
        </w:rPr>
        <w:lastRenderedPageBreak/>
        <w:t>单位</w:t>
      </w:r>
      <w:r>
        <w:rPr>
          <w:rStyle w:val="1Char"/>
          <w:rFonts w:ascii="黑体" w:eastAsia="黑体" w:hAnsi="黑体" w:hint="eastAsia"/>
        </w:rPr>
        <w:t>概况</w:t>
      </w:r>
      <w:bookmarkEnd w:id="12"/>
      <w:bookmarkEnd w:id="13"/>
    </w:p>
    <w:p w:rsidR="003C4AE3" w:rsidRDefault="00D57D69">
      <w:pPr>
        <w:pStyle w:val="2"/>
        <w:rPr>
          <w:rStyle w:val="2Char"/>
          <w:rFonts w:ascii="黑体" w:eastAsia="黑体" w:hAnsi="黑体"/>
        </w:rPr>
      </w:pPr>
      <w:bookmarkStart w:id="14" w:name="_Toc15377197"/>
      <w:bookmarkStart w:id="15" w:name="_Toc15396600"/>
      <w:r>
        <w:rPr>
          <w:rStyle w:val="2Char"/>
          <w:rFonts w:ascii="黑体" w:eastAsia="黑体" w:hAnsi="黑体" w:hint="eastAsia"/>
        </w:rPr>
        <w:t xml:space="preserve">    一、主要职责</w:t>
      </w:r>
    </w:p>
    <w:p w:rsidR="003C4AE3" w:rsidRDefault="00D57D69">
      <w:pPr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eastAsia="方正仿宋简体"/>
          <w:sz w:val="32"/>
          <w:szCs w:val="32"/>
        </w:rPr>
        <w:t>1</w:t>
      </w:r>
      <w:r>
        <w:rPr>
          <w:rFonts w:eastAsia="方正仿宋简体"/>
          <w:sz w:val="32"/>
          <w:szCs w:val="32"/>
        </w:rPr>
        <w:t>）贯彻执行党和国家有关民政工作的方针政策和法律法规，拟订全市民政事业发展规划、政策、标准并组织实施。</w:t>
      </w:r>
      <w:r>
        <w:rPr>
          <w:rFonts w:eastAsia="方正仿宋简体"/>
          <w:sz w:val="32"/>
          <w:szCs w:val="32"/>
        </w:rPr>
        <w:t xml:space="preserve"> </w:t>
      </w:r>
    </w:p>
    <w:p w:rsidR="003C4AE3" w:rsidRDefault="00D57D69">
      <w:pPr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）拟订社会团体、社会服务机构等社会组织登记和监督管理办法并组织实施，按照管理权限依法对社会组织进行登记管理和执法监督。</w:t>
      </w:r>
      <w:r>
        <w:rPr>
          <w:rFonts w:eastAsia="方正仿宋简体"/>
          <w:sz w:val="32"/>
          <w:szCs w:val="32"/>
        </w:rPr>
        <w:t xml:space="preserve"> </w:t>
      </w:r>
    </w:p>
    <w:p w:rsidR="003C4AE3" w:rsidRDefault="00D57D69">
      <w:pPr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eastAsia="方正仿宋简体"/>
          <w:sz w:val="32"/>
          <w:szCs w:val="32"/>
        </w:rPr>
        <w:t>3</w:t>
      </w:r>
      <w:r>
        <w:rPr>
          <w:rFonts w:eastAsia="方正仿宋简体"/>
          <w:sz w:val="32"/>
          <w:szCs w:val="32"/>
        </w:rPr>
        <w:t>）牵头拟订社会救助规划、政策、标准，统筹推进社会救助体系建设，负责城乡居民最低生活保障、特困人员救助供养、临时救助、生活无着流浪乞讨人员救助工作。</w:t>
      </w:r>
      <w:r>
        <w:rPr>
          <w:rFonts w:eastAsia="方正仿宋简体"/>
          <w:sz w:val="32"/>
          <w:szCs w:val="32"/>
        </w:rPr>
        <w:t xml:space="preserve"> </w:t>
      </w:r>
    </w:p>
    <w:p w:rsidR="003C4AE3" w:rsidRDefault="00D57D69">
      <w:pPr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eastAsia="方正仿宋简体"/>
          <w:sz w:val="32"/>
          <w:szCs w:val="32"/>
        </w:rPr>
        <w:t>4</w:t>
      </w:r>
      <w:r>
        <w:rPr>
          <w:rFonts w:eastAsia="方正仿宋简体"/>
          <w:sz w:val="32"/>
          <w:szCs w:val="32"/>
        </w:rPr>
        <w:t>）拟订城乡基层群众自治建设和社区治理政策，指导城乡社区治理体系、服务体系和治理能力建设，提出加强和改进城乡基层政权建设的建议，推动基层民主政治建设。</w:t>
      </w:r>
      <w:r>
        <w:rPr>
          <w:rFonts w:eastAsia="方正仿宋简体"/>
          <w:sz w:val="32"/>
          <w:szCs w:val="32"/>
        </w:rPr>
        <w:t xml:space="preserve"> </w:t>
      </w:r>
    </w:p>
    <w:p w:rsidR="003C4AE3" w:rsidRDefault="00D57D69">
      <w:pPr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eastAsia="方正仿宋简体"/>
          <w:sz w:val="32"/>
          <w:szCs w:val="32"/>
        </w:rPr>
        <w:t>5</w:t>
      </w:r>
      <w:r>
        <w:rPr>
          <w:rFonts w:eastAsia="方正仿宋简体"/>
          <w:sz w:val="32"/>
          <w:szCs w:val="32"/>
        </w:rPr>
        <w:t>）拟订行政区划管理政策和行政区域界线、地名管理办法，负责县（区）、乡（镇）行政区划设立、命名、撤销、变更和政府驻地迁移审核报批工作，组织并指导全市行政区域界线的勘定和管理工作。调处行政区域边界争议，负责全市地名管理工作。</w:t>
      </w:r>
      <w:r>
        <w:rPr>
          <w:rFonts w:eastAsia="方正仿宋简体"/>
          <w:sz w:val="32"/>
          <w:szCs w:val="32"/>
        </w:rPr>
        <w:t xml:space="preserve"> </w:t>
      </w:r>
    </w:p>
    <w:p w:rsidR="003C4AE3" w:rsidRDefault="00D57D69">
      <w:pPr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eastAsia="方正仿宋简体"/>
          <w:sz w:val="32"/>
          <w:szCs w:val="32"/>
        </w:rPr>
        <w:t>6</w:t>
      </w:r>
      <w:r>
        <w:rPr>
          <w:rFonts w:eastAsia="方正仿宋简体"/>
          <w:sz w:val="32"/>
          <w:szCs w:val="32"/>
        </w:rPr>
        <w:t>）组织实施婚姻管理政策，推进婚俗改革。</w:t>
      </w:r>
      <w:r>
        <w:rPr>
          <w:rFonts w:eastAsia="方正仿宋简体"/>
          <w:sz w:val="32"/>
          <w:szCs w:val="32"/>
        </w:rPr>
        <w:t xml:space="preserve"> </w:t>
      </w:r>
    </w:p>
    <w:p w:rsidR="003C4AE3" w:rsidRDefault="00D57D69">
      <w:pPr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eastAsia="方正仿宋简体"/>
          <w:sz w:val="32"/>
          <w:szCs w:val="32"/>
        </w:rPr>
        <w:t>7</w:t>
      </w:r>
      <w:r>
        <w:rPr>
          <w:rFonts w:eastAsia="方正仿宋简体"/>
          <w:sz w:val="32"/>
          <w:szCs w:val="32"/>
        </w:rPr>
        <w:t>）拟订殡葬管理政策、服务规范并组织实施，负责殡葬管理工作，推进殡葬改革。</w:t>
      </w:r>
      <w:r>
        <w:rPr>
          <w:rFonts w:eastAsia="方正仿宋简体"/>
          <w:sz w:val="32"/>
          <w:szCs w:val="32"/>
        </w:rPr>
        <w:t xml:space="preserve"> </w:t>
      </w:r>
    </w:p>
    <w:p w:rsidR="003C4AE3" w:rsidRDefault="00D57D69">
      <w:pPr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lastRenderedPageBreak/>
        <w:t>（</w:t>
      </w:r>
      <w:r>
        <w:rPr>
          <w:rFonts w:eastAsia="方正仿宋简体"/>
          <w:sz w:val="32"/>
          <w:szCs w:val="32"/>
        </w:rPr>
        <w:t>8</w:t>
      </w:r>
      <w:r>
        <w:rPr>
          <w:rFonts w:eastAsia="方正仿宋简体"/>
          <w:sz w:val="32"/>
          <w:szCs w:val="32"/>
        </w:rPr>
        <w:t>）拟订社会福利事业发展规划、政策、标准，拟订社会福利机构管理办法并指导实施，拟订残疾人权益保护政策并监督实施。负责康复辅助器具行业管理，统筹推进残疾人福利制度建设和康复辅助器具产业发展。</w:t>
      </w:r>
      <w:r>
        <w:rPr>
          <w:rFonts w:eastAsia="方正仿宋简体"/>
          <w:sz w:val="32"/>
          <w:szCs w:val="32"/>
        </w:rPr>
        <w:t xml:space="preserve"> </w:t>
      </w:r>
    </w:p>
    <w:p w:rsidR="003C4AE3" w:rsidRDefault="00D57D69">
      <w:pPr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eastAsia="方正仿宋简体"/>
          <w:sz w:val="32"/>
          <w:szCs w:val="32"/>
        </w:rPr>
        <w:t>9</w:t>
      </w:r>
      <w:r>
        <w:rPr>
          <w:rFonts w:eastAsia="方正仿宋简体"/>
          <w:sz w:val="32"/>
          <w:szCs w:val="32"/>
        </w:rPr>
        <w:t>）统筹推进、督促指导、监督管理养老服务工作，拟订养老服务体系建设规划、政策、标准并组织实施，承担</w:t>
      </w:r>
    </w:p>
    <w:p w:rsidR="003C4AE3" w:rsidRDefault="00D57D69">
      <w:pPr>
        <w:snapToGrid w:val="0"/>
        <w:spacing w:line="560" w:lineRule="exact"/>
        <w:ind w:firstLine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老年人福利和特殊困难老年人救助工作，协调推进农村留守老年人关爱服务工作，承担城乡老年社会组织管理工作。</w:t>
      </w:r>
      <w:r>
        <w:rPr>
          <w:rFonts w:eastAsia="方正仿宋简体"/>
          <w:sz w:val="32"/>
          <w:szCs w:val="32"/>
        </w:rPr>
        <w:t xml:space="preserve"> </w:t>
      </w:r>
    </w:p>
    <w:p w:rsidR="003C4AE3" w:rsidRDefault="00D57D69">
      <w:pPr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eastAsia="方正仿宋简体"/>
          <w:sz w:val="32"/>
          <w:szCs w:val="32"/>
        </w:rPr>
        <w:t>10</w:t>
      </w:r>
      <w:r>
        <w:rPr>
          <w:rFonts w:eastAsia="方正仿宋简体"/>
          <w:sz w:val="32"/>
          <w:szCs w:val="32"/>
        </w:rPr>
        <w:t>）拟订儿童福利、孤弃儿童保障、儿童收养、儿童救助保护政策和标准并组织实施，健全农村留守儿童关爱服务体系和困境儿童保障制度。</w:t>
      </w:r>
      <w:r>
        <w:rPr>
          <w:rFonts w:eastAsia="方正仿宋简体"/>
          <w:sz w:val="32"/>
          <w:szCs w:val="32"/>
        </w:rPr>
        <w:t xml:space="preserve"> </w:t>
      </w:r>
    </w:p>
    <w:p w:rsidR="003C4AE3" w:rsidRDefault="00D57D69">
      <w:pPr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eastAsia="方正仿宋简体"/>
          <w:sz w:val="32"/>
          <w:szCs w:val="32"/>
        </w:rPr>
        <w:t>11</w:t>
      </w:r>
      <w:r>
        <w:rPr>
          <w:rFonts w:eastAsia="方正仿宋简体"/>
          <w:sz w:val="32"/>
          <w:szCs w:val="32"/>
        </w:rPr>
        <w:t>）组织拟订促进慈善事业发展政策，指导社会捐赠工作。指导福利彩票销售工作，管理本级福利彩票公益金，监督全市福利彩票公益金的管理、使用。</w:t>
      </w:r>
      <w:r>
        <w:rPr>
          <w:rFonts w:eastAsia="方正仿宋简体"/>
          <w:sz w:val="32"/>
          <w:szCs w:val="32"/>
        </w:rPr>
        <w:t xml:space="preserve"> </w:t>
      </w:r>
    </w:p>
    <w:p w:rsidR="003C4AE3" w:rsidRDefault="00D57D69">
      <w:pPr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eastAsia="方正仿宋简体"/>
          <w:sz w:val="32"/>
          <w:szCs w:val="32"/>
        </w:rPr>
        <w:t>12</w:t>
      </w:r>
      <w:r>
        <w:rPr>
          <w:rFonts w:eastAsia="方正仿宋简体"/>
          <w:sz w:val="32"/>
          <w:szCs w:val="32"/>
        </w:rPr>
        <w:t>）拟订社会工作、志愿服务政策和标准，会同有关部门推进社会工作人才队伍建设和相关志愿者队伍建设。</w:t>
      </w:r>
      <w:r>
        <w:rPr>
          <w:rFonts w:eastAsia="方正仿宋简体"/>
          <w:sz w:val="32"/>
          <w:szCs w:val="32"/>
        </w:rPr>
        <w:t xml:space="preserve"> </w:t>
      </w:r>
    </w:p>
    <w:p w:rsidR="003C4AE3" w:rsidRDefault="00D57D69">
      <w:pPr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eastAsia="方正仿宋简体"/>
          <w:sz w:val="32"/>
          <w:szCs w:val="32"/>
        </w:rPr>
        <w:t>13</w:t>
      </w:r>
      <w:r>
        <w:rPr>
          <w:rFonts w:eastAsia="方正仿宋简体"/>
          <w:sz w:val="32"/>
          <w:szCs w:val="32"/>
        </w:rPr>
        <w:t>）依法依规负责康复辅助器具行业和社会福利、养老服务、殡葬服务、救助管理机构安全生产监督管理工作。负责职责范围内的职业健康、生态环境保护、审批服务便民化等工作。</w:t>
      </w:r>
      <w:r>
        <w:rPr>
          <w:rFonts w:eastAsia="方正仿宋简体"/>
          <w:sz w:val="32"/>
          <w:szCs w:val="32"/>
        </w:rPr>
        <w:t xml:space="preserve"> </w:t>
      </w:r>
    </w:p>
    <w:p w:rsidR="003C4AE3" w:rsidRDefault="00D57D69">
      <w:pPr>
        <w:snapToGrid w:val="0"/>
        <w:spacing w:line="560" w:lineRule="exact"/>
        <w:ind w:firstLineChars="200" w:firstLine="640"/>
        <w:rPr>
          <w:rFonts w:eastAsia="方正仿宋简体"/>
        </w:rPr>
      </w:pPr>
      <w:r>
        <w:rPr>
          <w:rFonts w:eastAsia="方正仿宋简体"/>
          <w:sz w:val="32"/>
          <w:szCs w:val="32"/>
        </w:rPr>
        <w:t>（</w:t>
      </w:r>
      <w:r>
        <w:rPr>
          <w:rFonts w:eastAsia="方正仿宋简体"/>
          <w:sz w:val="32"/>
          <w:szCs w:val="32"/>
        </w:rPr>
        <w:t>14</w:t>
      </w:r>
      <w:r>
        <w:rPr>
          <w:rFonts w:eastAsia="方正仿宋简体"/>
          <w:sz w:val="32"/>
          <w:szCs w:val="32"/>
        </w:rPr>
        <w:t>）完成市委、市政府交办的其他任务。</w:t>
      </w:r>
    </w:p>
    <w:p w:rsidR="003C4AE3" w:rsidRDefault="00D57D69">
      <w:pPr>
        <w:pStyle w:val="2"/>
        <w:spacing w:line="560" w:lineRule="exact"/>
        <w:ind w:firstLine="200"/>
      </w:pPr>
      <w:r>
        <w:rPr>
          <w:rFonts w:ascii="黑体" w:eastAsia="黑体" w:hAnsi="黑体" w:hint="eastAsia"/>
          <w:b w:val="0"/>
        </w:rPr>
        <w:lastRenderedPageBreak/>
        <w:t>二、机构设置</w:t>
      </w:r>
    </w:p>
    <w:p w:rsidR="003C4AE3" w:rsidRDefault="00D57D69">
      <w:pPr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市民政局独立编制机构数</w:t>
      </w:r>
      <w:r>
        <w:rPr>
          <w:rFonts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个，其中：行政单位</w:t>
      </w:r>
      <w:r>
        <w:rPr>
          <w:rFonts w:eastAsia="方正仿宋简体"/>
          <w:sz w:val="32"/>
          <w:szCs w:val="32"/>
        </w:rPr>
        <w:t>1</w:t>
      </w:r>
      <w:r>
        <w:rPr>
          <w:rFonts w:eastAsia="方正仿宋简体"/>
          <w:sz w:val="32"/>
          <w:szCs w:val="32"/>
        </w:rPr>
        <w:t>个，非独立核算财政补助事业单位（市低收入家庭经济状况核对中心）</w:t>
      </w:r>
      <w:r>
        <w:rPr>
          <w:rFonts w:eastAsia="方正仿宋简体"/>
          <w:sz w:val="32"/>
          <w:szCs w:val="32"/>
        </w:rPr>
        <w:t>1</w:t>
      </w:r>
      <w:r>
        <w:rPr>
          <w:rFonts w:eastAsia="方正仿宋简体"/>
          <w:sz w:val="32"/>
          <w:szCs w:val="32"/>
        </w:rPr>
        <w:t>个。</w:t>
      </w:r>
      <w:r>
        <w:rPr>
          <w:rFonts w:eastAsia="方正仿宋简体"/>
          <w:sz w:val="32"/>
          <w:szCs w:val="32"/>
        </w:rPr>
        <w:t xml:space="preserve">          </w:t>
      </w:r>
    </w:p>
    <w:p w:rsidR="003C4AE3" w:rsidRDefault="00D57D69">
      <w:pPr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市民政局</w:t>
      </w:r>
      <w:r w:rsidR="00581352">
        <w:rPr>
          <w:rFonts w:eastAsia="方正仿宋简体" w:hint="eastAsia"/>
          <w:sz w:val="32"/>
          <w:szCs w:val="32"/>
        </w:rPr>
        <w:t>内设机构有：</w:t>
      </w:r>
      <w:r w:rsidR="00581352" w:rsidRPr="00581352">
        <w:rPr>
          <w:rFonts w:eastAsia="方正仿宋简体" w:hint="eastAsia"/>
          <w:sz w:val="32"/>
          <w:szCs w:val="32"/>
        </w:rPr>
        <w:t>办公室</w:t>
      </w:r>
      <w:r w:rsidR="00581352">
        <w:rPr>
          <w:rFonts w:eastAsia="方正仿宋简体" w:hint="eastAsia"/>
          <w:sz w:val="32"/>
          <w:szCs w:val="32"/>
        </w:rPr>
        <w:t>、</w:t>
      </w:r>
      <w:r w:rsidR="00581352" w:rsidRPr="00581352">
        <w:rPr>
          <w:rFonts w:eastAsia="方正仿宋简体" w:hint="eastAsia"/>
          <w:sz w:val="32"/>
          <w:szCs w:val="32"/>
        </w:rPr>
        <w:t>社会组织管理科</w:t>
      </w:r>
      <w:r w:rsidR="00581352">
        <w:rPr>
          <w:rFonts w:eastAsia="方正仿宋简体" w:hint="eastAsia"/>
          <w:sz w:val="32"/>
          <w:szCs w:val="32"/>
        </w:rPr>
        <w:t>、</w:t>
      </w:r>
      <w:r w:rsidR="00581352" w:rsidRPr="00581352">
        <w:rPr>
          <w:rFonts w:eastAsia="方正仿宋简体" w:hint="eastAsia"/>
          <w:sz w:val="32"/>
          <w:szCs w:val="32"/>
        </w:rPr>
        <w:t>社会救助科</w:t>
      </w:r>
      <w:r w:rsidR="00581352">
        <w:rPr>
          <w:rFonts w:eastAsia="方正仿宋简体" w:hint="eastAsia"/>
          <w:sz w:val="32"/>
          <w:szCs w:val="32"/>
        </w:rPr>
        <w:t>、</w:t>
      </w:r>
      <w:r w:rsidR="00581352" w:rsidRPr="00581352">
        <w:rPr>
          <w:rFonts w:eastAsia="方正仿宋简体" w:hint="eastAsia"/>
          <w:sz w:val="32"/>
          <w:szCs w:val="32"/>
        </w:rPr>
        <w:t>基层政权建设与社区治理科</w:t>
      </w:r>
      <w:r w:rsidR="00581352">
        <w:rPr>
          <w:rFonts w:eastAsia="方正仿宋简体" w:hint="eastAsia"/>
          <w:sz w:val="32"/>
          <w:szCs w:val="32"/>
        </w:rPr>
        <w:t>、</w:t>
      </w:r>
      <w:r w:rsidR="00581352" w:rsidRPr="00581352">
        <w:rPr>
          <w:rFonts w:eastAsia="方正仿宋简体" w:hint="eastAsia"/>
          <w:sz w:val="32"/>
          <w:szCs w:val="32"/>
        </w:rPr>
        <w:t>社会事务科</w:t>
      </w:r>
      <w:r w:rsidR="00581352">
        <w:rPr>
          <w:rFonts w:eastAsia="方正仿宋简体" w:hint="eastAsia"/>
          <w:sz w:val="32"/>
          <w:szCs w:val="32"/>
        </w:rPr>
        <w:t>、</w:t>
      </w:r>
      <w:r w:rsidR="00581352" w:rsidRPr="00581352">
        <w:rPr>
          <w:rFonts w:eastAsia="方正仿宋简体" w:hint="eastAsia"/>
          <w:sz w:val="32"/>
          <w:szCs w:val="32"/>
        </w:rPr>
        <w:t>社会福利科</w:t>
      </w:r>
      <w:r w:rsidR="00581352">
        <w:rPr>
          <w:rFonts w:eastAsia="方正仿宋简体" w:hint="eastAsia"/>
          <w:sz w:val="32"/>
          <w:szCs w:val="32"/>
        </w:rPr>
        <w:t>、</w:t>
      </w:r>
      <w:r w:rsidR="00581352" w:rsidRPr="00581352">
        <w:rPr>
          <w:rFonts w:eastAsia="方正仿宋简体" w:hint="eastAsia"/>
          <w:sz w:val="32"/>
          <w:szCs w:val="32"/>
        </w:rPr>
        <w:t>养老服务科</w:t>
      </w:r>
      <w:r w:rsidR="00581352">
        <w:rPr>
          <w:rFonts w:eastAsia="方正仿宋简体" w:hint="eastAsia"/>
          <w:sz w:val="32"/>
          <w:szCs w:val="32"/>
        </w:rPr>
        <w:t>、</w:t>
      </w:r>
      <w:r w:rsidR="00581352" w:rsidRPr="00581352">
        <w:rPr>
          <w:rFonts w:eastAsia="方正仿宋简体" w:hint="eastAsia"/>
          <w:sz w:val="32"/>
          <w:szCs w:val="32"/>
        </w:rPr>
        <w:t>儿童保障科</w:t>
      </w:r>
      <w:r w:rsidR="00581352">
        <w:rPr>
          <w:rFonts w:eastAsia="方正仿宋简体" w:hint="eastAsia"/>
          <w:sz w:val="32"/>
          <w:szCs w:val="32"/>
        </w:rPr>
        <w:t>、</w:t>
      </w:r>
      <w:r w:rsidR="00581352" w:rsidRPr="00581352">
        <w:rPr>
          <w:rFonts w:eastAsia="方正仿宋简体" w:hint="eastAsia"/>
          <w:sz w:val="32"/>
          <w:szCs w:val="32"/>
        </w:rPr>
        <w:t>人事与财务科</w:t>
      </w:r>
      <w:r w:rsidR="00581352">
        <w:rPr>
          <w:rFonts w:eastAsia="方正仿宋简体"/>
          <w:sz w:val="32"/>
          <w:szCs w:val="32"/>
        </w:rPr>
        <w:t>。</w:t>
      </w:r>
    </w:p>
    <w:p w:rsidR="003C4AE3" w:rsidRDefault="003C4AE3">
      <w:pPr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</w:p>
    <w:p w:rsidR="003C4AE3" w:rsidRDefault="003C4AE3">
      <w:pPr>
        <w:ind w:firstLine="640"/>
      </w:pPr>
    </w:p>
    <w:bookmarkEnd w:id="14"/>
    <w:bookmarkEnd w:id="15"/>
    <w:p w:rsidR="003C4AE3" w:rsidRDefault="00D57D69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bookmarkStart w:id="16" w:name="_GoBack"/>
      <w:bookmarkEnd w:id="16"/>
    </w:p>
    <w:p w:rsidR="003C4AE3" w:rsidRDefault="00D57D69">
      <w:pPr>
        <w:pStyle w:val="1"/>
        <w:ind w:right="440"/>
        <w:jc w:val="right"/>
        <w:rPr>
          <w:rStyle w:val="1Char"/>
          <w:rFonts w:ascii="黑体" w:eastAsia="黑体" w:hAnsi="黑体"/>
          <w:bCs/>
        </w:rPr>
      </w:pPr>
      <w:bookmarkStart w:id="17" w:name="_Toc15377204"/>
      <w:bookmarkStart w:id="18" w:name="_Toc15396602"/>
      <w:r>
        <w:rPr>
          <w:rFonts w:ascii="黑体" w:eastAsia="黑体" w:hAnsi="黑体" w:hint="eastAsia"/>
          <w:b w:val="0"/>
        </w:rPr>
        <w:lastRenderedPageBreak/>
        <w:t>第二部分 2022年度</w:t>
      </w:r>
      <w:r>
        <w:rPr>
          <w:rStyle w:val="1Char"/>
          <w:rFonts w:ascii="黑体" w:eastAsia="黑体" w:hAnsi="黑体" w:hint="eastAsia"/>
          <w:bCs/>
        </w:rPr>
        <w:t>单位决算情况说明</w:t>
      </w:r>
      <w:bookmarkEnd w:id="17"/>
      <w:bookmarkEnd w:id="18"/>
    </w:p>
    <w:p w:rsidR="003C4AE3" w:rsidRDefault="003C4AE3"/>
    <w:p w:rsidR="003C4AE3" w:rsidRDefault="00D57D69">
      <w:pPr>
        <w:pStyle w:val="a9"/>
        <w:numPr>
          <w:ilvl w:val="0"/>
          <w:numId w:val="2"/>
        </w:numPr>
        <w:spacing w:line="560" w:lineRule="exact"/>
        <w:ind w:firstLineChars="0"/>
        <w:outlineLvl w:val="1"/>
        <w:rPr>
          <w:rStyle w:val="2Char"/>
          <w:rFonts w:ascii="黑体" w:eastAsia="黑体" w:hAnsi="黑体"/>
          <w:b w:val="0"/>
        </w:rPr>
      </w:pPr>
      <w:bookmarkStart w:id="19" w:name="_Toc15396603"/>
      <w:bookmarkStart w:id="20" w:name="_Toc15377205"/>
      <w:r>
        <w:rPr>
          <w:rStyle w:val="2Char"/>
          <w:rFonts w:ascii="黑体" w:eastAsia="黑体" w:hAnsi="黑体"/>
        </w:rPr>
        <w:t>收</w:t>
      </w:r>
      <w:r>
        <w:rPr>
          <w:rStyle w:val="2Char"/>
          <w:rFonts w:ascii="黑体" w:eastAsia="黑体" w:hAnsi="黑体"/>
          <w:b w:val="0"/>
        </w:rPr>
        <w:t>入支出决算总体情况说明</w:t>
      </w:r>
      <w:bookmarkEnd w:id="19"/>
      <w:bookmarkEnd w:id="20"/>
    </w:p>
    <w:p w:rsidR="003C4AE3" w:rsidRDefault="00D57D69">
      <w:pPr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2022</w:t>
      </w:r>
      <w:r>
        <w:rPr>
          <w:rFonts w:eastAsia="方正仿宋简体"/>
          <w:sz w:val="32"/>
          <w:szCs w:val="32"/>
        </w:rPr>
        <w:t>年财政拨款收、支总计</w:t>
      </w:r>
      <w:r>
        <w:rPr>
          <w:rFonts w:eastAsia="方正仿宋简体"/>
          <w:sz w:val="32"/>
          <w:szCs w:val="32"/>
        </w:rPr>
        <w:t>2095.05</w:t>
      </w:r>
      <w:r>
        <w:rPr>
          <w:rFonts w:eastAsia="方正仿宋简体"/>
          <w:sz w:val="32"/>
          <w:szCs w:val="32"/>
        </w:rPr>
        <w:t>万元。与</w:t>
      </w:r>
      <w:r>
        <w:rPr>
          <w:rFonts w:eastAsia="方正仿宋简体"/>
          <w:sz w:val="32"/>
          <w:szCs w:val="32"/>
        </w:rPr>
        <w:t>2021</w:t>
      </w:r>
      <w:r>
        <w:rPr>
          <w:rFonts w:eastAsia="方正仿宋简体"/>
          <w:sz w:val="32"/>
          <w:szCs w:val="32"/>
        </w:rPr>
        <w:t>年相比，财政拨款收入增加</w:t>
      </w:r>
      <w:r>
        <w:rPr>
          <w:rFonts w:eastAsia="方正仿宋简体"/>
          <w:sz w:val="32"/>
          <w:szCs w:val="32"/>
        </w:rPr>
        <w:t>121.23</w:t>
      </w:r>
      <w:r>
        <w:rPr>
          <w:rFonts w:eastAsia="方正仿宋简体"/>
          <w:sz w:val="32"/>
          <w:szCs w:val="32"/>
        </w:rPr>
        <w:t>万元、支出减少</w:t>
      </w:r>
      <w:r>
        <w:rPr>
          <w:rFonts w:eastAsia="方正仿宋简体"/>
          <w:sz w:val="32"/>
          <w:szCs w:val="32"/>
        </w:rPr>
        <w:t>110.77</w:t>
      </w:r>
      <w:r>
        <w:rPr>
          <w:rFonts w:eastAsia="方正仿宋简体"/>
          <w:sz w:val="32"/>
          <w:szCs w:val="32"/>
        </w:rPr>
        <w:t>万元，收入增长</w:t>
      </w:r>
      <w:r>
        <w:rPr>
          <w:rFonts w:eastAsia="方正仿宋简体"/>
          <w:sz w:val="32"/>
          <w:szCs w:val="32"/>
        </w:rPr>
        <w:t>13.4%</w:t>
      </w:r>
      <w:r>
        <w:rPr>
          <w:rFonts w:eastAsia="方正仿宋简体"/>
          <w:sz w:val="32"/>
          <w:szCs w:val="32"/>
        </w:rPr>
        <w:t>、支出减少</w:t>
      </w:r>
      <w:r>
        <w:rPr>
          <w:rFonts w:eastAsia="方正仿宋简体"/>
          <w:sz w:val="32"/>
          <w:szCs w:val="32"/>
        </w:rPr>
        <w:t>9.3%</w:t>
      </w:r>
      <w:r>
        <w:rPr>
          <w:rFonts w:eastAsia="方正仿宋简体"/>
          <w:sz w:val="32"/>
          <w:szCs w:val="32"/>
        </w:rPr>
        <w:t>，主要变动原因为</w:t>
      </w:r>
      <w:r>
        <w:rPr>
          <w:rFonts w:eastAsia="方正仿宋简体"/>
          <w:sz w:val="32"/>
          <w:szCs w:val="32"/>
        </w:rPr>
        <w:t xml:space="preserve">2022 </w:t>
      </w:r>
      <w:r>
        <w:rPr>
          <w:rFonts w:eastAsia="方正仿宋简体"/>
          <w:sz w:val="32"/>
          <w:szCs w:val="32"/>
        </w:rPr>
        <w:t>核对中心增加了编制，人员经费增加，所以收入增加</w:t>
      </w:r>
      <w:r>
        <w:rPr>
          <w:rFonts w:eastAsia="方正仿宋简体"/>
          <w:sz w:val="32"/>
          <w:szCs w:val="32"/>
        </w:rPr>
        <w:t>121.23</w:t>
      </w:r>
      <w:r>
        <w:rPr>
          <w:rFonts w:eastAsia="方正仿宋简体"/>
          <w:sz w:val="32"/>
          <w:szCs w:val="32"/>
        </w:rPr>
        <w:t>万元；支出减少</w:t>
      </w:r>
      <w:r>
        <w:rPr>
          <w:rFonts w:eastAsia="方正仿宋简体"/>
          <w:sz w:val="32"/>
          <w:szCs w:val="32"/>
        </w:rPr>
        <w:t xml:space="preserve">110.77 </w:t>
      </w:r>
      <w:r>
        <w:rPr>
          <w:rFonts w:eastAsia="方正仿宋简体"/>
          <w:sz w:val="32"/>
          <w:szCs w:val="32"/>
        </w:rPr>
        <w:t>万元，主要原因为项目经费支出大幅减少。</w:t>
      </w:r>
    </w:p>
    <w:p w:rsidR="003C4AE3" w:rsidRDefault="00D57D69">
      <w:pPr>
        <w:pStyle w:val="a0"/>
        <w:spacing w:before="93"/>
        <w:rPr>
          <w:rFonts w:ascii="Times New Roman" w:eastAsia="方正仿宋简体"/>
          <w:sz w:val="32"/>
          <w:szCs w:val="32"/>
        </w:rPr>
      </w:pPr>
      <w:r>
        <w:rPr>
          <w:rFonts w:ascii="Times New Roman" w:eastAsia="方正仿宋简体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74930</wp:posOffset>
            </wp:positionV>
            <wp:extent cx="4572000" cy="2857500"/>
            <wp:effectExtent l="0" t="0" r="0" b="0"/>
            <wp:wrapSquare wrapText="bothSides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C4AE3" w:rsidRDefault="003C4AE3">
      <w:pPr>
        <w:pStyle w:val="a0"/>
        <w:spacing w:before="93"/>
        <w:rPr>
          <w:rFonts w:ascii="Times New Roman" w:eastAsia="方正仿宋简体"/>
          <w:sz w:val="32"/>
          <w:szCs w:val="32"/>
        </w:rPr>
      </w:pPr>
    </w:p>
    <w:p w:rsidR="003C4AE3" w:rsidRDefault="003C4AE3">
      <w:pPr>
        <w:pStyle w:val="a0"/>
        <w:spacing w:before="93"/>
        <w:rPr>
          <w:rFonts w:ascii="Times New Roman" w:eastAsia="方正仿宋简体"/>
          <w:sz w:val="32"/>
          <w:szCs w:val="32"/>
        </w:rPr>
      </w:pPr>
    </w:p>
    <w:p w:rsidR="003C4AE3" w:rsidRDefault="003C4AE3">
      <w:pPr>
        <w:pStyle w:val="a0"/>
        <w:spacing w:before="93"/>
        <w:rPr>
          <w:rFonts w:ascii="Times New Roman" w:eastAsia="方正仿宋简体"/>
          <w:sz w:val="32"/>
          <w:szCs w:val="32"/>
        </w:rPr>
      </w:pPr>
    </w:p>
    <w:p w:rsidR="003C4AE3" w:rsidRDefault="003C4AE3">
      <w:pPr>
        <w:pStyle w:val="a0"/>
        <w:spacing w:before="93"/>
        <w:rPr>
          <w:rFonts w:ascii="Times New Roman" w:eastAsia="方正仿宋简体"/>
          <w:sz w:val="32"/>
          <w:szCs w:val="32"/>
        </w:rPr>
      </w:pPr>
    </w:p>
    <w:p w:rsidR="003C4AE3" w:rsidRDefault="003C4AE3">
      <w:pPr>
        <w:pStyle w:val="a0"/>
        <w:spacing w:before="93"/>
        <w:rPr>
          <w:rFonts w:ascii="Times New Roman" w:eastAsia="方正仿宋简体"/>
          <w:sz w:val="32"/>
          <w:szCs w:val="32"/>
        </w:rPr>
      </w:pPr>
    </w:p>
    <w:p w:rsidR="003C4AE3" w:rsidRDefault="003C4AE3">
      <w:pPr>
        <w:pStyle w:val="a0"/>
        <w:spacing w:before="93"/>
        <w:rPr>
          <w:rFonts w:ascii="Times New Roman" w:eastAsia="方正仿宋简体"/>
          <w:sz w:val="32"/>
          <w:szCs w:val="32"/>
        </w:rPr>
      </w:pPr>
    </w:p>
    <w:p w:rsidR="003C4AE3" w:rsidRDefault="00D57D69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（图</w:t>
      </w:r>
      <w:r>
        <w:rPr>
          <w:rFonts w:eastAsia="方正仿宋简体"/>
          <w:sz w:val="32"/>
          <w:szCs w:val="32"/>
        </w:rPr>
        <w:t>1</w:t>
      </w:r>
      <w:r>
        <w:rPr>
          <w:rFonts w:eastAsia="方正仿宋简体"/>
          <w:sz w:val="32"/>
          <w:szCs w:val="32"/>
        </w:rPr>
        <w:t>：收、支决算总计变动情况图）</w:t>
      </w:r>
    </w:p>
    <w:p w:rsidR="003C4AE3" w:rsidRDefault="00D57D69">
      <w:pPr>
        <w:pStyle w:val="a9"/>
        <w:numPr>
          <w:ilvl w:val="0"/>
          <w:numId w:val="2"/>
        </w:numPr>
        <w:spacing w:line="600" w:lineRule="exact"/>
        <w:ind w:firstLineChars="0"/>
        <w:outlineLvl w:val="1"/>
        <w:rPr>
          <w:rStyle w:val="2Char"/>
          <w:rFonts w:ascii="黑体" w:eastAsia="黑体" w:hAnsi="黑体"/>
          <w:b w:val="0"/>
        </w:rPr>
      </w:pPr>
      <w:bookmarkStart w:id="21" w:name="_Toc15396604"/>
      <w:bookmarkStart w:id="22" w:name="_Toc15377206"/>
      <w:r>
        <w:rPr>
          <w:rFonts w:ascii="黑体" w:eastAsia="黑体" w:hAnsi="黑体" w:hint="eastAsia"/>
          <w:sz w:val="32"/>
          <w:szCs w:val="32"/>
        </w:rPr>
        <w:t>收</w:t>
      </w:r>
      <w:r>
        <w:rPr>
          <w:rStyle w:val="2Char"/>
          <w:rFonts w:ascii="黑体" w:eastAsia="黑体" w:hAnsi="黑体" w:hint="eastAsia"/>
          <w:b w:val="0"/>
        </w:rPr>
        <w:t>入决算情况说明</w:t>
      </w:r>
      <w:bookmarkEnd w:id="21"/>
      <w:bookmarkEnd w:id="22"/>
    </w:p>
    <w:p w:rsidR="003C4AE3" w:rsidRDefault="00D57D69">
      <w:pPr>
        <w:spacing w:line="600" w:lineRule="exact"/>
        <w:ind w:firstLineChars="200" w:firstLine="640"/>
        <w:outlineLvl w:val="1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2022</w:t>
      </w:r>
      <w:r>
        <w:rPr>
          <w:rFonts w:eastAsia="方正仿宋简体"/>
          <w:sz w:val="32"/>
          <w:szCs w:val="32"/>
        </w:rPr>
        <w:t>年本年收入合计</w:t>
      </w:r>
      <w:r>
        <w:rPr>
          <w:rFonts w:eastAsia="方正仿宋简体"/>
          <w:sz w:val="32"/>
          <w:szCs w:val="32"/>
        </w:rPr>
        <w:t>1024.14</w:t>
      </w:r>
      <w:r>
        <w:rPr>
          <w:rFonts w:eastAsia="方正仿宋简体"/>
          <w:sz w:val="32"/>
          <w:szCs w:val="32"/>
        </w:rPr>
        <w:t>万元，其中：一般公共预算财政拨款收入</w:t>
      </w:r>
      <w:r>
        <w:rPr>
          <w:rFonts w:eastAsia="方正仿宋简体"/>
          <w:sz w:val="32"/>
          <w:szCs w:val="32"/>
        </w:rPr>
        <w:t>894.65</w:t>
      </w:r>
      <w:r>
        <w:rPr>
          <w:rFonts w:eastAsia="方正仿宋简体"/>
          <w:sz w:val="32"/>
          <w:szCs w:val="32"/>
        </w:rPr>
        <w:t>万元，占</w:t>
      </w:r>
      <w:r>
        <w:rPr>
          <w:rFonts w:eastAsia="方正仿宋简体"/>
          <w:sz w:val="32"/>
          <w:szCs w:val="32"/>
        </w:rPr>
        <w:t>87.36%</w:t>
      </w:r>
      <w:r>
        <w:rPr>
          <w:rFonts w:eastAsia="方正仿宋简体"/>
          <w:sz w:val="32"/>
          <w:szCs w:val="32"/>
        </w:rPr>
        <w:t>；政府性基金预算财政拨款</w:t>
      </w:r>
      <w:r>
        <w:rPr>
          <w:rFonts w:eastAsia="方正仿宋简体"/>
          <w:sz w:val="32"/>
          <w:szCs w:val="32"/>
        </w:rPr>
        <w:lastRenderedPageBreak/>
        <w:t>收入</w:t>
      </w:r>
      <w:r>
        <w:rPr>
          <w:rFonts w:eastAsia="方正仿宋简体"/>
          <w:sz w:val="32"/>
          <w:szCs w:val="32"/>
        </w:rPr>
        <w:t>129.5</w:t>
      </w:r>
      <w:r>
        <w:rPr>
          <w:rFonts w:eastAsia="方正仿宋简体"/>
          <w:sz w:val="32"/>
          <w:szCs w:val="32"/>
        </w:rPr>
        <w:t>万元，占</w:t>
      </w:r>
      <w:r>
        <w:rPr>
          <w:rFonts w:eastAsia="方正仿宋简体"/>
          <w:sz w:val="32"/>
          <w:szCs w:val="32"/>
        </w:rPr>
        <w:t>12.64%</w:t>
      </w:r>
      <w:r>
        <w:rPr>
          <w:rFonts w:eastAsia="方正仿宋简体"/>
          <w:sz w:val="32"/>
          <w:szCs w:val="32"/>
        </w:rPr>
        <w:t>。</w:t>
      </w:r>
    </w:p>
    <w:p w:rsidR="003C4AE3" w:rsidRDefault="00D57D69">
      <w:pPr>
        <w:pStyle w:val="a0"/>
        <w:spacing w:before="93"/>
        <w:rPr>
          <w:rFonts w:ascii="Times New Roman" w:eastAsia="方正仿宋简体"/>
          <w:sz w:val="32"/>
          <w:szCs w:val="32"/>
        </w:rPr>
      </w:pPr>
      <w:r>
        <w:rPr>
          <w:rFonts w:ascii="Times New Roman" w:eastAsia="方正仿宋简体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73660</wp:posOffset>
            </wp:positionV>
            <wp:extent cx="4213225" cy="2467610"/>
            <wp:effectExtent l="4445" t="4445" r="11430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C4AE3" w:rsidRDefault="00D57D69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</w:t>
      </w:r>
    </w:p>
    <w:p w:rsidR="003C4AE3" w:rsidRDefault="00D57D69">
      <w:pPr>
        <w:spacing w:line="600" w:lineRule="exact"/>
        <w:ind w:firstLineChars="200" w:firstLine="640"/>
        <w:jc w:val="center"/>
        <w:outlineLvl w:val="1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（图</w:t>
      </w:r>
      <w:r>
        <w:rPr>
          <w:rFonts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：收入决算结构图）</w:t>
      </w:r>
    </w:p>
    <w:p w:rsidR="003C4AE3" w:rsidRDefault="00D57D69">
      <w:pPr>
        <w:pStyle w:val="a9"/>
        <w:numPr>
          <w:ilvl w:val="0"/>
          <w:numId w:val="2"/>
        </w:numPr>
        <w:spacing w:line="600" w:lineRule="exact"/>
        <w:ind w:firstLineChars="0"/>
        <w:outlineLvl w:val="1"/>
        <w:rPr>
          <w:rStyle w:val="2Char"/>
          <w:rFonts w:ascii="黑体" w:eastAsia="黑体" w:hAnsi="黑体"/>
          <w:b w:val="0"/>
        </w:rPr>
      </w:pPr>
      <w:bookmarkStart w:id="23" w:name="_Toc15396605"/>
      <w:bookmarkStart w:id="24" w:name="_Toc15377207"/>
      <w:r>
        <w:rPr>
          <w:rFonts w:ascii="黑体" w:eastAsia="黑体" w:hAnsi="黑体" w:hint="eastAsia"/>
          <w:sz w:val="32"/>
          <w:szCs w:val="32"/>
        </w:rPr>
        <w:t>支</w:t>
      </w:r>
      <w:r>
        <w:rPr>
          <w:rStyle w:val="2Char"/>
          <w:rFonts w:ascii="黑体" w:eastAsia="黑体" w:hAnsi="黑体" w:hint="eastAsia"/>
          <w:b w:val="0"/>
        </w:rPr>
        <w:t>出决算情况说明</w:t>
      </w:r>
      <w:bookmarkEnd w:id="23"/>
      <w:bookmarkEnd w:id="24"/>
    </w:p>
    <w:p w:rsidR="003C4AE3" w:rsidRDefault="00D57D69">
      <w:pPr>
        <w:spacing w:line="600" w:lineRule="exact"/>
        <w:ind w:firstLineChars="200" w:firstLine="640"/>
        <w:outlineLvl w:val="1"/>
        <w:rPr>
          <w:rFonts w:eastAsia="方正仿宋简体"/>
          <w:b/>
          <w:sz w:val="32"/>
          <w:szCs w:val="32"/>
        </w:rPr>
      </w:pPr>
      <w:r>
        <w:rPr>
          <w:rFonts w:eastAsia="方正仿宋简体"/>
          <w:sz w:val="32"/>
          <w:szCs w:val="32"/>
        </w:rPr>
        <w:t>2022</w:t>
      </w:r>
      <w:r>
        <w:rPr>
          <w:rFonts w:eastAsia="方正仿宋简体"/>
          <w:sz w:val="32"/>
          <w:szCs w:val="32"/>
        </w:rPr>
        <w:t>年本年支出合计</w:t>
      </w:r>
      <w:r>
        <w:rPr>
          <w:rFonts w:eastAsia="方正仿宋简体"/>
          <w:sz w:val="32"/>
          <w:szCs w:val="32"/>
        </w:rPr>
        <w:t>1070.91</w:t>
      </w:r>
      <w:r>
        <w:rPr>
          <w:rFonts w:eastAsia="方正仿宋简体"/>
          <w:sz w:val="32"/>
          <w:szCs w:val="32"/>
        </w:rPr>
        <w:t>万元，其中：基本支出</w:t>
      </w:r>
      <w:r>
        <w:rPr>
          <w:rFonts w:eastAsia="方正仿宋简体"/>
          <w:sz w:val="32"/>
          <w:szCs w:val="32"/>
        </w:rPr>
        <w:t>888.68</w:t>
      </w:r>
      <w:r>
        <w:rPr>
          <w:rFonts w:eastAsia="方正仿宋简体"/>
          <w:sz w:val="32"/>
          <w:szCs w:val="32"/>
        </w:rPr>
        <w:t>万元，占</w:t>
      </w:r>
      <w:r>
        <w:rPr>
          <w:rFonts w:eastAsia="方正仿宋简体"/>
          <w:sz w:val="32"/>
          <w:szCs w:val="32"/>
        </w:rPr>
        <w:t>82.98%</w:t>
      </w:r>
      <w:r>
        <w:rPr>
          <w:rFonts w:eastAsia="方正仿宋简体"/>
          <w:sz w:val="32"/>
          <w:szCs w:val="32"/>
        </w:rPr>
        <w:t>；项目支出</w:t>
      </w:r>
      <w:r>
        <w:rPr>
          <w:rFonts w:eastAsia="方正仿宋简体"/>
          <w:sz w:val="32"/>
          <w:szCs w:val="32"/>
        </w:rPr>
        <w:t>182.29</w:t>
      </w:r>
      <w:r>
        <w:rPr>
          <w:rFonts w:eastAsia="方正仿宋简体"/>
          <w:sz w:val="32"/>
          <w:szCs w:val="32"/>
        </w:rPr>
        <w:t>万元，占</w:t>
      </w:r>
      <w:r>
        <w:rPr>
          <w:rFonts w:eastAsia="方正仿宋简体"/>
          <w:sz w:val="32"/>
          <w:szCs w:val="32"/>
        </w:rPr>
        <w:t>17.02%</w:t>
      </w:r>
      <w:r>
        <w:rPr>
          <w:rFonts w:eastAsia="方正仿宋简体"/>
          <w:sz w:val="32"/>
          <w:szCs w:val="32"/>
        </w:rPr>
        <w:t>。</w:t>
      </w:r>
    </w:p>
    <w:p w:rsidR="003C4AE3" w:rsidRDefault="00D57D69">
      <w:pPr>
        <w:spacing w:line="600" w:lineRule="exact"/>
        <w:ind w:firstLine="640"/>
        <w:rPr>
          <w:rFonts w:eastAsia="方正仿宋简体"/>
          <w:sz w:val="32"/>
          <w:szCs w:val="32"/>
          <w:shd w:val="pct10" w:color="auto" w:fill="FFFFFF"/>
        </w:rPr>
      </w:pPr>
      <w:r>
        <w:rPr>
          <w:rFonts w:eastAsia="方正仿宋简体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22225</wp:posOffset>
            </wp:positionV>
            <wp:extent cx="4213225" cy="2581275"/>
            <wp:effectExtent l="4445" t="4445" r="11430" b="5080"/>
            <wp:wrapSquare wrapText="bothSides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3C4AE3" w:rsidRDefault="003C4AE3">
      <w:pPr>
        <w:pStyle w:val="a0"/>
        <w:spacing w:before="93"/>
        <w:rPr>
          <w:rFonts w:ascii="Times New Roman" w:eastAsia="方正仿宋简体"/>
          <w:sz w:val="32"/>
          <w:szCs w:val="32"/>
          <w:shd w:val="pct10" w:color="auto" w:fill="FFFFFF"/>
        </w:rPr>
      </w:pPr>
    </w:p>
    <w:p w:rsidR="003C4AE3" w:rsidRDefault="003C4AE3">
      <w:pPr>
        <w:pStyle w:val="a0"/>
        <w:spacing w:before="93"/>
        <w:rPr>
          <w:rFonts w:ascii="Times New Roman" w:eastAsia="方正仿宋简体"/>
          <w:sz w:val="32"/>
          <w:szCs w:val="32"/>
          <w:shd w:val="pct10" w:color="auto" w:fill="FFFFFF"/>
        </w:rPr>
      </w:pPr>
    </w:p>
    <w:p w:rsidR="003C4AE3" w:rsidRDefault="003C4AE3">
      <w:pPr>
        <w:pStyle w:val="a0"/>
        <w:spacing w:before="93"/>
        <w:rPr>
          <w:rFonts w:ascii="Times New Roman" w:eastAsia="方正仿宋简体"/>
          <w:sz w:val="32"/>
          <w:szCs w:val="32"/>
          <w:shd w:val="pct10" w:color="auto" w:fill="FFFFFF"/>
        </w:rPr>
      </w:pPr>
    </w:p>
    <w:p w:rsidR="003C4AE3" w:rsidRDefault="003C4AE3">
      <w:pPr>
        <w:pStyle w:val="a0"/>
        <w:spacing w:before="93"/>
        <w:rPr>
          <w:rFonts w:ascii="Times New Roman" w:eastAsia="方正仿宋简体"/>
          <w:sz w:val="32"/>
          <w:szCs w:val="32"/>
          <w:shd w:val="pct10" w:color="auto" w:fill="FFFFFF"/>
        </w:rPr>
      </w:pPr>
    </w:p>
    <w:p w:rsidR="003C4AE3" w:rsidRDefault="003C4AE3">
      <w:pPr>
        <w:pStyle w:val="a0"/>
        <w:spacing w:before="93"/>
        <w:rPr>
          <w:rFonts w:ascii="Times New Roman" w:eastAsia="方正仿宋简体"/>
          <w:sz w:val="32"/>
          <w:szCs w:val="32"/>
          <w:shd w:val="pct10" w:color="auto" w:fill="FFFFFF"/>
        </w:rPr>
      </w:pPr>
    </w:p>
    <w:p w:rsidR="003C4AE3" w:rsidRDefault="00D57D69">
      <w:pPr>
        <w:spacing w:line="600" w:lineRule="exact"/>
        <w:ind w:firstLineChars="200" w:firstLine="640"/>
        <w:jc w:val="center"/>
        <w:outlineLvl w:val="1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（图</w:t>
      </w:r>
      <w:r>
        <w:rPr>
          <w:rFonts w:eastAsia="方正仿宋简体"/>
          <w:sz w:val="32"/>
          <w:szCs w:val="32"/>
        </w:rPr>
        <w:t>3</w:t>
      </w:r>
      <w:r>
        <w:rPr>
          <w:rFonts w:eastAsia="方正仿宋简体"/>
          <w:sz w:val="32"/>
          <w:szCs w:val="32"/>
        </w:rPr>
        <w:t>：支出决算结构图）</w:t>
      </w:r>
    </w:p>
    <w:p w:rsidR="003C4AE3" w:rsidRDefault="00D57D69">
      <w:pPr>
        <w:spacing w:line="600" w:lineRule="exact"/>
        <w:ind w:firstLineChars="200" w:firstLine="640"/>
        <w:outlineLvl w:val="1"/>
        <w:rPr>
          <w:rStyle w:val="2Char"/>
          <w:rFonts w:ascii="黑体" w:eastAsia="黑体" w:hAnsi="黑体"/>
          <w:b w:val="0"/>
        </w:rPr>
      </w:pPr>
      <w:bookmarkStart w:id="25" w:name="_Toc15377208"/>
      <w:bookmarkStart w:id="26" w:name="_Toc15396606"/>
      <w:r>
        <w:rPr>
          <w:rFonts w:ascii="黑体" w:eastAsia="黑体" w:hAnsi="黑体" w:hint="eastAsia"/>
          <w:sz w:val="32"/>
          <w:szCs w:val="32"/>
        </w:rPr>
        <w:t>四、财</w:t>
      </w:r>
      <w:r>
        <w:rPr>
          <w:rStyle w:val="2Char"/>
          <w:rFonts w:ascii="黑体" w:eastAsia="黑体" w:hAnsi="黑体" w:hint="eastAsia"/>
          <w:b w:val="0"/>
        </w:rPr>
        <w:t>政拨款收入支出决算总体情况说明</w:t>
      </w:r>
      <w:bookmarkEnd w:id="25"/>
      <w:bookmarkEnd w:id="26"/>
    </w:p>
    <w:p w:rsidR="003C4AE3" w:rsidRDefault="00D57D69">
      <w:pPr>
        <w:spacing w:line="600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lastRenderedPageBreak/>
        <w:t>2022</w:t>
      </w:r>
      <w:r>
        <w:rPr>
          <w:rFonts w:eastAsia="方正仿宋简体"/>
          <w:sz w:val="32"/>
          <w:szCs w:val="32"/>
        </w:rPr>
        <w:t>年财政拨款收、支总计</w:t>
      </w:r>
      <w:r>
        <w:rPr>
          <w:rFonts w:eastAsia="方正仿宋简体"/>
          <w:sz w:val="32"/>
          <w:szCs w:val="32"/>
        </w:rPr>
        <w:t>2095.05</w:t>
      </w:r>
      <w:r>
        <w:rPr>
          <w:rFonts w:eastAsia="方正仿宋简体"/>
          <w:sz w:val="32"/>
          <w:szCs w:val="32"/>
        </w:rPr>
        <w:t>万元。与</w:t>
      </w:r>
      <w:r>
        <w:rPr>
          <w:rFonts w:eastAsia="方正仿宋简体"/>
          <w:sz w:val="32"/>
          <w:szCs w:val="32"/>
        </w:rPr>
        <w:t>2021</w:t>
      </w:r>
      <w:r>
        <w:rPr>
          <w:rFonts w:eastAsia="方正仿宋简体"/>
          <w:sz w:val="32"/>
          <w:szCs w:val="32"/>
        </w:rPr>
        <w:t>年相比，财政拨款收入增加</w:t>
      </w:r>
      <w:r>
        <w:rPr>
          <w:rFonts w:eastAsia="方正仿宋简体"/>
          <w:sz w:val="32"/>
          <w:szCs w:val="32"/>
        </w:rPr>
        <w:t>121.23</w:t>
      </w:r>
      <w:r>
        <w:rPr>
          <w:rFonts w:eastAsia="方正仿宋简体"/>
          <w:sz w:val="32"/>
          <w:szCs w:val="32"/>
        </w:rPr>
        <w:t>万元、支出减少</w:t>
      </w:r>
      <w:r>
        <w:rPr>
          <w:rFonts w:eastAsia="方正仿宋简体"/>
          <w:sz w:val="32"/>
          <w:szCs w:val="32"/>
        </w:rPr>
        <w:t>110.77</w:t>
      </w:r>
      <w:r>
        <w:rPr>
          <w:rFonts w:eastAsia="方正仿宋简体"/>
          <w:sz w:val="32"/>
          <w:szCs w:val="32"/>
        </w:rPr>
        <w:t>万元，收入增长</w:t>
      </w:r>
      <w:r>
        <w:rPr>
          <w:rFonts w:eastAsia="方正仿宋简体"/>
          <w:sz w:val="32"/>
          <w:szCs w:val="32"/>
        </w:rPr>
        <w:t>13.4%</w:t>
      </w:r>
      <w:r>
        <w:rPr>
          <w:rFonts w:eastAsia="方正仿宋简体"/>
          <w:sz w:val="32"/>
          <w:szCs w:val="32"/>
        </w:rPr>
        <w:t>、支出减少</w:t>
      </w:r>
      <w:r>
        <w:rPr>
          <w:rFonts w:eastAsia="方正仿宋简体"/>
          <w:sz w:val="32"/>
          <w:szCs w:val="32"/>
        </w:rPr>
        <w:t>9.3%</w:t>
      </w:r>
      <w:r>
        <w:rPr>
          <w:rFonts w:eastAsia="方正仿宋简体"/>
          <w:sz w:val="32"/>
          <w:szCs w:val="32"/>
        </w:rPr>
        <w:t>，主要变动原因为</w:t>
      </w:r>
      <w:r>
        <w:rPr>
          <w:rFonts w:eastAsia="方正仿宋简体"/>
          <w:sz w:val="32"/>
          <w:szCs w:val="32"/>
        </w:rPr>
        <w:t xml:space="preserve">2022 </w:t>
      </w:r>
      <w:r>
        <w:rPr>
          <w:rFonts w:eastAsia="方正仿宋简体"/>
          <w:sz w:val="32"/>
          <w:szCs w:val="32"/>
        </w:rPr>
        <w:t>核对中心增加了编制，人员经费增加，所以收入增加</w:t>
      </w:r>
      <w:r>
        <w:rPr>
          <w:rFonts w:eastAsia="方正仿宋简体"/>
          <w:sz w:val="32"/>
          <w:szCs w:val="32"/>
        </w:rPr>
        <w:t>121.23</w:t>
      </w:r>
      <w:r>
        <w:rPr>
          <w:rFonts w:eastAsia="方正仿宋简体"/>
          <w:sz w:val="32"/>
          <w:szCs w:val="32"/>
        </w:rPr>
        <w:t>万元；支出减少</w:t>
      </w:r>
      <w:r>
        <w:rPr>
          <w:rFonts w:eastAsia="方正仿宋简体"/>
          <w:sz w:val="32"/>
          <w:szCs w:val="32"/>
        </w:rPr>
        <w:t xml:space="preserve">110.77 </w:t>
      </w:r>
      <w:r>
        <w:rPr>
          <w:rFonts w:eastAsia="方正仿宋简体"/>
          <w:sz w:val="32"/>
          <w:szCs w:val="32"/>
        </w:rPr>
        <w:t>万元，主要原因为项目经费支出大幅减少。</w:t>
      </w:r>
    </w:p>
    <w:p w:rsidR="003C4AE3" w:rsidRDefault="00D57D69"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</w:t>
      </w:r>
      <w:r>
        <w:rPr>
          <w:rFonts w:eastAsia="方正仿宋简体"/>
          <w:sz w:val="32"/>
          <w:szCs w:val="32"/>
        </w:rPr>
        <w:t>（图</w:t>
      </w:r>
      <w:r>
        <w:rPr>
          <w:rFonts w:eastAsia="方正仿宋简体"/>
          <w:sz w:val="32"/>
          <w:szCs w:val="32"/>
        </w:rPr>
        <w:t>4</w:t>
      </w:r>
      <w:r>
        <w:rPr>
          <w:rFonts w:eastAsia="方正仿宋简体"/>
          <w:sz w:val="32"/>
          <w:szCs w:val="32"/>
        </w:rPr>
        <w:t>：财政拨款收、支决算总计变动情况）</w:t>
      </w:r>
      <w:r>
        <w:rPr>
          <w:rFonts w:eastAsia="方正仿宋简体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78105</wp:posOffset>
            </wp:positionV>
            <wp:extent cx="5572125" cy="2970530"/>
            <wp:effectExtent l="0" t="0" r="9525" b="1270"/>
            <wp:wrapSquare wrapText="bothSides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C4AE3" w:rsidRDefault="00D57D69">
      <w:pPr>
        <w:spacing w:line="600" w:lineRule="exact"/>
        <w:ind w:firstLineChars="200" w:firstLine="640"/>
        <w:outlineLvl w:val="1"/>
        <w:rPr>
          <w:rStyle w:val="2Char"/>
          <w:rFonts w:ascii="黑体" w:eastAsia="黑体" w:hAnsi="黑体"/>
          <w:b w:val="0"/>
        </w:rPr>
      </w:pPr>
      <w:bookmarkStart w:id="27" w:name="_Toc15377209"/>
      <w:bookmarkStart w:id="28" w:name="_Toc15396607"/>
      <w:r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 w:hint="eastAsia"/>
          <w:b/>
          <w:sz w:val="32"/>
          <w:szCs w:val="32"/>
        </w:rPr>
        <w:t>一</w:t>
      </w:r>
      <w:r>
        <w:rPr>
          <w:rStyle w:val="2Char"/>
          <w:rFonts w:ascii="黑体" w:eastAsia="黑体" w:hAnsi="黑体" w:hint="eastAsia"/>
          <w:b w:val="0"/>
        </w:rPr>
        <w:t>般公共预算财政拨款支出决算情况说明</w:t>
      </w:r>
      <w:bookmarkEnd w:id="27"/>
      <w:bookmarkEnd w:id="28"/>
    </w:p>
    <w:p w:rsidR="003C4AE3" w:rsidRDefault="00D57D69" w:rsidP="00F22465">
      <w:pPr>
        <w:spacing w:line="600" w:lineRule="exact"/>
        <w:ind w:firstLineChars="200" w:firstLine="643"/>
        <w:outlineLvl w:val="2"/>
        <w:rPr>
          <w:rFonts w:ascii="楷体_GB2312" w:eastAsia="楷体_GB2312" w:hAnsi="楷体_GB2312" w:cs="楷体_GB2312"/>
          <w:b/>
          <w:sz w:val="32"/>
          <w:szCs w:val="32"/>
        </w:rPr>
      </w:pPr>
      <w:bookmarkStart w:id="29" w:name="_Toc15377210"/>
      <w:r>
        <w:rPr>
          <w:rFonts w:ascii="楷体_GB2312" w:eastAsia="楷体_GB2312" w:hAnsi="楷体_GB2312" w:cs="楷体_GB2312" w:hint="eastAsia"/>
          <w:b/>
          <w:sz w:val="32"/>
          <w:szCs w:val="32"/>
        </w:rPr>
        <w:t>（一）一般公共预算财政拨款支出决算总体情况</w:t>
      </w:r>
      <w:bookmarkEnd w:id="29"/>
    </w:p>
    <w:p w:rsidR="003C4AE3" w:rsidRDefault="00D57D69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2022</w:t>
      </w:r>
      <w:r>
        <w:rPr>
          <w:rFonts w:eastAsia="方正仿宋简体"/>
          <w:sz w:val="32"/>
          <w:szCs w:val="32"/>
        </w:rPr>
        <w:t>年一般公共预算财政拨款支出</w:t>
      </w:r>
      <w:r>
        <w:rPr>
          <w:rFonts w:eastAsia="方正仿宋简体"/>
          <w:sz w:val="32"/>
          <w:szCs w:val="32"/>
        </w:rPr>
        <w:t>941.41</w:t>
      </w:r>
      <w:r>
        <w:rPr>
          <w:rFonts w:eastAsia="方正仿宋简体"/>
          <w:sz w:val="32"/>
          <w:szCs w:val="32"/>
        </w:rPr>
        <w:t>万元，占本年支出合计的</w:t>
      </w:r>
      <w:r>
        <w:rPr>
          <w:rFonts w:eastAsia="方正仿宋简体"/>
          <w:sz w:val="32"/>
          <w:szCs w:val="32"/>
        </w:rPr>
        <w:t>87.91%</w:t>
      </w:r>
      <w:r>
        <w:rPr>
          <w:rFonts w:eastAsia="方正仿宋简体"/>
          <w:sz w:val="32"/>
          <w:szCs w:val="32"/>
        </w:rPr>
        <w:t>。与</w:t>
      </w:r>
      <w:r>
        <w:rPr>
          <w:rFonts w:eastAsia="方正仿宋简体"/>
          <w:sz w:val="32"/>
          <w:szCs w:val="32"/>
        </w:rPr>
        <w:t>2021</w:t>
      </w:r>
      <w:r>
        <w:rPr>
          <w:rFonts w:eastAsia="方正仿宋简体"/>
          <w:sz w:val="32"/>
          <w:szCs w:val="32"/>
        </w:rPr>
        <w:t>年相比，一般公共预算财政拨款支出增加</w:t>
      </w:r>
      <w:r>
        <w:rPr>
          <w:rFonts w:eastAsia="方正仿宋简体"/>
          <w:sz w:val="32"/>
          <w:szCs w:val="32"/>
        </w:rPr>
        <w:t>8.64</w:t>
      </w:r>
      <w:r>
        <w:rPr>
          <w:rFonts w:eastAsia="方正仿宋简体"/>
          <w:sz w:val="32"/>
          <w:szCs w:val="32"/>
        </w:rPr>
        <w:t>万元，增长</w:t>
      </w:r>
      <w:r>
        <w:rPr>
          <w:rFonts w:eastAsia="方正仿宋简体"/>
          <w:sz w:val="32"/>
          <w:szCs w:val="32"/>
        </w:rPr>
        <w:t>0.93%</w:t>
      </w:r>
      <w:r>
        <w:rPr>
          <w:rFonts w:eastAsia="方正仿宋简体"/>
          <w:sz w:val="32"/>
          <w:szCs w:val="32"/>
        </w:rPr>
        <w:t>。主要变动原因是一般公共服务人员类增加支出。</w:t>
      </w:r>
    </w:p>
    <w:p w:rsidR="003C4AE3" w:rsidRDefault="003C4AE3">
      <w:pPr>
        <w:pStyle w:val="a0"/>
        <w:spacing w:before="93"/>
        <w:rPr>
          <w:rFonts w:ascii="Times New Roman" w:eastAsia="方正仿宋简体"/>
        </w:rPr>
      </w:pPr>
    </w:p>
    <w:p w:rsidR="003C4AE3" w:rsidRDefault="003C4AE3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</w:p>
    <w:p w:rsidR="003C4AE3" w:rsidRDefault="003C4AE3">
      <w:pPr>
        <w:spacing w:line="600" w:lineRule="exact"/>
        <w:rPr>
          <w:rFonts w:eastAsia="方正仿宋简体"/>
          <w:sz w:val="32"/>
          <w:szCs w:val="32"/>
        </w:rPr>
      </w:pPr>
    </w:p>
    <w:p w:rsidR="003C4AE3" w:rsidRDefault="003C4AE3">
      <w:pPr>
        <w:spacing w:line="600" w:lineRule="exact"/>
        <w:rPr>
          <w:rFonts w:eastAsia="方正仿宋简体"/>
          <w:sz w:val="32"/>
          <w:szCs w:val="32"/>
        </w:rPr>
      </w:pPr>
    </w:p>
    <w:p w:rsidR="003C4AE3" w:rsidRDefault="003C4AE3">
      <w:pPr>
        <w:spacing w:line="600" w:lineRule="exact"/>
        <w:rPr>
          <w:rFonts w:eastAsia="方正仿宋简体"/>
          <w:sz w:val="32"/>
          <w:szCs w:val="32"/>
        </w:rPr>
      </w:pPr>
    </w:p>
    <w:p w:rsidR="003C4AE3" w:rsidRDefault="00D57D69"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242570</wp:posOffset>
            </wp:positionV>
            <wp:extent cx="4851400" cy="3181350"/>
            <wp:effectExtent l="5080" t="4445" r="20320" b="14605"/>
            <wp:wrapTight wrapText="bothSides">
              <wp:wrapPolygon edited="0">
                <wp:start x="-23" y="-30"/>
                <wp:lineTo x="-23" y="21570"/>
                <wp:lineTo x="21521" y="21570"/>
                <wp:lineTo x="21521" y="-30"/>
                <wp:lineTo x="-23" y="-30"/>
              </wp:wrapPolygon>
            </wp:wrapTight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3C4AE3" w:rsidRDefault="003C4AE3">
      <w:pPr>
        <w:spacing w:line="600" w:lineRule="exact"/>
        <w:rPr>
          <w:rFonts w:eastAsia="方正仿宋简体"/>
          <w:sz w:val="32"/>
          <w:szCs w:val="32"/>
        </w:rPr>
      </w:pPr>
    </w:p>
    <w:p w:rsidR="003C4AE3" w:rsidRDefault="003C4AE3">
      <w:pPr>
        <w:spacing w:line="600" w:lineRule="exact"/>
        <w:rPr>
          <w:rFonts w:eastAsia="方正仿宋简体"/>
          <w:sz w:val="32"/>
          <w:szCs w:val="32"/>
        </w:rPr>
      </w:pPr>
    </w:p>
    <w:p w:rsidR="003C4AE3" w:rsidRDefault="003C4AE3">
      <w:pPr>
        <w:spacing w:line="600" w:lineRule="exact"/>
        <w:rPr>
          <w:rFonts w:eastAsia="方正仿宋简体"/>
          <w:sz w:val="32"/>
          <w:szCs w:val="32"/>
        </w:rPr>
      </w:pPr>
    </w:p>
    <w:p w:rsidR="003C4AE3" w:rsidRDefault="003C4AE3">
      <w:pPr>
        <w:spacing w:line="600" w:lineRule="exact"/>
        <w:rPr>
          <w:rFonts w:eastAsia="方正仿宋简体"/>
          <w:sz w:val="32"/>
          <w:szCs w:val="32"/>
        </w:rPr>
      </w:pPr>
    </w:p>
    <w:p w:rsidR="003C4AE3" w:rsidRDefault="003C4AE3">
      <w:pPr>
        <w:spacing w:line="600" w:lineRule="exact"/>
        <w:rPr>
          <w:rFonts w:eastAsia="方正仿宋简体"/>
          <w:sz w:val="32"/>
          <w:szCs w:val="32"/>
        </w:rPr>
      </w:pPr>
    </w:p>
    <w:p w:rsidR="003C4AE3" w:rsidRDefault="003C4AE3">
      <w:pPr>
        <w:pStyle w:val="a0"/>
        <w:spacing w:before="93"/>
        <w:rPr>
          <w:rFonts w:ascii="Times New Roman" w:eastAsia="方正仿宋简体"/>
          <w:sz w:val="32"/>
          <w:szCs w:val="32"/>
        </w:rPr>
      </w:pPr>
    </w:p>
    <w:p w:rsidR="003C4AE3" w:rsidRDefault="003C4AE3">
      <w:pPr>
        <w:pStyle w:val="a0"/>
        <w:spacing w:before="93"/>
        <w:rPr>
          <w:rFonts w:ascii="Times New Roman" w:eastAsia="方正仿宋简体"/>
          <w:sz w:val="32"/>
          <w:szCs w:val="32"/>
        </w:rPr>
      </w:pPr>
    </w:p>
    <w:p w:rsidR="003C4AE3" w:rsidRDefault="003C4AE3">
      <w:pPr>
        <w:pStyle w:val="a0"/>
        <w:spacing w:before="93"/>
        <w:rPr>
          <w:rFonts w:ascii="Times New Roman" w:eastAsia="方正仿宋简体"/>
          <w:sz w:val="32"/>
          <w:szCs w:val="32"/>
        </w:rPr>
      </w:pPr>
    </w:p>
    <w:p w:rsidR="003C4AE3" w:rsidRDefault="00D57D69"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（图</w:t>
      </w:r>
      <w:r>
        <w:rPr>
          <w:rFonts w:eastAsia="方正仿宋简体"/>
          <w:sz w:val="32"/>
          <w:szCs w:val="32"/>
        </w:rPr>
        <w:t>5</w:t>
      </w:r>
      <w:r>
        <w:rPr>
          <w:rFonts w:eastAsia="方正仿宋简体"/>
          <w:sz w:val="32"/>
          <w:szCs w:val="32"/>
        </w:rPr>
        <w:t>：一般公共预算财政拨款支出决算变动情况）</w:t>
      </w:r>
    </w:p>
    <w:p w:rsidR="003C4AE3" w:rsidRDefault="00D57D69" w:rsidP="00F22465">
      <w:pPr>
        <w:spacing w:line="600" w:lineRule="exact"/>
        <w:ind w:firstLineChars="200" w:firstLine="643"/>
        <w:outlineLvl w:val="2"/>
        <w:rPr>
          <w:rFonts w:ascii="楷体_GB2312" w:eastAsia="楷体_GB2312" w:hAnsi="楷体_GB2312" w:cs="楷体_GB2312"/>
          <w:b/>
          <w:sz w:val="32"/>
          <w:szCs w:val="32"/>
        </w:rPr>
      </w:pPr>
      <w:bookmarkStart w:id="30" w:name="_Toc15377211"/>
      <w:r>
        <w:rPr>
          <w:rFonts w:ascii="楷体_GB2312" w:eastAsia="楷体_GB2312" w:hAnsi="楷体_GB2312" w:cs="楷体_GB2312" w:hint="eastAsia"/>
          <w:b/>
          <w:sz w:val="32"/>
          <w:szCs w:val="32"/>
        </w:rPr>
        <w:t>（二）一般公共预算财政拨款支出决算结构情况</w:t>
      </w:r>
      <w:bookmarkEnd w:id="30"/>
    </w:p>
    <w:p w:rsidR="003C4AE3" w:rsidRDefault="00D57D69">
      <w:pPr>
        <w:spacing w:line="600" w:lineRule="exact"/>
        <w:ind w:firstLine="640"/>
        <w:rPr>
          <w:rFonts w:eastAsia="方正仿宋简体"/>
          <w:b/>
          <w:sz w:val="32"/>
          <w:szCs w:val="32"/>
        </w:rPr>
      </w:pPr>
      <w:r>
        <w:rPr>
          <w:rFonts w:eastAsia="方正仿宋简体"/>
          <w:sz w:val="32"/>
          <w:szCs w:val="32"/>
        </w:rPr>
        <w:t>2022</w:t>
      </w:r>
      <w:r>
        <w:rPr>
          <w:rFonts w:eastAsia="方正仿宋简体"/>
          <w:sz w:val="32"/>
          <w:szCs w:val="32"/>
        </w:rPr>
        <w:t>年一般公共预算财政拨款支出</w:t>
      </w:r>
      <w:r>
        <w:rPr>
          <w:rFonts w:eastAsia="方正仿宋简体"/>
          <w:sz w:val="32"/>
          <w:szCs w:val="32"/>
        </w:rPr>
        <w:t>941.41</w:t>
      </w:r>
      <w:r>
        <w:rPr>
          <w:rFonts w:eastAsia="方正仿宋简体"/>
          <w:sz w:val="32"/>
          <w:szCs w:val="32"/>
        </w:rPr>
        <w:t>万元，主要用于以下方面</w:t>
      </w:r>
      <w:r>
        <w:rPr>
          <w:rFonts w:eastAsia="方正仿宋简体"/>
          <w:sz w:val="32"/>
          <w:szCs w:val="32"/>
        </w:rPr>
        <w:t>:</w:t>
      </w:r>
      <w:r>
        <w:rPr>
          <w:rFonts w:eastAsia="方正仿宋简体"/>
          <w:b/>
          <w:sz w:val="32"/>
          <w:szCs w:val="32"/>
        </w:rPr>
        <w:t>一般公共服务</w:t>
      </w:r>
      <w:r>
        <w:rPr>
          <w:rFonts w:eastAsia="方正仿宋简体"/>
          <w:b/>
          <w:bCs/>
          <w:sz w:val="32"/>
          <w:szCs w:val="32"/>
        </w:rPr>
        <w:t>支出</w:t>
      </w:r>
      <w:r>
        <w:rPr>
          <w:rFonts w:eastAsia="方正仿宋简体"/>
          <w:sz w:val="32"/>
          <w:szCs w:val="32"/>
        </w:rPr>
        <w:t>2.42</w:t>
      </w:r>
      <w:r>
        <w:rPr>
          <w:rFonts w:eastAsia="方正仿宋简体"/>
          <w:sz w:val="32"/>
          <w:szCs w:val="32"/>
        </w:rPr>
        <w:t>万元，占</w:t>
      </w:r>
      <w:r>
        <w:rPr>
          <w:rFonts w:eastAsia="方正仿宋简体"/>
          <w:sz w:val="32"/>
          <w:szCs w:val="32"/>
        </w:rPr>
        <w:t>0.26%</w:t>
      </w:r>
      <w:r>
        <w:rPr>
          <w:rFonts w:eastAsia="方正仿宋简体"/>
          <w:sz w:val="32"/>
          <w:szCs w:val="32"/>
        </w:rPr>
        <w:t>；</w:t>
      </w:r>
      <w:r>
        <w:rPr>
          <w:rFonts w:eastAsia="方正仿宋简体"/>
          <w:b/>
          <w:sz w:val="32"/>
          <w:szCs w:val="32"/>
        </w:rPr>
        <w:t>社会保障和就业</w:t>
      </w:r>
      <w:r>
        <w:rPr>
          <w:rFonts w:eastAsia="方正仿宋简体"/>
          <w:b/>
          <w:bCs/>
          <w:sz w:val="32"/>
          <w:szCs w:val="32"/>
        </w:rPr>
        <w:t>支出</w:t>
      </w:r>
      <w:r>
        <w:rPr>
          <w:rFonts w:eastAsia="方正仿宋简体"/>
          <w:sz w:val="32"/>
          <w:szCs w:val="32"/>
        </w:rPr>
        <w:t>872.49</w:t>
      </w:r>
      <w:r>
        <w:rPr>
          <w:rFonts w:eastAsia="方正仿宋简体"/>
          <w:sz w:val="32"/>
          <w:szCs w:val="32"/>
        </w:rPr>
        <w:t>万元，占</w:t>
      </w:r>
      <w:r>
        <w:rPr>
          <w:rFonts w:eastAsia="方正仿宋简体"/>
          <w:sz w:val="32"/>
          <w:szCs w:val="32"/>
        </w:rPr>
        <w:t>92.68%</w:t>
      </w:r>
      <w:r>
        <w:rPr>
          <w:rFonts w:eastAsia="方正仿宋简体"/>
          <w:sz w:val="32"/>
          <w:szCs w:val="32"/>
        </w:rPr>
        <w:t>；</w:t>
      </w:r>
      <w:r>
        <w:rPr>
          <w:rFonts w:eastAsia="方正仿宋简体"/>
          <w:b/>
          <w:bCs/>
          <w:sz w:val="32"/>
          <w:szCs w:val="32"/>
        </w:rPr>
        <w:t>卫生健康支出</w:t>
      </w:r>
      <w:r>
        <w:rPr>
          <w:rFonts w:eastAsia="方正仿宋简体"/>
          <w:sz w:val="32"/>
          <w:szCs w:val="32"/>
        </w:rPr>
        <w:t>0.16</w:t>
      </w:r>
      <w:r>
        <w:rPr>
          <w:rFonts w:eastAsia="方正仿宋简体"/>
          <w:sz w:val="32"/>
          <w:szCs w:val="32"/>
        </w:rPr>
        <w:t>万元，占</w:t>
      </w:r>
      <w:r>
        <w:rPr>
          <w:rFonts w:eastAsia="方正仿宋简体"/>
          <w:sz w:val="32"/>
          <w:szCs w:val="32"/>
        </w:rPr>
        <w:t>0.01%</w:t>
      </w:r>
      <w:r>
        <w:rPr>
          <w:rFonts w:eastAsia="方正仿宋简体"/>
          <w:sz w:val="32"/>
          <w:szCs w:val="32"/>
        </w:rPr>
        <w:t>；</w:t>
      </w:r>
      <w:r>
        <w:rPr>
          <w:rFonts w:eastAsia="方正仿宋简体"/>
          <w:b/>
          <w:bCs/>
          <w:sz w:val="32"/>
          <w:szCs w:val="32"/>
        </w:rPr>
        <w:t>住房保障支出</w:t>
      </w:r>
      <w:r>
        <w:rPr>
          <w:rFonts w:eastAsia="方正仿宋简体"/>
          <w:sz w:val="32"/>
          <w:szCs w:val="32"/>
        </w:rPr>
        <w:t>66.34</w:t>
      </w:r>
      <w:r>
        <w:rPr>
          <w:rFonts w:eastAsia="方正仿宋简体"/>
          <w:sz w:val="32"/>
          <w:szCs w:val="32"/>
        </w:rPr>
        <w:t>万元，占</w:t>
      </w:r>
      <w:r>
        <w:rPr>
          <w:rFonts w:eastAsia="方正仿宋简体"/>
          <w:sz w:val="32"/>
          <w:szCs w:val="32"/>
        </w:rPr>
        <w:t>6.19%</w:t>
      </w:r>
      <w:r>
        <w:rPr>
          <w:rFonts w:eastAsia="方正仿宋简体"/>
          <w:sz w:val="32"/>
          <w:szCs w:val="32"/>
        </w:rPr>
        <w:t>；</w:t>
      </w:r>
    </w:p>
    <w:p w:rsidR="003C4AE3" w:rsidRDefault="00D57D69">
      <w:pPr>
        <w:pStyle w:val="a0"/>
        <w:spacing w:before="9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93345</wp:posOffset>
            </wp:positionV>
            <wp:extent cx="4576445" cy="2867660"/>
            <wp:effectExtent l="4445" t="5080" r="10160" b="22860"/>
            <wp:wrapSquare wrapText="bothSides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3C4AE3" w:rsidRDefault="00D57D69">
      <w:pPr>
        <w:pStyle w:val="a0"/>
        <w:spacing w:before="9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3C4AE3" w:rsidRDefault="003C4AE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3C4AE3" w:rsidRDefault="003C4AE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3C4AE3" w:rsidRDefault="003C4AE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3C4AE3" w:rsidRDefault="003C4AE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3C4AE3" w:rsidRDefault="003C4AE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3C4AE3" w:rsidRDefault="003C4AE3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C4AE3" w:rsidRDefault="00D57D69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（图6：一般公共预算财政拨款支出决算结构）</w:t>
      </w:r>
    </w:p>
    <w:p w:rsidR="003C4AE3" w:rsidRDefault="00D57D69" w:rsidP="00F22465">
      <w:pPr>
        <w:spacing w:line="600" w:lineRule="exact"/>
        <w:ind w:firstLineChars="200" w:firstLine="643"/>
        <w:outlineLvl w:val="2"/>
        <w:rPr>
          <w:rFonts w:ascii="楷体_GB2312" w:eastAsia="楷体_GB2312" w:hAnsi="楷体_GB2312" w:cs="楷体_GB2312"/>
          <w:b/>
          <w:sz w:val="32"/>
          <w:szCs w:val="32"/>
        </w:rPr>
      </w:pPr>
      <w:bookmarkStart w:id="31" w:name="_Toc15377212"/>
      <w:r>
        <w:rPr>
          <w:rFonts w:ascii="楷体_GB2312" w:eastAsia="楷体_GB2312" w:hAnsi="楷体_GB2312" w:cs="楷体_GB2312" w:hint="eastAsia"/>
          <w:b/>
          <w:sz w:val="32"/>
          <w:szCs w:val="32"/>
        </w:rPr>
        <w:t>（三）一般公共预算财政拨款支出决算具体情况</w:t>
      </w:r>
      <w:bookmarkEnd w:id="31"/>
    </w:p>
    <w:p w:rsidR="003C4AE3" w:rsidRDefault="00D57D69" w:rsidP="00F22465">
      <w:pPr>
        <w:spacing w:line="600" w:lineRule="exact"/>
        <w:ind w:firstLineChars="200" w:firstLine="643"/>
        <w:outlineLvl w:val="2"/>
        <w:rPr>
          <w:rFonts w:eastAsia="仿宋_GB2312"/>
          <w:sz w:val="32"/>
          <w:szCs w:val="32"/>
        </w:rPr>
      </w:pPr>
      <w:bookmarkStart w:id="32" w:name="_Toc15378460"/>
      <w:bookmarkStart w:id="33" w:name="_Toc15377213"/>
      <w:bookmarkStart w:id="34" w:name="_Toc15377444"/>
      <w:r>
        <w:rPr>
          <w:rFonts w:eastAsia="仿宋_GB2312"/>
          <w:b/>
          <w:sz w:val="32"/>
          <w:szCs w:val="32"/>
        </w:rPr>
        <w:t>2022</w:t>
      </w:r>
      <w:r>
        <w:rPr>
          <w:rFonts w:eastAsia="仿宋_GB2312" w:hAnsi="仿宋_GB2312"/>
          <w:b/>
          <w:sz w:val="32"/>
          <w:szCs w:val="32"/>
        </w:rPr>
        <w:t>年一般公共预算支出决算数为</w:t>
      </w:r>
      <w:r>
        <w:rPr>
          <w:rFonts w:eastAsia="仿宋_GB2312"/>
          <w:b/>
          <w:sz w:val="32"/>
          <w:szCs w:val="32"/>
        </w:rPr>
        <w:t>941.41</w:t>
      </w:r>
      <w:r>
        <w:rPr>
          <w:rFonts w:eastAsia="仿宋_GB2312" w:hAnsi="仿宋_GB2312"/>
          <w:sz w:val="32"/>
          <w:szCs w:val="32"/>
        </w:rPr>
        <w:t>，</w:t>
      </w:r>
      <w:r>
        <w:rPr>
          <w:rStyle w:val="a7"/>
          <w:rFonts w:eastAsia="仿宋_GB2312" w:hAnsi="仿宋_GB2312"/>
          <w:bCs/>
          <w:sz w:val="32"/>
          <w:szCs w:val="32"/>
        </w:rPr>
        <w:t>完成预算</w:t>
      </w:r>
      <w:r>
        <w:rPr>
          <w:rStyle w:val="a7"/>
          <w:rFonts w:eastAsia="仿宋_GB2312"/>
          <w:bCs/>
          <w:sz w:val="32"/>
          <w:szCs w:val="32"/>
        </w:rPr>
        <w:t>100%</w:t>
      </w:r>
      <w:r>
        <w:rPr>
          <w:rStyle w:val="a7"/>
          <w:rFonts w:eastAsia="仿宋_GB2312" w:hAnsi="仿宋_GB2312"/>
          <w:bCs/>
          <w:sz w:val="32"/>
          <w:szCs w:val="32"/>
        </w:rPr>
        <w:t>。其中：</w:t>
      </w:r>
      <w:bookmarkEnd w:id="32"/>
      <w:bookmarkEnd w:id="33"/>
      <w:bookmarkEnd w:id="34"/>
    </w:p>
    <w:p w:rsidR="003C4AE3" w:rsidRDefault="00D57D69" w:rsidP="00F22465">
      <w:pPr>
        <w:spacing w:line="600" w:lineRule="exact"/>
        <w:ind w:firstLineChars="200" w:firstLine="643"/>
        <w:rPr>
          <w:rFonts w:eastAsia="方正仿宋简体"/>
          <w:b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bCs/>
          <w:sz w:val="32"/>
          <w:szCs w:val="32"/>
        </w:rPr>
        <w:t>1.一般公共服务（类）一般公共服务支出（款）组织事务（项）其他组织事务支出:</w:t>
      </w:r>
      <w:r>
        <w:rPr>
          <w:rStyle w:val="a7"/>
          <w:rFonts w:ascii="仿宋_GB2312" w:eastAsia="仿宋_GB2312" w:hAnsi="仿宋_GB2312" w:cs="仿宋_GB2312" w:hint="eastAsia"/>
          <w:b w:val="0"/>
          <w:bCs/>
          <w:sz w:val="32"/>
          <w:szCs w:val="32"/>
        </w:rPr>
        <w:t xml:space="preserve"> </w:t>
      </w:r>
      <w:r>
        <w:rPr>
          <w:rStyle w:val="a7"/>
          <w:rFonts w:eastAsia="方正仿宋简体"/>
          <w:b w:val="0"/>
          <w:bCs/>
          <w:sz w:val="32"/>
          <w:szCs w:val="32"/>
        </w:rPr>
        <w:t>支出决算为</w:t>
      </w:r>
      <w:r>
        <w:rPr>
          <w:rStyle w:val="a7"/>
          <w:rFonts w:eastAsia="方正仿宋简体"/>
          <w:b w:val="0"/>
          <w:bCs/>
          <w:sz w:val="32"/>
          <w:szCs w:val="32"/>
        </w:rPr>
        <w:t>2.42</w:t>
      </w:r>
      <w:r>
        <w:rPr>
          <w:rStyle w:val="a7"/>
          <w:rFonts w:eastAsia="方正仿宋简体"/>
          <w:b w:val="0"/>
          <w:bCs/>
          <w:sz w:val="32"/>
          <w:szCs w:val="32"/>
        </w:rPr>
        <w:t>万元，完成预算</w:t>
      </w:r>
      <w:r>
        <w:rPr>
          <w:rStyle w:val="a7"/>
          <w:rFonts w:eastAsia="方正仿宋简体"/>
          <w:b w:val="0"/>
          <w:bCs/>
          <w:sz w:val="32"/>
          <w:szCs w:val="32"/>
        </w:rPr>
        <w:t>100%</w:t>
      </w:r>
      <w:r>
        <w:rPr>
          <w:rStyle w:val="a7"/>
          <w:rFonts w:eastAsia="方正仿宋简体"/>
          <w:b w:val="0"/>
          <w:bCs/>
          <w:sz w:val="32"/>
          <w:szCs w:val="32"/>
        </w:rPr>
        <w:t>，决算数等于预算数。</w:t>
      </w:r>
    </w:p>
    <w:p w:rsidR="003C4AE3" w:rsidRDefault="00D57D69" w:rsidP="00F22465">
      <w:pPr>
        <w:spacing w:line="600" w:lineRule="exact"/>
        <w:ind w:firstLineChars="200" w:firstLine="643"/>
        <w:rPr>
          <w:rStyle w:val="a7"/>
          <w:rFonts w:eastAsia="方正仿宋简体"/>
          <w:b w:val="0"/>
          <w:bCs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bCs/>
          <w:sz w:val="32"/>
          <w:szCs w:val="32"/>
        </w:rPr>
        <w:t>2.社会保障和就业（类）民政管理事务（款）行政运行（项）:</w:t>
      </w:r>
      <w:r>
        <w:rPr>
          <w:rStyle w:val="a7"/>
          <w:rFonts w:ascii="仿宋_GB2312" w:eastAsia="仿宋_GB2312" w:hAnsi="仿宋_GB2312" w:cs="仿宋_GB2312" w:hint="eastAsia"/>
          <w:b w:val="0"/>
          <w:bCs/>
          <w:sz w:val="32"/>
          <w:szCs w:val="32"/>
        </w:rPr>
        <w:t xml:space="preserve"> </w:t>
      </w:r>
      <w:r>
        <w:rPr>
          <w:rStyle w:val="a7"/>
          <w:rFonts w:eastAsia="方正仿宋简体"/>
          <w:b w:val="0"/>
          <w:bCs/>
          <w:sz w:val="32"/>
          <w:szCs w:val="32"/>
        </w:rPr>
        <w:t>支出决算为</w:t>
      </w:r>
      <w:r>
        <w:rPr>
          <w:rStyle w:val="a7"/>
          <w:rFonts w:eastAsia="方正仿宋简体"/>
          <w:b w:val="0"/>
          <w:bCs/>
          <w:sz w:val="32"/>
          <w:szCs w:val="32"/>
        </w:rPr>
        <w:t>489.17</w:t>
      </w:r>
      <w:r>
        <w:rPr>
          <w:rStyle w:val="a7"/>
          <w:rFonts w:eastAsia="方正仿宋简体"/>
          <w:b w:val="0"/>
          <w:bCs/>
          <w:sz w:val="32"/>
          <w:szCs w:val="32"/>
        </w:rPr>
        <w:t>万元，完成预算</w:t>
      </w:r>
      <w:r>
        <w:rPr>
          <w:rStyle w:val="a7"/>
          <w:rFonts w:eastAsia="方正仿宋简体"/>
          <w:b w:val="0"/>
          <w:bCs/>
          <w:sz w:val="32"/>
          <w:szCs w:val="32"/>
        </w:rPr>
        <w:t>100%</w:t>
      </w:r>
      <w:r>
        <w:rPr>
          <w:rStyle w:val="a7"/>
          <w:rFonts w:eastAsia="方正仿宋简体"/>
          <w:b w:val="0"/>
          <w:bCs/>
          <w:sz w:val="32"/>
          <w:szCs w:val="32"/>
        </w:rPr>
        <w:t>，决算数等于预算数。</w:t>
      </w:r>
    </w:p>
    <w:p w:rsidR="003C4AE3" w:rsidRDefault="00D57D69" w:rsidP="00F22465">
      <w:pPr>
        <w:spacing w:line="600" w:lineRule="exact"/>
        <w:ind w:firstLineChars="200" w:firstLine="643"/>
        <w:rPr>
          <w:rStyle w:val="a7"/>
          <w:rFonts w:eastAsia="方正仿宋简体"/>
          <w:b w:val="0"/>
          <w:bCs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bCs/>
          <w:sz w:val="32"/>
          <w:szCs w:val="32"/>
        </w:rPr>
        <w:t>3.社会保障和就业（类）民政管理事务（款）其他民政管理事务支出（项）:</w:t>
      </w:r>
      <w:r>
        <w:rPr>
          <w:rStyle w:val="a7"/>
          <w:rFonts w:eastAsia="方正仿宋简体"/>
          <w:b w:val="0"/>
          <w:bCs/>
          <w:sz w:val="32"/>
          <w:szCs w:val="32"/>
        </w:rPr>
        <w:t xml:space="preserve"> </w:t>
      </w:r>
      <w:r>
        <w:rPr>
          <w:rStyle w:val="a7"/>
          <w:rFonts w:eastAsia="方正仿宋简体"/>
          <w:b w:val="0"/>
          <w:bCs/>
          <w:sz w:val="32"/>
          <w:szCs w:val="32"/>
        </w:rPr>
        <w:t>支出决算为</w:t>
      </w:r>
      <w:r>
        <w:rPr>
          <w:rStyle w:val="a7"/>
          <w:rFonts w:eastAsia="方正仿宋简体"/>
          <w:b w:val="0"/>
          <w:bCs/>
          <w:sz w:val="32"/>
          <w:szCs w:val="32"/>
        </w:rPr>
        <w:t>175.89</w:t>
      </w:r>
      <w:r>
        <w:rPr>
          <w:rStyle w:val="a7"/>
          <w:rFonts w:eastAsia="方正仿宋简体"/>
          <w:b w:val="0"/>
          <w:bCs/>
          <w:sz w:val="32"/>
          <w:szCs w:val="32"/>
        </w:rPr>
        <w:t>万元，完成预算</w:t>
      </w:r>
      <w:r>
        <w:rPr>
          <w:rStyle w:val="a7"/>
          <w:rFonts w:eastAsia="方正仿宋简体"/>
          <w:b w:val="0"/>
          <w:bCs/>
          <w:sz w:val="32"/>
          <w:szCs w:val="32"/>
        </w:rPr>
        <w:t>100%</w:t>
      </w:r>
      <w:r>
        <w:rPr>
          <w:rStyle w:val="a7"/>
          <w:rFonts w:eastAsia="方正仿宋简体"/>
          <w:b w:val="0"/>
          <w:bCs/>
          <w:sz w:val="32"/>
          <w:szCs w:val="32"/>
        </w:rPr>
        <w:t>，决算数等于预算数。</w:t>
      </w:r>
    </w:p>
    <w:p w:rsidR="003C4AE3" w:rsidRDefault="00D57D69" w:rsidP="00F22465">
      <w:pPr>
        <w:spacing w:line="600" w:lineRule="exact"/>
        <w:ind w:firstLineChars="200" w:firstLine="643"/>
        <w:rPr>
          <w:rStyle w:val="a7"/>
          <w:rFonts w:eastAsia="方正仿宋简体"/>
          <w:b w:val="0"/>
          <w:bCs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bCs/>
          <w:sz w:val="32"/>
          <w:szCs w:val="32"/>
        </w:rPr>
        <w:t>4.社会保障和就业（类）行政事业单位养老支出（款）行政</w:t>
      </w:r>
      <w:r>
        <w:rPr>
          <w:rStyle w:val="a7"/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单位离退休（项）:</w:t>
      </w:r>
      <w:r>
        <w:rPr>
          <w:rStyle w:val="a7"/>
          <w:rFonts w:ascii="仿宋_GB2312" w:eastAsia="仿宋_GB2312" w:hAnsi="仿宋_GB2312" w:cs="仿宋_GB2312" w:hint="eastAsia"/>
          <w:b w:val="0"/>
          <w:bCs/>
          <w:sz w:val="32"/>
          <w:szCs w:val="32"/>
        </w:rPr>
        <w:t xml:space="preserve"> </w:t>
      </w:r>
      <w:r>
        <w:rPr>
          <w:rStyle w:val="a7"/>
          <w:rFonts w:eastAsia="方正仿宋简体"/>
          <w:b w:val="0"/>
          <w:bCs/>
          <w:sz w:val="32"/>
          <w:szCs w:val="32"/>
        </w:rPr>
        <w:t>支出决算为</w:t>
      </w:r>
      <w:r>
        <w:rPr>
          <w:rStyle w:val="a7"/>
          <w:rFonts w:eastAsia="方正仿宋简体"/>
          <w:b w:val="0"/>
          <w:bCs/>
          <w:sz w:val="32"/>
          <w:szCs w:val="32"/>
        </w:rPr>
        <w:t>143.09</w:t>
      </w:r>
      <w:r>
        <w:rPr>
          <w:rStyle w:val="a7"/>
          <w:rFonts w:eastAsia="方正仿宋简体"/>
          <w:b w:val="0"/>
          <w:bCs/>
          <w:sz w:val="32"/>
          <w:szCs w:val="32"/>
        </w:rPr>
        <w:t>万元，完成预算</w:t>
      </w:r>
      <w:r>
        <w:rPr>
          <w:rStyle w:val="a7"/>
          <w:rFonts w:eastAsia="方正仿宋简体"/>
          <w:b w:val="0"/>
          <w:bCs/>
          <w:sz w:val="32"/>
          <w:szCs w:val="32"/>
        </w:rPr>
        <w:t>100%</w:t>
      </w:r>
      <w:r>
        <w:rPr>
          <w:rStyle w:val="a7"/>
          <w:rFonts w:eastAsia="方正仿宋简体"/>
          <w:b w:val="0"/>
          <w:bCs/>
          <w:sz w:val="32"/>
          <w:szCs w:val="32"/>
        </w:rPr>
        <w:t>，决算数等于预算数。</w:t>
      </w:r>
    </w:p>
    <w:p w:rsidR="003C4AE3" w:rsidRDefault="00D57D69" w:rsidP="00F22465">
      <w:pPr>
        <w:spacing w:line="600" w:lineRule="exact"/>
        <w:ind w:firstLineChars="200" w:firstLine="643"/>
        <w:rPr>
          <w:rStyle w:val="a7"/>
          <w:rFonts w:eastAsia="方正仿宋简体"/>
          <w:b w:val="0"/>
          <w:bCs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bCs/>
          <w:sz w:val="32"/>
          <w:szCs w:val="32"/>
        </w:rPr>
        <w:t>5.社会保障和就业（类）行政事业单位养老支出（款）机关事业单位基本养老保险缴费支出（项）:</w:t>
      </w:r>
      <w:r>
        <w:rPr>
          <w:rStyle w:val="a7"/>
          <w:rFonts w:eastAsia="方正仿宋简体"/>
          <w:b w:val="0"/>
          <w:bCs/>
          <w:sz w:val="32"/>
          <w:szCs w:val="32"/>
        </w:rPr>
        <w:t xml:space="preserve"> </w:t>
      </w:r>
      <w:r>
        <w:rPr>
          <w:rStyle w:val="a7"/>
          <w:rFonts w:eastAsia="方正仿宋简体"/>
          <w:b w:val="0"/>
          <w:bCs/>
          <w:sz w:val="32"/>
          <w:szCs w:val="32"/>
        </w:rPr>
        <w:t>支出决算为</w:t>
      </w:r>
      <w:r>
        <w:rPr>
          <w:rStyle w:val="a7"/>
          <w:rFonts w:eastAsia="方正仿宋简体"/>
          <w:b w:val="0"/>
          <w:bCs/>
          <w:sz w:val="32"/>
          <w:szCs w:val="32"/>
        </w:rPr>
        <w:t>43.3</w:t>
      </w:r>
      <w:r>
        <w:rPr>
          <w:rStyle w:val="a7"/>
          <w:rFonts w:eastAsia="方正仿宋简体"/>
          <w:b w:val="0"/>
          <w:bCs/>
          <w:sz w:val="32"/>
          <w:szCs w:val="32"/>
        </w:rPr>
        <w:t>万元，完成预算</w:t>
      </w:r>
      <w:r>
        <w:rPr>
          <w:rStyle w:val="a7"/>
          <w:rFonts w:eastAsia="方正仿宋简体"/>
          <w:b w:val="0"/>
          <w:bCs/>
          <w:sz w:val="32"/>
          <w:szCs w:val="32"/>
        </w:rPr>
        <w:t>100%</w:t>
      </w:r>
      <w:r>
        <w:rPr>
          <w:rStyle w:val="a7"/>
          <w:rFonts w:eastAsia="方正仿宋简体"/>
          <w:b w:val="0"/>
          <w:bCs/>
          <w:sz w:val="32"/>
          <w:szCs w:val="32"/>
        </w:rPr>
        <w:t>，决算数等于预算数。</w:t>
      </w:r>
    </w:p>
    <w:p w:rsidR="003C4AE3" w:rsidRDefault="00D57D69" w:rsidP="00F22465">
      <w:pPr>
        <w:spacing w:line="600" w:lineRule="exact"/>
        <w:ind w:firstLineChars="200" w:firstLine="643"/>
        <w:rPr>
          <w:rStyle w:val="a7"/>
          <w:rFonts w:eastAsia="方正仿宋简体"/>
          <w:b w:val="0"/>
          <w:bCs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bCs/>
          <w:sz w:val="32"/>
          <w:szCs w:val="32"/>
        </w:rPr>
        <w:t>6.社会保障和就业（类）社会福利（款）儿童福利（项）:</w:t>
      </w:r>
      <w:r>
        <w:rPr>
          <w:rStyle w:val="a7"/>
          <w:rFonts w:ascii="仿宋_GB2312" w:eastAsia="仿宋_GB2312" w:hAnsi="仿宋_GB2312" w:cs="仿宋_GB2312" w:hint="eastAsia"/>
          <w:b w:val="0"/>
          <w:bCs/>
          <w:sz w:val="32"/>
          <w:szCs w:val="32"/>
        </w:rPr>
        <w:t xml:space="preserve"> </w:t>
      </w:r>
      <w:r>
        <w:rPr>
          <w:rStyle w:val="a7"/>
          <w:rFonts w:eastAsia="方正仿宋简体"/>
          <w:b w:val="0"/>
          <w:bCs/>
          <w:sz w:val="32"/>
          <w:szCs w:val="32"/>
        </w:rPr>
        <w:t>支出决算为</w:t>
      </w:r>
      <w:r>
        <w:rPr>
          <w:rStyle w:val="a7"/>
          <w:rFonts w:eastAsia="方正仿宋简体"/>
          <w:b w:val="0"/>
          <w:bCs/>
          <w:sz w:val="32"/>
          <w:szCs w:val="32"/>
        </w:rPr>
        <w:t>1.2</w:t>
      </w:r>
      <w:r>
        <w:rPr>
          <w:rStyle w:val="a7"/>
          <w:rFonts w:eastAsia="方正仿宋简体"/>
          <w:b w:val="0"/>
          <w:bCs/>
          <w:sz w:val="32"/>
          <w:szCs w:val="32"/>
        </w:rPr>
        <w:t>万元，完成预算</w:t>
      </w:r>
      <w:r>
        <w:rPr>
          <w:rStyle w:val="a7"/>
          <w:rFonts w:eastAsia="方正仿宋简体"/>
          <w:b w:val="0"/>
          <w:bCs/>
          <w:sz w:val="32"/>
          <w:szCs w:val="32"/>
        </w:rPr>
        <w:t>100%</w:t>
      </w:r>
      <w:r>
        <w:rPr>
          <w:rStyle w:val="a7"/>
          <w:rFonts w:eastAsia="方正仿宋简体"/>
          <w:b w:val="0"/>
          <w:bCs/>
          <w:sz w:val="32"/>
          <w:szCs w:val="32"/>
        </w:rPr>
        <w:t>，决算数等于预算数。</w:t>
      </w:r>
    </w:p>
    <w:p w:rsidR="003C4AE3" w:rsidRDefault="00D57D69" w:rsidP="00F22465">
      <w:pPr>
        <w:spacing w:line="600" w:lineRule="exact"/>
        <w:ind w:firstLineChars="200" w:firstLine="643"/>
        <w:rPr>
          <w:rStyle w:val="a7"/>
          <w:rFonts w:eastAsia="方正仿宋简体"/>
          <w:b w:val="0"/>
          <w:bCs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bCs/>
          <w:sz w:val="32"/>
          <w:szCs w:val="32"/>
        </w:rPr>
        <w:t>7.社会保障和就业（类）社会福利（款）养老服务（项）:</w:t>
      </w:r>
      <w:r>
        <w:rPr>
          <w:rStyle w:val="a7"/>
          <w:rFonts w:eastAsia="方正仿宋简体"/>
          <w:b w:val="0"/>
          <w:bCs/>
          <w:sz w:val="32"/>
          <w:szCs w:val="32"/>
        </w:rPr>
        <w:t xml:space="preserve"> </w:t>
      </w:r>
      <w:r>
        <w:rPr>
          <w:rStyle w:val="a7"/>
          <w:rFonts w:eastAsia="方正仿宋简体"/>
          <w:b w:val="0"/>
          <w:bCs/>
          <w:sz w:val="32"/>
          <w:szCs w:val="32"/>
        </w:rPr>
        <w:t>支出决算为</w:t>
      </w:r>
      <w:r>
        <w:rPr>
          <w:rStyle w:val="a7"/>
          <w:rFonts w:eastAsia="方正仿宋简体"/>
          <w:b w:val="0"/>
          <w:bCs/>
          <w:sz w:val="32"/>
          <w:szCs w:val="32"/>
        </w:rPr>
        <w:t>13.77</w:t>
      </w:r>
      <w:r>
        <w:rPr>
          <w:rStyle w:val="a7"/>
          <w:rFonts w:eastAsia="方正仿宋简体"/>
          <w:b w:val="0"/>
          <w:bCs/>
          <w:sz w:val="32"/>
          <w:szCs w:val="32"/>
        </w:rPr>
        <w:t>万元，完成预算</w:t>
      </w:r>
      <w:r>
        <w:rPr>
          <w:rStyle w:val="a7"/>
          <w:rFonts w:eastAsia="方正仿宋简体"/>
          <w:b w:val="0"/>
          <w:bCs/>
          <w:sz w:val="32"/>
          <w:szCs w:val="32"/>
        </w:rPr>
        <w:t>100%</w:t>
      </w:r>
      <w:r>
        <w:rPr>
          <w:rStyle w:val="a7"/>
          <w:rFonts w:eastAsia="方正仿宋简体"/>
          <w:b w:val="0"/>
          <w:bCs/>
          <w:sz w:val="32"/>
          <w:szCs w:val="32"/>
        </w:rPr>
        <w:t>，决算数等于预算数。</w:t>
      </w:r>
    </w:p>
    <w:p w:rsidR="003C4AE3" w:rsidRDefault="00D57D69" w:rsidP="00F22465">
      <w:pPr>
        <w:spacing w:line="600" w:lineRule="exact"/>
        <w:ind w:firstLineChars="200" w:firstLine="643"/>
        <w:rPr>
          <w:rStyle w:val="a7"/>
          <w:rFonts w:eastAsia="方正仿宋简体"/>
          <w:b w:val="0"/>
          <w:bCs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bCs/>
          <w:sz w:val="32"/>
          <w:szCs w:val="32"/>
        </w:rPr>
        <w:t>8.社会保障和就业（类）社会福利（款）其他社会福利支出（项）:</w:t>
      </w:r>
      <w:r>
        <w:rPr>
          <w:rStyle w:val="a7"/>
          <w:rFonts w:ascii="仿宋_GB2312" w:eastAsia="仿宋_GB2312" w:hAnsi="仿宋_GB2312" w:cs="仿宋_GB2312" w:hint="eastAsia"/>
          <w:b w:val="0"/>
          <w:bCs/>
          <w:sz w:val="32"/>
          <w:szCs w:val="32"/>
        </w:rPr>
        <w:t xml:space="preserve"> </w:t>
      </w:r>
      <w:r>
        <w:rPr>
          <w:rStyle w:val="a7"/>
          <w:rFonts w:eastAsia="方正仿宋简体" w:hint="eastAsia"/>
          <w:b w:val="0"/>
          <w:bCs/>
          <w:sz w:val="32"/>
          <w:szCs w:val="32"/>
        </w:rPr>
        <w:t>支出决算为</w:t>
      </w:r>
      <w:r>
        <w:rPr>
          <w:rStyle w:val="a7"/>
          <w:rFonts w:eastAsia="方正仿宋简体" w:hint="eastAsia"/>
          <w:b w:val="0"/>
          <w:bCs/>
          <w:sz w:val="32"/>
          <w:szCs w:val="32"/>
        </w:rPr>
        <w:t>6.06</w:t>
      </w:r>
      <w:r>
        <w:rPr>
          <w:rStyle w:val="a7"/>
          <w:rFonts w:eastAsia="方正仿宋简体" w:hint="eastAsia"/>
          <w:b w:val="0"/>
          <w:bCs/>
          <w:sz w:val="32"/>
          <w:szCs w:val="32"/>
        </w:rPr>
        <w:t>万元，完成预算</w:t>
      </w:r>
      <w:r>
        <w:rPr>
          <w:rStyle w:val="a7"/>
          <w:rFonts w:eastAsia="方正仿宋简体" w:hint="eastAsia"/>
          <w:b w:val="0"/>
          <w:bCs/>
          <w:sz w:val="32"/>
          <w:szCs w:val="32"/>
        </w:rPr>
        <w:t>100%</w:t>
      </w:r>
      <w:r>
        <w:rPr>
          <w:rStyle w:val="a7"/>
          <w:rFonts w:eastAsia="方正仿宋简体" w:hint="eastAsia"/>
          <w:b w:val="0"/>
          <w:bCs/>
          <w:sz w:val="32"/>
          <w:szCs w:val="32"/>
        </w:rPr>
        <w:t>，决算数等于预算数。</w:t>
      </w:r>
    </w:p>
    <w:p w:rsidR="003C4AE3" w:rsidRDefault="00D57D69" w:rsidP="00F22465">
      <w:pPr>
        <w:spacing w:line="600" w:lineRule="exact"/>
        <w:ind w:firstLineChars="200" w:firstLine="643"/>
        <w:rPr>
          <w:rStyle w:val="a7"/>
          <w:rFonts w:eastAsia="方正仿宋简体"/>
          <w:b w:val="0"/>
          <w:bCs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bCs/>
          <w:sz w:val="32"/>
          <w:szCs w:val="32"/>
        </w:rPr>
        <w:t>9.卫生健康支出（类）其他卫生健康支出（款）其他卫生健康支出（项）:</w:t>
      </w:r>
      <w:r>
        <w:rPr>
          <w:rStyle w:val="a7"/>
          <w:rFonts w:ascii="仿宋_GB2312" w:eastAsia="仿宋_GB2312" w:hAnsi="仿宋_GB2312" w:cs="仿宋_GB2312" w:hint="eastAsia"/>
          <w:b w:val="0"/>
          <w:bCs/>
          <w:sz w:val="32"/>
          <w:szCs w:val="32"/>
        </w:rPr>
        <w:t xml:space="preserve"> </w:t>
      </w:r>
      <w:r>
        <w:rPr>
          <w:rStyle w:val="a7"/>
          <w:rFonts w:eastAsia="方正仿宋简体" w:hint="eastAsia"/>
          <w:b w:val="0"/>
          <w:bCs/>
          <w:sz w:val="32"/>
          <w:szCs w:val="32"/>
        </w:rPr>
        <w:t>支出决算为</w:t>
      </w:r>
      <w:r>
        <w:rPr>
          <w:rStyle w:val="a7"/>
          <w:rFonts w:eastAsia="方正仿宋简体" w:hint="eastAsia"/>
          <w:b w:val="0"/>
          <w:bCs/>
          <w:sz w:val="32"/>
          <w:szCs w:val="32"/>
        </w:rPr>
        <w:t>0.16</w:t>
      </w:r>
      <w:r>
        <w:rPr>
          <w:rStyle w:val="a7"/>
          <w:rFonts w:eastAsia="方正仿宋简体" w:hint="eastAsia"/>
          <w:b w:val="0"/>
          <w:bCs/>
          <w:sz w:val="32"/>
          <w:szCs w:val="32"/>
        </w:rPr>
        <w:t>万元，完成预算</w:t>
      </w:r>
      <w:r>
        <w:rPr>
          <w:rStyle w:val="a7"/>
          <w:rFonts w:eastAsia="方正仿宋简体" w:hint="eastAsia"/>
          <w:b w:val="0"/>
          <w:bCs/>
          <w:sz w:val="32"/>
          <w:szCs w:val="32"/>
        </w:rPr>
        <w:t>100%</w:t>
      </w:r>
      <w:r>
        <w:rPr>
          <w:rStyle w:val="a7"/>
          <w:rFonts w:eastAsia="方正仿宋简体" w:hint="eastAsia"/>
          <w:b w:val="0"/>
          <w:bCs/>
          <w:sz w:val="32"/>
          <w:szCs w:val="32"/>
        </w:rPr>
        <w:t>，决算数等于预算数。</w:t>
      </w:r>
    </w:p>
    <w:p w:rsidR="003C4AE3" w:rsidRDefault="00D57D69" w:rsidP="00F22465">
      <w:pPr>
        <w:spacing w:line="600" w:lineRule="exact"/>
        <w:ind w:firstLineChars="200" w:firstLine="643"/>
        <w:rPr>
          <w:rStyle w:val="a7"/>
          <w:rFonts w:eastAsia="方正仿宋简体"/>
          <w:bCs/>
        </w:rPr>
      </w:pPr>
      <w:r>
        <w:rPr>
          <w:rStyle w:val="a7"/>
          <w:rFonts w:ascii="仿宋_GB2312" w:eastAsia="仿宋_GB2312" w:hAnsi="仿宋_GB2312" w:cs="仿宋_GB2312" w:hint="eastAsia"/>
          <w:bCs/>
          <w:sz w:val="32"/>
          <w:szCs w:val="32"/>
        </w:rPr>
        <w:t>10.住房保障支出（类）住房改革支出（款）住房公积金（项）:</w:t>
      </w:r>
      <w:r>
        <w:rPr>
          <w:rStyle w:val="a7"/>
          <w:rFonts w:ascii="仿宋_GB2312" w:eastAsia="仿宋_GB2312" w:hAnsi="仿宋_GB2312" w:cs="仿宋_GB2312" w:hint="eastAsia"/>
          <w:b w:val="0"/>
          <w:bCs/>
          <w:sz w:val="32"/>
          <w:szCs w:val="32"/>
        </w:rPr>
        <w:t xml:space="preserve"> </w:t>
      </w:r>
      <w:r>
        <w:rPr>
          <w:rStyle w:val="a7"/>
          <w:rFonts w:eastAsia="方正仿宋简体" w:hint="eastAsia"/>
          <w:b w:val="0"/>
          <w:bCs/>
          <w:sz w:val="32"/>
          <w:szCs w:val="32"/>
        </w:rPr>
        <w:t>支出决算为</w:t>
      </w:r>
      <w:r>
        <w:rPr>
          <w:rStyle w:val="a7"/>
          <w:rFonts w:eastAsia="方正仿宋简体" w:hint="eastAsia"/>
          <w:b w:val="0"/>
          <w:bCs/>
          <w:sz w:val="32"/>
          <w:szCs w:val="32"/>
        </w:rPr>
        <w:t>66.34</w:t>
      </w:r>
      <w:r>
        <w:rPr>
          <w:rStyle w:val="a7"/>
          <w:rFonts w:eastAsia="方正仿宋简体" w:hint="eastAsia"/>
          <w:b w:val="0"/>
          <w:bCs/>
          <w:sz w:val="32"/>
          <w:szCs w:val="32"/>
        </w:rPr>
        <w:t>万元，完成预算</w:t>
      </w:r>
      <w:r>
        <w:rPr>
          <w:rStyle w:val="a7"/>
          <w:rFonts w:eastAsia="方正仿宋简体" w:hint="eastAsia"/>
          <w:b w:val="0"/>
          <w:bCs/>
          <w:sz w:val="32"/>
          <w:szCs w:val="32"/>
        </w:rPr>
        <w:t>100%</w:t>
      </w:r>
      <w:r>
        <w:rPr>
          <w:rStyle w:val="a7"/>
          <w:rFonts w:eastAsia="方正仿宋简体" w:hint="eastAsia"/>
          <w:b w:val="0"/>
          <w:bCs/>
          <w:sz w:val="32"/>
          <w:szCs w:val="32"/>
        </w:rPr>
        <w:t>，决算数等于预算数。</w:t>
      </w:r>
    </w:p>
    <w:p w:rsidR="003C4AE3" w:rsidRDefault="00D57D69">
      <w:pPr>
        <w:tabs>
          <w:tab w:val="right" w:pos="8306"/>
        </w:tabs>
        <w:spacing w:line="600" w:lineRule="exact"/>
        <w:ind w:firstLine="640"/>
        <w:outlineLvl w:val="1"/>
        <w:rPr>
          <w:rStyle w:val="2Char"/>
        </w:rPr>
      </w:pPr>
      <w:bookmarkStart w:id="35" w:name="_Toc15396608"/>
      <w:bookmarkStart w:id="36" w:name="_Toc15377214"/>
      <w:r>
        <w:rPr>
          <w:rFonts w:ascii="黑体" w:eastAsia="黑体" w:hint="eastAsia"/>
          <w:sz w:val="32"/>
          <w:szCs w:val="32"/>
        </w:rPr>
        <w:t>六</w:t>
      </w:r>
      <w:r>
        <w:rPr>
          <w:rFonts w:ascii="黑体" w:eastAsia="黑体" w:hint="eastAsia"/>
          <w:b/>
          <w:sz w:val="32"/>
          <w:szCs w:val="32"/>
        </w:rPr>
        <w:t>、</w:t>
      </w:r>
      <w:r>
        <w:rPr>
          <w:rFonts w:ascii="黑体" w:eastAsia="黑体" w:hAnsi="黑体" w:hint="eastAsia"/>
          <w:b/>
          <w:sz w:val="32"/>
          <w:szCs w:val="32"/>
        </w:rPr>
        <w:t>一</w:t>
      </w:r>
      <w:r>
        <w:rPr>
          <w:rStyle w:val="2Char"/>
          <w:rFonts w:ascii="黑体" w:eastAsia="黑体" w:hAnsi="黑体" w:hint="eastAsia"/>
          <w:b w:val="0"/>
        </w:rPr>
        <w:t>般公共预算财政拨款基本支出决算情况说明</w:t>
      </w:r>
      <w:bookmarkEnd w:id="35"/>
      <w:bookmarkEnd w:id="36"/>
      <w:r>
        <w:rPr>
          <w:rStyle w:val="2Char"/>
          <w:rFonts w:ascii="黑体" w:eastAsia="黑体" w:hAnsi="黑体"/>
          <w:b w:val="0"/>
        </w:rPr>
        <w:tab/>
      </w:r>
    </w:p>
    <w:p w:rsidR="003C4AE3" w:rsidRDefault="00D57D69">
      <w:pPr>
        <w:spacing w:line="600" w:lineRule="exact"/>
        <w:ind w:firstLine="645"/>
        <w:rPr>
          <w:rStyle w:val="a7"/>
          <w:rFonts w:eastAsia="方正仿宋简体"/>
          <w:b w:val="0"/>
          <w:bCs/>
          <w:sz w:val="32"/>
          <w:szCs w:val="32"/>
        </w:rPr>
      </w:pPr>
      <w:r>
        <w:rPr>
          <w:rStyle w:val="a7"/>
          <w:rFonts w:eastAsia="方正仿宋简体"/>
          <w:b w:val="0"/>
          <w:bCs/>
          <w:sz w:val="32"/>
          <w:szCs w:val="32"/>
        </w:rPr>
        <w:t>2022</w:t>
      </w:r>
      <w:r>
        <w:rPr>
          <w:rStyle w:val="a7"/>
          <w:rFonts w:eastAsia="方正仿宋简体"/>
          <w:b w:val="0"/>
          <w:bCs/>
          <w:sz w:val="32"/>
          <w:szCs w:val="32"/>
        </w:rPr>
        <w:t>年一般公共预算财政拨款基本支出</w:t>
      </w:r>
      <w:r>
        <w:rPr>
          <w:rStyle w:val="a7"/>
          <w:rFonts w:eastAsia="方正仿宋简体"/>
          <w:b w:val="0"/>
          <w:bCs/>
          <w:sz w:val="32"/>
          <w:szCs w:val="32"/>
        </w:rPr>
        <w:t>888.68</w:t>
      </w:r>
      <w:r>
        <w:rPr>
          <w:rStyle w:val="a7"/>
          <w:rFonts w:eastAsia="方正仿宋简体"/>
          <w:b w:val="0"/>
          <w:bCs/>
          <w:sz w:val="32"/>
          <w:szCs w:val="32"/>
        </w:rPr>
        <w:t>万元，其中：</w:t>
      </w:r>
    </w:p>
    <w:p w:rsidR="003C4AE3" w:rsidRDefault="00D57D69">
      <w:pPr>
        <w:spacing w:line="600" w:lineRule="exact"/>
        <w:ind w:firstLine="645"/>
        <w:rPr>
          <w:rStyle w:val="a7"/>
          <w:rFonts w:eastAsia="方正仿宋简体"/>
          <w:b w:val="0"/>
          <w:bCs/>
          <w:sz w:val="32"/>
          <w:szCs w:val="32"/>
        </w:rPr>
      </w:pPr>
      <w:r>
        <w:rPr>
          <w:rStyle w:val="a7"/>
          <w:rFonts w:eastAsia="方正仿宋简体"/>
          <w:b w:val="0"/>
          <w:bCs/>
          <w:sz w:val="32"/>
          <w:szCs w:val="32"/>
        </w:rPr>
        <w:t>人员经费</w:t>
      </w:r>
      <w:r>
        <w:rPr>
          <w:rStyle w:val="a7"/>
          <w:rFonts w:eastAsia="方正仿宋简体"/>
          <w:b w:val="0"/>
          <w:bCs/>
          <w:sz w:val="32"/>
          <w:szCs w:val="32"/>
        </w:rPr>
        <w:t>784.16</w:t>
      </w:r>
      <w:r>
        <w:rPr>
          <w:rStyle w:val="a7"/>
          <w:rFonts w:eastAsia="方正仿宋简体"/>
          <w:b w:val="0"/>
          <w:bCs/>
          <w:sz w:val="32"/>
          <w:szCs w:val="32"/>
        </w:rPr>
        <w:t>万元，主要包括：基本工资、津贴补贴、奖金、绩效工资、机关事业单位基本养老保险缴费、其他社会保</w:t>
      </w:r>
      <w:r>
        <w:rPr>
          <w:rStyle w:val="a7"/>
          <w:rFonts w:eastAsia="方正仿宋简体"/>
          <w:b w:val="0"/>
          <w:bCs/>
          <w:sz w:val="32"/>
          <w:szCs w:val="32"/>
        </w:rPr>
        <w:lastRenderedPageBreak/>
        <w:t>障缴费、其他工资福利支出、生活补助、医疗费补助、住房公积金、其他对个人和家庭的补助支出等。</w:t>
      </w:r>
      <w:r>
        <w:rPr>
          <w:rStyle w:val="a7"/>
          <w:rFonts w:eastAsia="方正仿宋简体"/>
          <w:b w:val="0"/>
          <w:bCs/>
          <w:sz w:val="32"/>
          <w:szCs w:val="32"/>
        </w:rPr>
        <w:br/>
      </w:r>
      <w:r>
        <w:rPr>
          <w:rStyle w:val="a7"/>
          <w:rFonts w:eastAsia="方正仿宋简体"/>
          <w:b w:val="0"/>
          <w:bCs/>
          <w:sz w:val="32"/>
          <w:szCs w:val="32"/>
        </w:rPr>
        <w:t xml:space="preserve">　　公用经费</w:t>
      </w:r>
      <w:r>
        <w:rPr>
          <w:rStyle w:val="a7"/>
          <w:rFonts w:eastAsia="方正仿宋简体"/>
          <w:b w:val="0"/>
          <w:bCs/>
          <w:sz w:val="32"/>
          <w:szCs w:val="32"/>
        </w:rPr>
        <w:t>104.52</w:t>
      </w:r>
      <w:r>
        <w:rPr>
          <w:rStyle w:val="a7"/>
          <w:rFonts w:eastAsia="方正仿宋简体"/>
          <w:b w:val="0"/>
          <w:bCs/>
          <w:sz w:val="32"/>
          <w:szCs w:val="32"/>
        </w:rPr>
        <w:t>万元，主要包括：办公费、印刷费、咨询费、水费、电费、邮电费、物业管理费、差旅费、因公出国（境）费用、维修（护）费、租赁费、会议费、培训费、公务接待费、劳务费、委托业务费、工会经费、福利费、公务用车运行维护费、其他交通费、其他商品和服务支出、办公设备购置、专用设备购置、信息网络及软件购置更新、其他资本性支出等。</w:t>
      </w:r>
    </w:p>
    <w:p w:rsidR="003C4AE3" w:rsidRDefault="00D57D69">
      <w:pPr>
        <w:spacing w:line="600" w:lineRule="exact"/>
        <w:ind w:firstLine="640"/>
        <w:outlineLvl w:val="1"/>
        <w:rPr>
          <w:rStyle w:val="2Char"/>
          <w:rFonts w:ascii="黑体" w:eastAsia="黑体" w:hAnsi="黑体"/>
          <w:b w:val="0"/>
        </w:rPr>
      </w:pPr>
      <w:bookmarkStart w:id="37" w:name="_Toc15396609"/>
      <w:bookmarkStart w:id="38" w:name="_Toc15377215"/>
      <w:r>
        <w:rPr>
          <w:rFonts w:ascii="黑体" w:eastAsia="黑体" w:hint="eastAsia"/>
          <w:sz w:val="32"/>
          <w:szCs w:val="32"/>
        </w:rPr>
        <w:t>七、</w:t>
      </w:r>
      <w:r>
        <w:rPr>
          <w:rStyle w:val="2Char"/>
          <w:rFonts w:ascii="黑体" w:eastAsia="黑体" w:hAnsi="黑体" w:hint="eastAsia"/>
          <w:b w:val="0"/>
        </w:rPr>
        <w:t>财政拨款</w:t>
      </w:r>
      <w:r>
        <w:rPr>
          <w:rStyle w:val="2Char"/>
          <w:rFonts w:ascii="黑体" w:eastAsia="黑体" w:hAnsi="黑体" w:hint="eastAsia"/>
        </w:rPr>
        <w:t>“</w:t>
      </w:r>
      <w:r>
        <w:rPr>
          <w:rStyle w:val="2Char"/>
          <w:rFonts w:ascii="黑体" w:eastAsia="黑体" w:hAnsi="黑体" w:hint="eastAsia"/>
          <w:b w:val="0"/>
        </w:rPr>
        <w:t>三公”经费支出决算情况说明</w:t>
      </w:r>
      <w:bookmarkEnd w:id="37"/>
      <w:bookmarkEnd w:id="38"/>
    </w:p>
    <w:p w:rsidR="003C4AE3" w:rsidRDefault="00D57D69">
      <w:pPr>
        <w:spacing w:line="600" w:lineRule="exact"/>
        <w:ind w:firstLine="640"/>
        <w:outlineLvl w:val="2"/>
        <w:rPr>
          <w:rFonts w:ascii="楷体_GB2312" w:eastAsia="楷体_GB2312" w:hAnsi="楷体_GB2312" w:cs="楷体_GB2312"/>
          <w:b/>
          <w:sz w:val="32"/>
          <w:szCs w:val="32"/>
        </w:rPr>
      </w:pPr>
      <w:bookmarkStart w:id="39" w:name="_Toc15377216"/>
      <w:r>
        <w:rPr>
          <w:rFonts w:ascii="楷体_GB2312" w:eastAsia="楷体_GB2312" w:hAnsi="楷体_GB2312" w:cs="楷体_GB2312" w:hint="eastAsia"/>
          <w:b/>
          <w:sz w:val="32"/>
          <w:szCs w:val="32"/>
        </w:rPr>
        <w:t>（一）“三公”经费财政拨款支出决算总体情况说明</w:t>
      </w:r>
      <w:bookmarkEnd w:id="39"/>
    </w:p>
    <w:p w:rsidR="003C4AE3" w:rsidRDefault="00D57D69">
      <w:pPr>
        <w:spacing w:line="600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2022</w:t>
      </w:r>
      <w:r>
        <w:rPr>
          <w:rFonts w:eastAsia="方正仿宋简体"/>
          <w:sz w:val="32"/>
          <w:szCs w:val="32"/>
        </w:rPr>
        <w:t>年</w:t>
      </w:r>
      <w:r>
        <w:rPr>
          <w:rFonts w:eastAsia="方正仿宋简体"/>
          <w:sz w:val="32"/>
          <w:szCs w:val="32"/>
        </w:rPr>
        <w:t>“</w:t>
      </w:r>
      <w:r>
        <w:rPr>
          <w:rFonts w:eastAsia="方正仿宋简体"/>
          <w:sz w:val="32"/>
          <w:szCs w:val="32"/>
        </w:rPr>
        <w:t>三公</w:t>
      </w:r>
      <w:r>
        <w:rPr>
          <w:rFonts w:eastAsia="方正仿宋简体"/>
          <w:sz w:val="32"/>
          <w:szCs w:val="32"/>
        </w:rPr>
        <w:t>”</w:t>
      </w:r>
      <w:r>
        <w:rPr>
          <w:rFonts w:eastAsia="方正仿宋简体"/>
          <w:sz w:val="32"/>
          <w:szCs w:val="32"/>
        </w:rPr>
        <w:t>经费财政拨款支出决算为</w:t>
      </w:r>
      <w:r>
        <w:rPr>
          <w:rFonts w:eastAsia="方正仿宋简体"/>
          <w:sz w:val="32"/>
          <w:szCs w:val="32"/>
        </w:rPr>
        <w:t>8.57</w:t>
      </w:r>
      <w:r>
        <w:rPr>
          <w:rFonts w:eastAsia="方正仿宋简体"/>
          <w:sz w:val="32"/>
          <w:szCs w:val="32"/>
        </w:rPr>
        <w:t>万元，完成预算</w:t>
      </w:r>
      <w:r>
        <w:rPr>
          <w:rFonts w:eastAsia="方正仿宋简体"/>
          <w:sz w:val="32"/>
          <w:szCs w:val="32"/>
        </w:rPr>
        <w:t>81.93%</w:t>
      </w:r>
      <w:r>
        <w:rPr>
          <w:rFonts w:eastAsia="方正仿宋简体"/>
          <w:sz w:val="32"/>
          <w:szCs w:val="32"/>
        </w:rPr>
        <w:t>，较上年减少</w:t>
      </w:r>
      <w:r>
        <w:rPr>
          <w:rFonts w:eastAsia="方正仿宋简体"/>
          <w:sz w:val="32"/>
          <w:szCs w:val="32"/>
        </w:rPr>
        <w:t>1.1</w:t>
      </w:r>
      <w:r>
        <w:rPr>
          <w:rFonts w:eastAsia="方正仿宋简体"/>
          <w:sz w:val="32"/>
          <w:szCs w:val="32"/>
        </w:rPr>
        <w:t>万元，下降</w:t>
      </w:r>
      <w:r>
        <w:rPr>
          <w:rFonts w:eastAsia="方正仿宋简体"/>
          <w:sz w:val="32"/>
          <w:szCs w:val="32"/>
        </w:rPr>
        <w:t>12.9%</w:t>
      </w:r>
      <w:r>
        <w:rPr>
          <w:rFonts w:eastAsia="方正仿宋简体"/>
          <w:sz w:val="32"/>
          <w:szCs w:val="32"/>
        </w:rPr>
        <w:t>。决算数小于预算数的主要原因是压缩</w:t>
      </w:r>
      <w:r>
        <w:rPr>
          <w:rFonts w:eastAsia="方正仿宋简体"/>
          <w:sz w:val="32"/>
          <w:szCs w:val="32"/>
        </w:rPr>
        <w:t>“</w:t>
      </w:r>
      <w:r>
        <w:rPr>
          <w:rFonts w:eastAsia="方正仿宋简体"/>
          <w:sz w:val="32"/>
          <w:szCs w:val="32"/>
        </w:rPr>
        <w:t>三公</w:t>
      </w:r>
      <w:r>
        <w:rPr>
          <w:rFonts w:eastAsia="方正仿宋简体"/>
          <w:sz w:val="32"/>
          <w:szCs w:val="32"/>
        </w:rPr>
        <w:t>”</w:t>
      </w:r>
      <w:r>
        <w:rPr>
          <w:rFonts w:eastAsia="方正仿宋简体"/>
          <w:sz w:val="32"/>
          <w:szCs w:val="32"/>
        </w:rPr>
        <w:t>经费，减少经费支出。</w:t>
      </w:r>
    </w:p>
    <w:p w:rsidR="003C4AE3" w:rsidRDefault="00D57D69">
      <w:pPr>
        <w:spacing w:line="600" w:lineRule="exact"/>
        <w:ind w:firstLine="640"/>
        <w:outlineLvl w:val="2"/>
        <w:rPr>
          <w:rFonts w:ascii="楷体_GB2312" w:eastAsia="楷体_GB2312" w:hAnsi="楷体_GB2312" w:cs="楷体_GB2312"/>
          <w:b/>
          <w:sz w:val="32"/>
          <w:szCs w:val="32"/>
        </w:rPr>
      </w:pPr>
      <w:bookmarkStart w:id="40" w:name="_Toc15377217"/>
      <w:r>
        <w:rPr>
          <w:rFonts w:ascii="楷体_GB2312" w:eastAsia="楷体_GB2312" w:hAnsi="楷体_GB2312" w:cs="楷体_GB2312" w:hint="eastAsia"/>
          <w:b/>
          <w:sz w:val="32"/>
          <w:szCs w:val="32"/>
        </w:rPr>
        <w:t>（二）“三公”经费财政拨款支出决算具体情况说明</w:t>
      </w:r>
      <w:bookmarkEnd w:id="40"/>
    </w:p>
    <w:p w:rsidR="003C4AE3" w:rsidRDefault="00D57D69">
      <w:pPr>
        <w:spacing w:line="600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2022</w:t>
      </w:r>
      <w:r>
        <w:rPr>
          <w:rFonts w:eastAsia="方正仿宋简体"/>
          <w:sz w:val="32"/>
          <w:szCs w:val="32"/>
        </w:rPr>
        <w:t>年</w:t>
      </w:r>
      <w:r>
        <w:rPr>
          <w:rFonts w:eastAsia="方正仿宋简体"/>
          <w:sz w:val="32"/>
          <w:szCs w:val="32"/>
        </w:rPr>
        <w:t>“</w:t>
      </w:r>
      <w:r>
        <w:rPr>
          <w:rFonts w:eastAsia="方正仿宋简体"/>
          <w:sz w:val="32"/>
          <w:szCs w:val="32"/>
        </w:rPr>
        <w:t>三公</w:t>
      </w:r>
      <w:r>
        <w:rPr>
          <w:rFonts w:eastAsia="方正仿宋简体"/>
          <w:sz w:val="32"/>
          <w:szCs w:val="32"/>
        </w:rPr>
        <w:t>”</w:t>
      </w:r>
      <w:r>
        <w:rPr>
          <w:rFonts w:eastAsia="方正仿宋简体"/>
          <w:sz w:val="32"/>
          <w:szCs w:val="32"/>
        </w:rPr>
        <w:t>经费财政拨款支出决算中，因公出国（境）费支出决算</w:t>
      </w:r>
      <w:r>
        <w:rPr>
          <w:rFonts w:eastAsia="方正仿宋简体"/>
          <w:sz w:val="32"/>
          <w:szCs w:val="32"/>
        </w:rPr>
        <w:t>0</w:t>
      </w:r>
      <w:r>
        <w:rPr>
          <w:rFonts w:eastAsia="方正仿宋简体"/>
          <w:sz w:val="32"/>
          <w:szCs w:val="32"/>
        </w:rPr>
        <w:t>万元，占</w:t>
      </w:r>
      <w:r>
        <w:rPr>
          <w:rFonts w:eastAsia="方正仿宋简体"/>
          <w:sz w:val="32"/>
          <w:szCs w:val="32"/>
        </w:rPr>
        <w:t>0%</w:t>
      </w:r>
      <w:r>
        <w:rPr>
          <w:rFonts w:eastAsia="方正仿宋简体"/>
          <w:sz w:val="32"/>
          <w:szCs w:val="32"/>
        </w:rPr>
        <w:t>；公务用车购置及运行维护费支出决算</w:t>
      </w:r>
      <w:r>
        <w:rPr>
          <w:rFonts w:eastAsia="方正仿宋简体"/>
          <w:sz w:val="32"/>
          <w:szCs w:val="32"/>
        </w:rPr>
        <w:t>7.75</w:t>
      </w:r>
      <w:r>
        <w:rPr>
          <w:rFonts w:eastAsia="方正仿宋简体"/>
          <w:sz w:val="32"/>
          <w:szCs w:val="32"/>
        </w:rPr>
        <w:t>万元，占</w:t>
      </w:r>
      <w:r>
        <w:rPr>
          <w:rFonts w:eastAsia="方正仿宋简体"/>
          <w:sz w:val="32"/>
          <w:szCs w:val="32"/>
        </w:rPr>
        <w:t>90.47%</w:t>
      </w:r>
      <w:r>
        <w:rPr>
          <w:rFonts w:eastAsia="方正仿宋简体"/>
          <w:sz w:val="32"/>
          <w:szCs w:val="32"/>
        </w:rPr>
        <w:t>；公务接待费支出决算</w:t>
      </w:r>
      <w:r>
        <w:rPr>
          <w:rFonts w:eastAsia="方正仿宋简体"/>
          <w:sz w:val="32"/>
          <w:szCs w:val="32"/>
        </w:rPr>
        <w:t>0.82</w:t>
      </w:r>
      <w:r>
        <w:rPr>
          <w:rFonts w:eastAsia="方正仿宋简体"/>
          <w:sz w:val="32"/>
          <w:szCs w:val="32"/>
        </w:rPr>
        <w:t>万元，占</w:t>
      </w:r>
      <w:r>
        <w:rPr>
          <w:rFonts w:eastAsia="方正仿宋简体"/>
          <w:sz w:val="32"/>
          <w:szCs w:val="32"/>
        </w:rPr>
        <w:t>9.53%</w:t>
      </w:r>
      <w:r>
        <w:rPr>
          <w:rFonts w:eastAsia="方正仿宋简体"/>
          <w:sz w:val="32"/>
          <w:szCs w:val="32"/>
        </w:rPr>
        <w:t>。具体情况如下：</w:t>
      </w:r>
    </w:p>
    <w:p w:rsidR="003C4AE3" w:rsidRDefault="00D57D69">
      <w:pPr>
        <w:pStyle w:val="a0"/>
        <w:spacing w:before="9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114300" distR="114300">
            <wp:extent cx="5212715" cy="2953385"/>
            <wp:effectExtent l="4445" t="4445" r="21590" b="1397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C4AE3" w:rsidRDefault="00D57D6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（图7：“三公”经费财政拨款支出结构）（饼状图）</w:t>
      </w:r>
    </w:p>
    <w:p w:rsidR="003C4AE3" w:rsidRDefault="00D57D69">
      <w:pPr>
        <w:spacing w:line="600" w:lineRule="exact"/>
        <w:ind w:firstLine="640"/>
        <w:rPr>
          <w:rFonts w:eastAsia="方正仿宋简体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1.因公出国（境）经费支出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万元，</w:t>
      </w:r>
      <w:r>
        <w:rPr>
          <w:rFonts w:eastAsia="方正仿宋简体" w:hint="eastAsia"/>
        </w:rPr>
        <w:t>完成预算</w:t>
      </w:r>
      <w:r>
        <w:rPr>
          <w:rFonts w:eastAsia="方正仿宋简体" w:hint="eastAsia"/>
        </w:rPr>
        <w:t>0%</w:t>
      </w:r>
      <w:r>
        <w:rPr>
          <w:rFonts w:eastAsia="方正仿宋简体" w:hint="eastAsia"/>
        </w:rPr>
        <w:t>。</w:t>
      </w:r>
      <w:r>
        <w:rPr>
          <w:rFonts w:eastAsia="方正仿宋简体" w:hint="eastAsia"/>
          <w:sz w:val="32"/>
          <w:szCs w:val="32"/>
        </w:rPr>
        <w:t>全年安排因公出国（境）团组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次，出国（境）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人。因公出国（境）支出决算比</w:t>
      </w:r>
      <w:r>
        <w:rPr>
          <w:rFonts w:eastAsia="方正仿宋简体" w:hint="eastAsia"/>
          <w:sz w:val="32"/>
          <w:szCs w:val="32"/>
        </w:rPr>
        <w:t>2021</w:t>
      </w:r>
      <w:r>
        <w:rPr>
          <w:rFonts w:eastAsia="方正仿宋简体" w:hint="eastAsia"/>
          <w:sz w:val="32"/>
          <w:szCs w:val="32"/>
        </w:rPr>
        <w:t>年增加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万元，增长</w:t>
      </w:r>
      <w:r>
        <w:rPr>
          <w:rFonts w:eastAsia="方正仿宋简体" w:hint="eastAsia"/>
          <w:sz w:val="32"/>
          <w:szCs w:val="32"/>
        </w:rPr>
        <w:t>0%</w:t>
      </w:r>
      <w:r>
        <w:rPr>
          <w:rFonts w:eastAsia="方正仿宋简体" w:hint="eastAsia"/>
          <w:sz w:val="32"/>
          <w:szCs w:val="32"/>
        </w:rPr>
        <w:t>。主要原因是无因公出国（境）经费支出。</w:t>
      </w:r>
    </w:p>
    <w:p w:rsidR="003C4AE3" w:rsidRDefault="00D57D69">
      <w:pPr>
        <w:spacing w:line="600" w:lineRule="exact"/>
        <w:ind w:firstLine="640"/>
        <w:rPr>
          <w:rFonts w:eastAsia="方正仿宋简体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2.公务用车购置及运行维护费支出</w:t>
      </w:r>
      <w:r>
        <w:rPr>
          <w:rFonts w:eastAsia="方正仿宋简体" w:hint="eastAsia"/>
          <w:sz w:val="32"/>
          <w:szCs w:val="32"/>
        </w:rPr>
        <w:t>7.75</w:t>
      </w:r>
      <w:r>
        <w:rPr>
          <w:rFonts w:eastAsia="方正仿宋简体" w:hint="eastAsia"/>
          <w:sz w:val="32"/>
          <w:szCs w:val="32"/>
        </w:rPr>
        <w:t>万元</w:t>
      </w:r>
      <w:r>
        <w:rPr>
          <w:rFonts w:eastAsia="方正仿宋简体" w:hint="eastAsia"/>
          <w:sz w:val="32"/>
          <w:szCs w:val="32"/>
        </w:rPr>
        <w:t>,</w:t>
      </w:r>
      <w:r>
        <w:rPr>
          <w:rFonts w:eastAsia="方正仿宋简体" w:hint="eastAsia"/>
        </w:rPr>
        <w:t>完成预算</w:t>
      </w:r>
      <w:r>
        <w:rPr>
          <w:rFonts w:eastAsia="方正仿宋简体" w:hint="eastAsia"/>
        </w:rPr>
        <w:t>95.68%</w:t>
      </w:r>
      <w:r>
        <w:rPr>
          <w:rFonts w:eastAsia="方正仿宋简体" w:hint="eastAsia"/>
        </w:rPr>
        <w:t>。</w:t>
      </w:r>
      <w:r>
        <w:rPr>
          <w:rFonts w:eastAsia="方正仿宋简体" w:hint="eastAsia"/>
          <w:sz w:val="32"/>
          <w:szCs w:val="32"/>
        </w:rPr>
        <w:t>公务用车购置及运行维护费支出决算比</w:t>
      </w:r>
      <w:r>
        <w:rPr>
          <w:rFonts w:eastAsia="方正仿宋简体" w:hint="eastAsia"/>
          <w:sz w:val="32"/>
          <w:szCs w:val="32"/>
        </w:rPr>
        <w:t>2021</w:t>
      </w:r>
      <w:r>
        <w:rPr>
          <w:rFonts w:eastAsia="方正仿宋简体" w:hint="eastAsia"/>
          <w:sz w:val="32"/>
          <w:szCs w:val="32"/>
        </w:rPr>
        <w:t>年减少</w:t>
      </w:r>
      <w:r>
        <w:rPr>
          <w:rFonts w:eastAsia="方正仿宋简体" w:hint="eastAsia"/>
          <w:sz w:val="32"/>
          <w:szCs w:val="32"/>
        </w:rPr>
        <w:t>0.24</w:t>
      </w:r>
      <w:r>
        <w:rPr>
          <w:rFonts w:eastAsia="方正仿宋简体" w:hint="eastAsia"/>
          <w:sz w:val="32"/>
          <w:szCs w:val="32"/>
        </w:rPr>
        <w:t>万元，下降</w:t>
      </w:r>
      <w:r>
        <w:rPr>
          <w:rFonts w:eastAsia="方正仿宋简体" w:hint="eastAsia"/>
          <w:sz w:val="32"/>
          <w:szCs w:val="32"/>
        </w:rPr>
        <w:t>3%</w:t>
      </w:r>
      <w:r>
        <w:rPr>
          <w:rFonts w:eastAsia="方正仿宋简体" w:hint="eastAsia"/>
          <w:sz w:val="32"/>
          <w:szCs w:val="32"/>
        </w:rPr>
        <w:t>。主要原因是车辆使用次数减少，部分费用当年未结算支出。</w:t>
      </w:r>
    </w:p>
    <w:p w:rsidR="003C4AE3" w:rsidRDefault="00D57D69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其中：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公务用车购置支出</w:t>
      </w:r>
      <w:r>
        <w:rPr>
          <w:rFonts w:eastAsia="方正仿宋简体"/>
          <w:sz w:val="32"/>
          <w:szCs w:val="32"/>
        </w:rPr>
        <w:t>0</w:t>
      </w:r>
      <w:r>
        <w:rPr>
          <w:rFonts w:eastAsia="方正仿宋简体"/>
          <w:sz w:val="32"/>
          <w:szCs w:val="32"/>
        </w:rPr>
        <w:t>万元。全年按规定更新购置公务用车</w:t>
      </w:r>
      <w:r>
        <w:rPr>
          <w:rFonts w:eastAsia="方正仿宋简体"/>
          <w:sz w:val="32"/>
          <w:szCs w:val="32"/>
        </w:rPr>
        <w:t>0</w:t>
      </w:r>
      <w:r>
        <w:rPr>
          <w:rFonts w:eastAsia="方正仿宋简体"/>
          <w:sz w:val="32"/>
          <w:szCs w:val="32"/>
        </w:rPr>
        <w:t>辆，其中：轿车</w:t>
      </w:r>
      <w:r>
        <w:rPr>
          <w:rFonts w:eastAsia="方正仿宋简体"/>
          <w:sz w:val="32"/>
          <w:szCs w:val="32"/>
        </w:rPr>
        <w:t>0</w:t>
      </w:r>
      <w:r>
        <w:rPr>
          <w:rFonts w:eastAsia="方正仿宋简体"/>
          <w:sz w:val="32"/>
          <w:szCs w:val="32"/>
        </w:rPr>
        <w:t>辆、金额</w:t>
      </w:r>
      <w:r>
        <w:rPr>
          <w:rFonts w:eastAsia="方正仿宋简体"/>
          <w:sz w:val="32"/>
          <w:szCs w:val="32"/>
        </w:rPr>
        <w:t>0</w:t>
      </w:r>
      <w:r>
        <w:rPr>
          <w:rFonts w:eastAsia="方正仿宋简体"/>
          <w:sz w:val="32"/>
          <w:szCs w:val="32"/>
        </w:rPr>
        <w:t>万元，越野车</w:t>
      </w:r>
      <w:r>
        <w:rPr>
          <w:rFonts w:eastAsia="方正仿宋简体"/>
          <w:sz w:val="32"/>
          <w:szCs w:val="32"/>
        </w:rPr>
        <w:t>0</w:t>
      </w:r>
      <w:r>
        <w:rPr>
          <w:rFonts w:eastAsia="方正仿宋简体"/>
          <w:sz w:val="32"/>
          <w:szCs w:val="32"/>
        </w:rPr>
        <w:t>辆、金额</w:t>
      </w:r>
      <w:r>
        <w:rPr>
          <w:rFonts w:eastAsia="方正仿宋简体"/>
          <w:sz w:val="32"/>
          <w:szCs w:val="32"/>
        </w:rPr>
        <w:t>0</w:t>
      </w:r>
      <w:r>
        <w:rPr>
          <w:rFonts w:eastAsia="方正仿宋简体"/>
          <w:sz w:val="32"/>
          <w:szCs w:val="32"/>
        </w:rPr>
        <w:t>万元，载客汽车</w:t>
      </w:r>
      <w:r>
        <w:rPr>
          <w:rFonts w:eastAsia="方正仿宋简体"/>
          <w:sz w:val="32"/>
          <w:szCs w:val="32"/>
        </w:rPr>
        <w:t>0</w:t>
      </w:r>
      <w:r>
        <w:rPr>
          <w:rFonts w:eastAsia="方正仿宋简体"/>
          <w:sz w:val="32"/>
          <w:szCs w:val="32"/>
        </w:rPr>
        <w:t>辆、金额</w:t>
      </w:r>
      <w:r>
        <w:rPr>
          <w:rFonts w:eastAsia="方正仿宋简体"/>
          <w:sz w:val="32"/>
          <w:szCs w:val="32"/>
        </w:rPr>
        <w:t>0</w:t>
      </w:r>
      <w:r>
        <w:rPr>
          <w:rFonts w:eastAsia="方正仿宋简体"/>
          <w:sz w:val="32"/>
          <w:szCs w:val="32"/>
        </w:rPr>
        <w:t>万元，主要用于无。截至</w:t>
      </w:r>
      <w:r>
        <w:rPr>
          <w:rFonts w:eastAsia="方正仿宋简体"/>
          <w:sz w:val="32"/>
          <w:szCs w:val="32"/>
        </w:rPr>
        <w:t>2022</w:t>
      </w:r>
      <w:r>
        <w:rPr>
          <w:rFonts w:eastAsia="方正仿宋简体"/>
          <w:sz w:val="32"/>
          <w:szCs w:val="32"/>
        </w:rPr>
        <w:t>年</w:t>
      </w:r>
      <w:r>
        <w:rPr>
          <w:rFonts w:eastAsia="方正仿宋简体"/>
          <w:sz w:val="32"/>
          <w:szCs w:val="32"/>
        </w:rPr>
        <w:lastRenderedPageBreak/>
        <w:t>12</w:t>
      </w:r>
      <w:r>
        <w:rPr>
          <w:rFonts w:eastAsia="方正仿宋简体"/>
          <w:sz w:val="32"/>
          <w:szCs w:val="32"/>
        </w:rPr>
        <w:t>月底，单位共有公务用车</w:t>
      </w:r>
      <w:r>
        <w:rPr>
          <w:rFonts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辆，其中：轿车</w:t>
      </w:r>
      <w:r>
        <w:rPr>
          <w:rFonts w:eastAsia="方正仿宋简体"/>
          <w:sz w:val="32"/>
          <w:szCs w:val="32"/>
        </w:rPr>
        <w:t>0</w:t>
      </w:r>
      <w:r>
        <w:rPr>
          <w:rFonts w:eastAsia="方正仿宋简体"/>
          <w:sz w:val="32"/>
          <w:szCs w:val="32"/>
        </w:rPr>
        <w:t>辆、越野车</w:t>
      </w:r>
      <w:r>
        <w:rPr>
          <w:rFonts w:eastAsia="方正仿宋简体"/>
          <w:sz w:val="32"/>
          <w:szCs w:val="32"/>
        </w:rPr>
        <w:t>1</w:t>
      </w:r>
      <w:r>
        <w:rPr>
          <w:rFonts w:eastAsia="方正仿宋简体"/>
          <w:sz w:val="32"/>
          <w:szCs w:val="32"/>
        </w:rPr>
        <w:t>辆、载客汽车</w:t>
      </w:r>
      <w:r>
        <w:rPr>
          <w:rFonts w:eastAsia="方正仿宋简体"/>
          <w:sz w:val="32"/>
          <w:szCs w:val="32"/>
        </w:rPr>
        <w:t>1</w:t>
      </w:r>
      <w:r>
        <w:rPr>
          <w:rFonts w:eastAsia="方正仿宋简体"/>
          <w:sz w:val="32"/>
          <w:szCs w:val="32"/>
        </w:rPr>
        <w:t>辆。</w:t>
      </w:r>
    </w:p>
    <w:p w:rsidR="003C4AE3" w:rsidRDefault="00D57D6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公务用车运行维护费支出</w:t>
      </w:r>
      <w:r>
        <w:rPr>
          <w:rFonts w:eastAsia="方正仿宋简体" w:hint="eastAsia"/>
          <w:sz w:val="32"/>
          <w:szCs w:val="32"/>
        </w:rPr>
        <w:t>7.75</w:t>
      </w:r>
      <w:r>
        <w:rPr>
          <w:rFonts w:eastAsia="方正仿宋简体" w:hint="eastAsia"/>
          <w:sz w:val="32"/>
          <w:szCs w:val="32"/>
        </w:rPr>
        <w:t>万元。主要用于所需的公务用车燃料费、维修费、过路过桥费、保险费等支出。</w:t>
      </w:r>
    </w:p>
    <w:p w:rsidR="003C4AE3" w:rsidRDefault="00D57D69">
      <w:pPr>
        <w:spacing w:line="600" w:lineRule="exact"/>
        <w:ind w:firstLine="640"/>
        <w:rPr>
          <w:rFonts w:eastAsia="方正仿宋简体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3.公务接待费支出</w:t>
      </w:r>
      <w:r>
        <w:rPr>
          <w:rFonts w:eastAsia="方正仿宋简体" w:hint="eastAsia"/>
          <w:sz w:val="32"/>
          <w:szCs w:val="32"/>
        </w:rPr>
        <w:t>0.82</w:t>
      </w:r>
      <w:r>
        <w:rPr>
          <w:rFonts w:eastAsia="方正仿宋简体" w:hint="eastAsia"/>
          <w:sz w:val="32"/>
          <w:szCs w:val="32"/>
        </w:rPr>
        <w:t>万元，</w:t>
      </w:r>
      <w:r>
        <w:rPr>
          <w:rFonts w:eastAsia="方正仿宋简体" w:hint="eastAsia"/>
        </w:rPr>
        <w:t>完成预算</w:t>
      </w:r>
      <w:r>
        <w:rPr>
          <w:rFonts w:eastAsia="方正仿宋简体" w:hint="eastAsia"/>
        </w:rPr>
        <w:t>34.74%</w:t>
      </w:r>
      <w:r>
        <w:rPr>
          <w:rFonts w:eastAsia="方正仿宋简体" w:hint="eastAsia"/>
        </w:rPr>
        <w:t>。</w:t>
      </w:r>
      <w:r>
        <w:rPr>
          <w:rFonts w:eastAsia="方正仿宋简体" w:hint="eastAsia"/>
          <w:sz w:val="32"/>
          <w:szCs w:val="32"/>
        </w:rPr>
        <w:t>公务接待费支出决算比</w:t>
      </w:r>
      <w:r>
        <w:rPr>
          <w:rFonts w:eastAsia="方正仿宋简体" w:hint="eastAsia"/>
          <w:sz w:val="32"/>
          <w:szCs w:val="32"/>
        </w:rPr>
        <w:t>2021</w:t>
      </w:r>
      <w:r>
        <w:rPr>
          <w:rFonts w:eastAsia="方正仿宋简体" w:hint="eastAsia"/>
          <w:sz w:val="32"/>
          <w:szCs w:val="32"/>
        </w:rPr>
        <w:t>年减少</w:t>
      </w:r>
      <w:r>
        <w:rPr>
          <w:rFonts w:eastAsia="方正仿宋简体" w:hint="eastAsia"/>
          <w:sz w:val="32"/>
          <w:szCs w:val="32"/>
        </w:rPr>
        <w:t>0.87</w:t>
      </w:r>
      <w:r>
        <w:rPr>
          <w:rFonts w:eastAsia="方正仿宋简体" w:hint="eastAsia"/>
          <w:sz w:val="32"/>
          <w:szCs w:val="32"/>
        </w:rPr>
        <w:t>万元，下降</w:t>
      </w:r>
      <w:r>
        <w:rPr>
          <w:rFonts w:eastAsia="方正仿宋简体" w:hint="eastAsia"/>
          <w:sz w:val="32"/>
          <w:szCs w:val="32"/>
        </w:rPr>
        <w:t>48.52%</w:t>
      </w:r>
      <w:r>
        <w:rPr>
          <w:rFonts w:eastAsia="方正仿宋简体" w:hint="eastAsia"/>
          <w:sz w:val="32"/>
          <w:szCs w:val="32"/>
        </w:rPr>
        <w:t>。主要原因是压减支出及来攀人员减少。</w:t>
      </w:r>
    </w:p>
    <w:p w:rsidR="003C4AE3" w:rsidRDefault="00D57D69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国内公务接待支出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万元，主要用于无</w:t>
      </w:r>
      <w:r>
        <w:rPr>
          <w:rFonts w:eastAsia="方正仿宋简体" w:hint="eastAsia"/>
          <w:sz w:val="32"/>
          <w:szCs w:val="32"/>
        </w:rPr>
        <w:t>(</w:t>
      </w:r>
      <w:r>
        <w:rPr>
          <w:rFonts w:eastAsia="方正仿宋简体" w:hint="eastAsia"/>
          <w:sz w:val="32"/>
          <w:szCs w:val="32"/>
        </w:rPr>
        <w:t>执行公务、开展业务活动开支的交通费、住宿费、用餐费等</w:t>
      </w:r>
      <w:r>
        <w:rPr>
          <w:rFonts w:eastAsia="方正仿宋简体" w:hint="eastAsia"/>
          <w:sz w:val="32"/>
          <w:szCs w:val="32"/>
        </w:rPr>
        <w:t>)</w:t>
      </w:r>
      <w:r>
        <w:rPr>
          <w:rFonts w:eastAsia="方正仿宋简体" w:hint="eastAsia"/>
          <w:sz w:val="32"/>
          <w:szCs w:val="32"/>
        </w:rPr>
        <w:t>。国内公务接待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批次，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人次（不包括陪同人员），共计支出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万元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。</w:t>
      </w:r>
    </w:p>
    <w:p w:rsidR="003C4AE3" w:rsidRDefault="00D57D69" w:rsidP="00F22465">
      <w:pPr>
        <w:spacing w:line="600" w:lineRule="exact"/>
        <w:ind w:firstLineChars="200" w:firstLine="643"/>
        <w:rPr>
          <w:rFonts w:eastAsia="方正仿宋简体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外事接待支出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万元。外事接待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批次，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人次（不包括陪同人员），共计支出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万元。</w:t>
      </w:r>
      <w:bookmarkStart w:id="41" w:name="_Toc15377218"/>
      <w:bookmarkStart w:id="42" w:name="_Toc15396610"/>
    </w:p>
    <w:p w:rsidR="003C4AE3" w:rsidRDefault="00D57D69">
      <w:pPr>
        <w:spacing w:line="600" w:lineRule="exact"/>
        <w:ind w:firstLine="640"/>
        <w:outlineLvl w:val="1"/>
        <w:rPr>
          <w:rStyle w:val="2Char"/>
          <w:rFonts w:ascii="黑体" w:eastAsia="黑体" w:hAnsi="黑体"/>
        </w:rPr>
      </w:pPr>
      <w:r>
        <w:rPr>
          <w:rFonts w:ascii="黑体" w:eastAsia="黑体" w:hint="eastAsia"/>
          <w:sz w:val="32"/>
          <w:szCs w:val="32"/>
        </w:rPr>
        <w:t>八、</w:t>
      </w:r>
      <w:r>
        <w:rPr>
          <w:rStyle w:val="2Char"/>
          <w:rFonts w:ascii="黑体" w:eastAsia="黑体" w:hAnsi="黑体" w:hint="eastAsia"/>
          <w:b w:val="0"/>
        </w:rPr>
        <w:t>政府性基金预算支出决算情况说明</w:t>
      </w:r>
      <w:bookmarkEnd w:id="41"/>
      <w:bookmarkEnd w:id="42"/>
    </w:p>
    <w:p w:rsidR="003C4AE3" w:rsidRDefault="00D57D69">
      <w:pPr>
        <w:spacing w:line="600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</w:t>
      </w:r>
      <w:r>
        <w:rPr>
          <w:rFonts w:eastAsia="方正仿宋简体" w:hint="eastAsia"/>
          <w:sz w:val="32"/>
          <w:szCs w:val="32"/>
        </w:rPr>
        <w:t>22</w:t>
      </w:r>
      <w:r>
        <w:rPr>
          <w:rFonts w:eastAsia="方正仿宋简体" w:hint="eastAsia"/>
          <w:sz w:val="32"/>
          <w:szCs w:val="32"/>
        </w:rPr>
        <w:t>年政府性基金预算财政拨款支出</w:t>
      </w:r>
      <w:r>
        <w:rPr>
          <w:rFonts w:eastAsia="方正仿宋简体" w:hint="eastAsia"/>
          <w:sz w:val="32"/>
          <w:szCs w:val="32"/>
        </w:rPr>
        <w:t>129.5</w:t>
      </w:r>
      <w:r>
        <w:rPr>
          <w:rFonts w:eastAsia="方正仿宋简体" w:hint="eastAsia"/>
          <w:sz w:val="32"/>
          <w:szCs w:val="32"/>
        </w:rPr>
        <w:t>万元。</w:t>
      </w:r>
    </w:p>
    <w:p w:rsidR="003C4AE3" w:rsidRDefault="00D57D69">
      <w:pPr>
        <w:numPr>
          <w:ilvl w:val="0"/>
          <w:numId w:val="3"/>
        </w:numPr>
        <w:spacing w:line="600" w:lineRule="exact"/>
        <w:ind w:firstLine="640"/>
        <w:outlineLvl w:val="1"/>
        <w:rPr>
          <w:rStyle w:val="2Char"/>
          <w:rFonts w:ascii="黑体" w:eastAsia="黑体" w:hAnsi="黑体"/>
          <w:b w:val="0"/>
        </w:rPr>
      </w:pPr>
      <w:bookmarkStart w:id="43" w:name="_Toc15377219"/>
      <w:bookmarkStart w:id="44" w:name="_Toc15396611"/>
      <w:r>
        <w:rPr>
          <w:rStyle w:val="2Char"/>
          <w:rFonts w:ascii="黑体" w:eastAsia="黑体" w:hAnsi="黑体" w:hint="eastAsia"/>
          <w:b w:val="0"/>
        </w:rPr>
        <w:t>国有资本经营预算支出决算情况说明</w:t>
      </w:r>
      <w:bookmarkEnd w:id="43"/>
      <w:bookmarkEnd w:id="44"/>
    </w:p>
    <w:p w:rsidR="003C4AE3" w:rsidRDefault="00D57D69">
      <w:pPr>
        <w:spacing w:line="600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</w:t>
      </w:r>
      <w:r>
        <w:rPr>
          <w:rFonts w:eastAsia="方正仿宋简体" w:hint="eastAsia"/>
          <w:sz w:val="32"/>
          <w:szCs w:val="32"/>
        </w:rPr>
        <w:t>22</w:t>
      </w:r>
      <w:r>
        <w:rPr>
          <w:rFonts w:eastAsia="方正仿宋简体" w:hint="eastAsia"/>
          <w:sz w:val="32"/>
          <w:szCs w:val="32"/>
        </w:rPr>
        <w:t>年国有资本经营预算财政拨款支出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万元。</w:t>
      </w:r>
    </w:p>
    <w:p w:rsidR="003C4AE3" w:rsidRDefault="00D57D69">
      <w:pPr>
        <w:numPr>
          <w:ilvl w:val="0"/>
          <w:numId w:val="3"/>
        </w:numPr>
        <w:spacing w:line="600" w:lineRule="exact"/>
        <w:ind w:firstLine="640"/>
        <w:outlineLvl w:val="1"/>
        <w:rPr>
          <w:rStyle w:val="2Char"/>
          <w:rFonts w:ascii="黑体" w:eastAsia="黑体" w:hAnsi="黑体"/>
          <w:b w:val="0"/>
        </w:rPr>
      </w:pPr>
      <w:bookmarkStart w:id="45" w:name="_Toc15396612"/>
      <w:bookmarkStart w:id="46" w:name="_Toc15377221"/>
      <w:r>
        <w:rPr>
          <w:rStyle w:val="2Char"/>
          <w:rFonts w:ascii="黑体" w:eastAsia="黑体" w:hAnsi="黑体" w:hint="eastAsia"/>
          <w:b w:val="0"/>
        </w:rPr>
        <w:t>其他重要事项的情况说明</w:t>
      </w:r>
      <w:bookmarkEnd w:id="45"/>
      <w:bookmarkEnd w:id="46"/>
    </w:p>
    <w:p w:rsidR="003C4AE3" w:rsidRDefault="00D57D69" w:rsidP="00F22465">
      <w:pPr>
        <w:spacing w:line="600" w:lineRule="exact"/>
        <w:ind w:firstLineChars="200" w:firstLine="643"/>
        <w:outlineLvl w:val="2"/>
        <w:rPr>
          <w:rFonts w:ascii="仿宋" w:eastAsia="仿宋" w:hAnsi="仿宋"/>
          <w:sz w:val="32"/>
          <w:szCs w:val="32"/>
        </w:rPr>
      </w:pPr>
      <w:bookmarkStart w:id="47" w:name="_Toc15377222"/>
      <w:r>
        <w:rPr>
          <w:rFonts w:ascii="仿宋" w:eastAsia="仿宋" w:hAnsi="仿宋" w:hint="eastAsia"/>
          <w:b/>
          <w:sz w:val="32"/>
          <w:szCs w:val="32"/>
        </w:rPr>
        <w:t>（一）机关运行经费支出情况</w:t>
      </w:r>
      <w:bookmarkEnd w:id="47"/>
    </w:p>
    <w:p w:rsidR="003C4AE3" w:rsidRDefault="00D57D69">
      <w:pPr>
        <w:spacing w:line="600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</w:t>
      </w:r>
      <w:r>
        <w:rPr>
          <w:rFonts w:eastAsia="方正仿宋简体" w:hint="eastAsia"/>
          <w:sz w:val="32"/>
          <w:szCs w:val="32"/>
        </w:rPr>
        <w:t>22</w:t>
      </w:r>
      <w:r>
        <w:rPr>
          <w:rFonts w:eastAsia="方正仿宋简体" w:hint="eastAsia"/>
          <w:sz w:val="32"/>
          <w:szCs w:val="32"/>
        </w:rPr>
        <w:t>年，市民政局机关运行经费支出</w:t>
      </w:r>
      <w:r>
        <w:rPr>
          <w:rFonts w:eastAsia="方正仿宋简体" w:hint="eastAsia"/>
          <w:sz w:val="32"/>
          <w:szCs w:val="32"/>
        </w:rPr>
        <w:t>104.52</w:t>
      </w:r>
      <w:r>
        <w:rPr>
          <w:rFonts w:eastAsia="方正仿宋简体" w:hint="eastAsia"/>
          <w:sz w:val="32"/>
          <w:szCs w:val="32"/>
        </w:rPr>
        <w:t>元，比</w:t>
      </w:r>
      <w:r>
        <w:rPr>
          <w:rFonts w:eastAsia="方正仿宋简体"/>
          <w:sz w:val="32"/>
          <w:szCs w:val="32"/>
        </w:rPr>
        <w:t>20</w:t>
      </w:r>
      <w:r>
        <w:rPr>
          <w:rFonts w:eastAsia="方正仿宋简体" w:hint="eastAsia"/>
          <w:sz w:val="32"/>
          <w:szCs w:val="32"/>
        </w:rPr>
        <w:t>21</w:t>
      </w:r>
      <w:r>
        <w:rPr>
          <w:rFonts w:eastAsia="方正仿宋简体" w:hint="eastAsia"/>
          <w:sz w:val="32"/>
          <w:szCs w:val="32"/>
        </w:rPr>
        <w:t>年增加</w:t>
      </w:r>
      <w:r>
        <w:rPr>
          <w:rFonts w:eastAsia="方正仿宋简体" w:hint="eastAsia"/>
          <w:sz w:val="32"/>
          <w:szCs w:val="32"/>
        </w:rPr>
        <w:t>11.15</w:t>
      </w:r>
      <w:r>
        <w:rPr>
          <w:rFonts w:eastAsia="方正仿宋简体" w:hint="eastAsia"/>
          <w:sz w:val="32"/>
          <w:szCs w:val="32"/>
        </w:rPr>
        <w:t>万元，增长</w:t>
      </w:r>
      <w:r>
        <w:rPr>
          <w:rFonts w:eastAsia="方正仿宋简体" w:hint="eastAsia"/>
          <w:sz w:val="32"/>
          <w:szCs w:val="32"/>
        </w:rPr>
        <w:t>11.94</w:t>
      </w:r>
      <w:r>
        <w:rPr>
          <w:rFonts w:eastAsia="方正仿宋简体"/>
          <w:sz w:val="32"/>
          <w:szCs w:val="32"/>
        </w:rPr>
        <w:t>%</w:t>
      </w:r>
      <w:r>
        <w:rPr>
          <w:rFonts w:eastAsia="方正仿宋简体" w:hint="eastAsia"/>
          <w:sz w:val="32"/>
          <w:szCs w:val="32"/>
        </w:rPr>
        <w:t>。主要原因是人员编制增加，公用经费增加。</w:t>
      </w:r>
    </w:p>
    <w:p w:rsidR="003C4AE3" w:rsidRDefault="00D57D69" w:rsidP="00F22465">
      <w:pPr>
        <w:autoSpaceDE w:val="0"/>
        <w:autoSpaceDN w:val="0"/>
        <w:adjustRightInd w:val="0"/>
        <w:spacing w:line="600" w:lineRule="exact"/>
        <w:ind w:firstLineChars="200" w:firstLine="643"/>
        <w:jc w:val="left"/>
        <w:outlineLvl w:val="2"/>
        <w:rPr>
          <w:rFonts w:ascii="仿宋" w:eastAsia="仿宋" w:hAnsi="仿宋"/>
          <w:b/>
          <w:sz w:val="32"/>
          <w:szCs w:val="32"/>
        </w:rPr>
      </w:pPr>
      <w:bookmarkStart w:id="48" w:name="_Toc15377223"/>
      <w:r>
        <w:rPr>
          <w:rFonts w:ascii="仿宋" w:eastAsia="仿宋" w:hAnsi="仿宋" w:hint="eastAsia"/>
          <w:b/>
          <w:sz w:val="32"/>
          <w:szCs w:val="32"/>
        </w:rPr>
        <w:lastRenderedPageBreak/>
        <w:t>（二）政府采购支出情况</w:t>
      </w:r>
      <w:bookmarkEnd w:id="48"/>
    </w:p>
    <w:p w:rsidR="003C4AE3" w:rsidRDefault="00D57D69">
      <w:pPr>
        <w:spacing w:line="600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</w:t>
      </w:r>
      <w:r>
        <w:rPr>
          <w:rFonts w:eastAsia="方正仿宋简体" w:hint="eastAsia"/>
          <w:sz w:val="32"/>
          <w:szCs w:val="32"/>
        </w:rPr>
        <w:t>22</w:t>
      </w:r>
      <w:r>
        <w:rPr>
          <w:rFonts w:eastAsia="方正仿宋简体" w:hint="eastAsia"/>
          <w:sz w:val="32"/>
          <w:szCs w:val="32"/>
        </w:rPr>
        <w:t>年，市民政局政府采购支出总额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万元，其中：政府采购货物支出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万元、政府采购工程支出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万元、政府采购服务支出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万元。主要用于无（具体工作）。授予中小企业合同金额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万元，占政府采购支出总额的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/>
          <w:sz w:val="32"/>
          <w:szCs w:val="32"/>
        </w:rPr>
        <w:t>%</w:t>
      </w:r>
      <w:r>
        <w:rPr>
          <w:rFonts w:eastAsia="方正仿宋简体" w:hint="eastAsia"/>
          <w:sz w:val="32"/>
          <w:szCs w:val="32"/>
        </w:rPr>
        <w:t>，其中：授予小微企业合同金额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万元，占政府采购支出总额的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/>
          <w:sz w:val="32"/>
          <w:szCs w:val="32"/>
        </w:rPr>
        <w:t>%</w:t>
      </w:r>
      <w:r>
        <w:rPr>
          <w:rFonts w:eastAsia="方正仿宋简体" w:hint="eastAsia"/>
          <w:sz w:val="32"/>
          <w:szCs w:val="32"/>
        </w:rPr>
        <w:t>。</w:t>
      </w:r>
    </w:p>
    <w:p w:rsidR="003C4AE3" w:rsidRDefault="00D57D69" w:rsidP="00F22465">
      <w:pPr>
        <w:autoSpaceDE w:val="0"/>
        <w:autoSpaceDN w:val="0"/>
        <w:adjustRightInd w:val="0"/>
        <w:spacing w:line="600" w:lineRule="exact"/>
        <w:ind w:firstLineChars="200" w:firstLine="643"/>
        <w:jc w:val="left"/>
        <w:outlineLvl w:val="2"/>
        <w:rPr>
          <w:rFonts w:ascii="仿宋" w:eastAsia="仿宋" w:hAnsi="仿宋"/>
          <w:b/>
          <w:sz w:val="32"/>
          <w:szCs w:val="32"/>
        </w:rPr>
      </w:pPr>
      <w:bookmarkStart w:id="49" w:name="_Toc15377224"/>
      <w:r>
        <w:rPr>
          <w:rFonts w:ascii="仿宋" w:eastAsia="仿宋" w:hAnsi="仿宋" w:hint="eastAsia"/>
          <w:b/>
          <w:sz w:val="32"/>
          <w:szCs w:val="32"/>
        </w:rPr>
        <w:t>（三）国有资产占有使用情况</w:t>
      </w:r>
      <w:bookmarkEnd w:id="49"/>
    </w:p>
    <w:p w:rsidR="003C4AE3" w:rsidRDefault="00D57D69">
      <w:pPr>
        <w:spacing w:line="600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截至</w:t>
      </w:r>
      <w:r>
        <w:rPr>
          <w:rFonts w:eastAsia="方正仿宋简体"/>
          <w:sz w:val="32"/>
          <w:szCs w:val="32"/>
        </w:rPr>
        <w:t>20</w:t>
      </w:r>
      <w:r>
        <w:rPr>
          <w:rFonts w:eastAsia="方正仿宋简体" w:hint="eastAsia"/>
          <w:sz w:val="32"/>
          <w:szCs w:val="32"/>
        </w:rPr>
        <w:t>22</w:t>
      </w:r>
      <w:r>
        <w:rPr>
          <w:rFonts w:eastAsia="方正仿宋简体" w:hint="eastAsia"/>
          <w:sz w:val="32"/>
          <w:szCs w:val="32"/>
        </w:rPr>
        <w:t>年</w:t>
      </w:r>
      <w:r>
        <w:rPr>
          <w:rFonts w:eastAsia="方正仿宋简体"/>
          <w:sz w:val="32"/>
          <w:szCs w:val="32"/>
        </w:rPr>
        <w:t>12</w:t>
      </w:r>
      <w:r>
        <w:rPr>
          <w:rFonts w:eastAsia="方正仿宋简体" w:hint="eastAsia"/>
          <w:sz w:val="32"/>
          <w:szCs w:val="32"/>
        </w:rPr>
        <w:t>月</w:t>
      </w:r>
      <w:r>
        <w:rPr>
          <w:rFonts w:eastAsia="方正仿宋简体"/>
          <w:sz w:val="32"/>
          <w:szCs w:val="32"/>
        </w:rPr>
        <w:t>31</w:t>
      </w:r>
      <w:r>
        <w:rPr>
          <w:rFonts w:eastAsia="方正仿宋简体" w:hint="eastAsia"/>
          <w:sz w:val="32"/>
          <w:szCs w:val="32"/>
        </w:rPr>
        <w:t>日，市民政局共有车辆</w:t>
      </w:r>
      <w:r>
        <w:rPr>
          <w:rFonts w:eastAsia="方正仿宋简体" w:hint="eastAsia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辆，其中：主要领导干部用车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辆、机要通信用车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辆、应急保障用车</w:t>
      </w:r>
      <w:r>
        <w:rPr>
          <w:rFonts w:eastAsia="方正仿宋简体" w:hint="eastAsia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辆、其他用车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辆，其他用车无。单价</w:t>
      </w:r>
      <w:r>
        <w:rPr>
          <w:rFonts w:eastAsia="方正仿宋简体"/>
          <w:sz w:val="32"/>
          <w:szCs w:val="32"/>
        </w:rPr>
        <w:t>100</w:t>
      </w:r>
      <w:r>
        <w:rPr>
          <w:rFonts w:eastAsia="方正仿宋简体" w:hint="eastAsia"/>
          <w:sz w:val="32"/>
          <w:szCs w:val="32"/>
        </w:rPr>
        <w:t>万元以上专用设备</w:t>
      </w:r>
      <w:r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>台（套）。</w:t>
      </w:r>
    </w:p>
    <w:p w:rsidR="003C4AE3" w:rsidRDefault="00D57D69" w:rsidP="00F22465">
      <w:pPr>
        <w:autoSpaceDE w:val="0"/>
        <w:autoSpaceDN w:val="0"/>
        <w:adjustRightInd w:val="0"/>
        <w:spacing w:line="600" w:lineRule="exact"/>
        <w:ind w:firstLineChars="200" w:firstLine="643"/>
        <w:jc w:val="left"/>
        <w:outlineLvl w:val="2"/>
        <w:rPr>
          <w:rFonts w:hAnsi="仿宋_GB2312" w:cs="仿宋_GB2312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（四）预算绩效管理情况</w:t>
      </w:r>
    </w:p>
    <w:p w:rsidR="003C4AE3" w:rsidRDefault="00D57D69">
      <w:pPr>
        <w:spacing w:line="600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根据预算绩效管理要求，本单位在</w:t>
      </w:r>
      <w:r>
        <w:rPr>
          <w:rFonts w:eastAsia="方正仿宋简体" w:hint="eastAsia"/>
          <w:sz w:val="32"/>
          <w:szCs w:val="32"/>
        </w:rPr>
        <w:t>2022</w:t>
      </w:r>
      <w:r>
        <w:rPr>
          <w:rFonts w:eastAsia="方正仿宋简体" w:hint="eastAsia"/>
          <w:sz w:val="32"/>
          <w:szCs w:val="32"/>
        </w:rPr>
        <w:t>年度预算编制阶段，组织对“阳光童行”关爱险、政府公众责任险、养老机构星级评定等</w:t>
      </w:r>
      <w:r>
        <w:rPr>
          <w:rFonts w:eastAsia="方正仿宋简体" w:hint="eastAsia"/>
          <w:sz w:val="32"/>
          <w:szCs w:val="32"/>
        </w:rPr>
        <w:t>18</w:t>
      </w:r>
      <w:r>
        <w:rPr>
          <w:rFonts w:eastAsia="方正仿宋简体" w:hint="eastAsia"/>
          <w:sz w:val="32"/>
          <w:szCs w:val="32"/>
        </w:rPr>
        <w:t>个项目编制了绩效目标申报，预算执行过程中，选取</w:t>
      </w:r>
      <w:r>
        <w:rPr>
          <w:rFonts w:eastAsia="方正仿宋简体" w:hint="eastAsia"/>
          <w:sz w:val="32"/>
          <w:szCs w:val="32"/>
        </w:rPr>
        <w:t>10</w:t>
      </w:r>
      <w:r>
        <w:rPr>
          <w:rFonts w:eastAsia="方正仿宋简体" w:hint="eastAsia"/>
          <w:sz w:val="32"/>
          <w:szCs w:val="32"/>
        </w:rPr>
        <w:t>个项目开展绩效监控，组织对</w:t>
      </w:r>
      <w:r>
        <w:rPr>
          <w:rFonts w:eastAsia="方正仿宋简体" w:hint="eastAsia"/>
          <w:sz w:val="32"/>
          <w:szCs w:val="32"/>
        </w:rPr>
        <w:t>10</w:t>
      </w:r>
      <w:r>
        <w:rPr>
          <w:rFonts w:eastAsia="方正仿宋简体" w:hint="eastAsia"/>
          <w:sz w:val="32"/>
          <w:szCs w:val="32"/>
        </w:rPr>
        <w:t>个项目开展绩效自评，绩效自评表详见第四部分附件。</w:t>
      </w:r>
    </w:p>
    <w:p w:rsidR="003C4AE3" w:rsidRDefault="00D57D69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</w:p>
    <w:p w:rsidR="003C4AE3" w:rsidRDefault="003C4AE3"/>
    <w:p w:rsidR="003C4AE3" w:rsidRDefault="00D57D69">
      <w:pPr>
        <w:numPr>
          <w:ilvl w:val="0"/>
          <w:numId w:val="4"/>
        </w:numPr>
        <w:spacing w:line="600" w:lineRule="exact"/>
        <w:ind w:firstLineChars="150" w:firstLine="660"/>
        <w:jc w:val="center"/>
        <w:outlineLvl w:val="0"/>
        <w:rPr>
          <w:rStyle w:val="1Char"/>
          <w:rFonts w:ascii="黑体" w:eastAsia="黑体" w:hAnsi="黑体"/>
          <w:b w:val="0"/>
        </w:rPr>
      </w:pPr>
      <w:bookmarkStart w:id="50" w:name="_Toc15396613"/>
      <w:bookmarkStart w:id="51" w:name="_Toc15377225"/>
      <w:r>
        <w:rPr>
          <w:rFonts w:ascii="黑体" w:eastAsia="黑体" w:hAnsi="黑体" w:hint="eastAsia"/>
          <w:sz w:val="44"/>
          <w:szCs w:val="44"/>
        </w:rPr>
        <w:t>名</w:t>
      </w:r>
      <w:r>
        <w:rPr>
          <w:rStyle w:val="1Char"/>
          <w:rFonts w:ascii="黑体" w:eastAsia="黑体" w:hAnsi="黑体" w:hint="eastAsia"/>
          <w:b w:val="0"/>
        </w:rPr>
        <w:t>词解释</w:t>
      </w:r>
      <w:bookmarkEnd w:id="50"/>
      <w:bookmarkEnd w:id="51"/>
    </w:p>
    <w:p w:rsidR="003C4AE3" w:rsidRDefault="003C4AE3">
      <w:pPr>
        <w:pStyle w:val="Default"/>
        <w:spacing w:line="560" w:lineRule="exact"/>
        <w:rPr>
          <w:rFonts w:ascii="仿宋_GB2312" w:eastAsia="仿宋_GB2312"/>
          <w:color w:val="auto"/>
          <w:sz w:val="32"/>
          <w:szCs w:val="32"/>
        </w:rPr>
      </w:pPr>
    </w:p>
    <w:p w:rsidR="003C4AE3" w:rsidRDefault="00D57D69">
      <w:pPr>
        <w:pStyle w:val="Default"/>
        <w:spacing w:line="560" w:lineRule="exact"/>
        <w:rPr>
          <w:rFonts w:ascii="Times New Roman" w:eastAsia="方正仿宋简体" w:hAnsi="Times New Roman" w:cs="Times New Roman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 xml:space="preserve">   </w:t>
      </w: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 xml:space="preserve"> 1.</w:t>
      </w: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>财政拨款收入：指市级财政当年拨付的资金。</w:t>
      </w:r>
    </w:p>
    <w:p w:rsidR="003C4AE3" w:rsidRDefault="00D57D69">
      <w:pPr>
        <w:pStyle w:val="Default"/>
        <w:spacing w:line="560" w:lineRule="exact"/>
        <w:rPr>
          <w:rFonts w:ascii="Times New Roman" w:eastAsia="方正仿宋简体" w:hAnsi="Times New Roman" w:cs="Times New Roman"/>
          <w:color w:val="auto"/>
          <w:sz w:val="32"/>
          <w:szCs w:val="32"/>
        </w:rPr>
      </w:pP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 xml:space="preserve">    2.</w:t>
      </w: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>社会保障和就业支出（类）民政管理事务（款）行政运行（项）：指行政单位（包括实行公务员管理的事业单位）的基本支出。</w:t>
      </w:r>
    </w:p>
    <w:p w:rsidR="003C4AE3" w:rsidRDefault="00D57D69">
      <w:pPr>
        <w:pStyle w:val="Default"/>
        <w:spacing w:line="560" w:lineRule="exact"/>
        <w:rPr>
          <w:rFonts w:ascii="Times New Roman" w:eastAsia="方正仿宋简体" w:hAnsi="Times New Roman" w:cs="Times New Roman"/>
          <w:color w:val="auto"/>
          <w:sz w:val="32"/>
          <w:szCs w:val="32"/>
        </w:rPr>
      </w:pP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 xml:space="preserve">    3.</w:t>
      </w: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>社会保障和就业支出（类）民政管理事务（款）其他民政管理事务支出（项）：指除行政运行、一般行政管理事务、机关服务、社会组织管理、行政区划和地名管理、基层政权建设和社区治理以外其他用于民政管理事务的支出。</w:t>
      </w:r>
    </w:p>
    <w:p w:rsidR="003C4AE3" w:rsidRDefault="00D57D69">
      <w:pPr>
        <w:pStyle w:val="Default"/>
        <w:spacing w:line="560" w:lineRule="exact"/>
        <w:rPr>
          <w:rFonts w:ascii="Times New Roman" w:eastAsia="方正仿宋简体" w:hAnsi="Times New Roman" w:cs="Times New Roman"/>
          <w:color w:val="auto"/>
          <w:sz w:val="32"/>
          <w:szCs w:val="32"/>
        </w:rPr>
      </w:pP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 xml:space="preserve">    4.</w:t>
      </w: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>基本支出：指为保证机构正常运转，完成日常工作任务而发生的人员支出和公用支出。</w:t>
      </w:r>
    </w:p>
    <w:p w:rsidR="003C4AE3" w:rsidRDefault="00D57D69">
      <w:pPr>
        <w:pStyle w:val="Default"/>
        <w:spacing w:line="560" w:lineRule="exact"/>
        <w:rPr>
          <w:rFonts w:ascii="Times New Roman" w:eastAsia="方正仿宋简体" w:hAnsi="Times New Roman" w:cs="Times New Roman"/>
          <w:color w:val="auto"/>
          <w:sz w:val="32"/>
          <w:szCs w:val="32"/>
        </w:rPr>
      </w:pP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 xml:space="preserve">    5.“</w:t>
      </w: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>三公</w:t>
      </w: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>经费：纳入预决算管理的</w:t>
      </w: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>三公</w:t>
      </w: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>经费，是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等支出；公务接待费反映单位按规定开支的各类公务接待（含外宾接待）支出。</w:t>
      </w:r>
    </w:p>
    <w:p w:rsidR="003C4AE3" w:rsidRDefault="00D57D69">
      <w:pPr>
        <w:pStyle w:val="Default"/>
        <w:spacing w:line="560" w:lineRule="exact"/>
        <w:rPr>
          <w:rFonts w:ascii="Times New Roman" w:eastAsia="方正仿宋简体" w:hAnsi="Times New Roman" w:cs="Times New Roman"/>
          <w:color w:val="auto"/>
          <w:sz w:val="32"/>
          <w:szCs w:val="32"/>
        </w:rPr>
      </w:pP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 xml:space="preserve">    6.</w:t>
      </w: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t>机关运行经费：为保障行政单位（包含参照公务员法管理的事业单位）运行用于购买货物和服务的各项资金。包括办公及</w:t>
      </w:r>
      <w:r>
        <w:rPr>
          <w:rFonts w:ascii="Times New Roman" w:eastAsia="方正仿宋简体" w:hAnsi="Times New Roman" w:cs="Times New Roman"/>
          <w:color w:val="auto"/>
          <w:sz w:val="32"/>
          <w:szCs w:val="32"/>
        </w:rPr>
        <w:lastRenderedPageBreak/>
        <w:t>办公费、水费、电费、印刷费、邮电费、差旅费、会议费等费用开支。</w:t>
      </w:r>
    </w:p>
    <w:p w:rsidR="003C4AE3" w:rsidRDefault="00D57D69">
      <w:pPr>
        <w:spacing w:line="600" w:lineRule="exact"/>
        <w:jc w:val="center"/>
        <w:outlineLvl w:val="0"/>
        <w:rPr>
          <w:rStyle w:val="1Char"/>
          <w:rFonts w:ascii="黑体" w:eastAsia="黑体" w:hAnsi="黑体"/>
          <w:b w:val="0"/>
        </w:rPr>
      </w:pPr>
      <w:bookmarkStart w:id="52" w:name="_Toc15377226"/>
      <w:r>
        <w:rPr>
          <w:rFonts w:eastAsia="方正仿宋简体"/>
          <w:b/>
          <w:sz w:val="44"/>
          <w:szCs w:val="44"/>
        </w:rPr>
        <w:br w:type="page"/>
      </w:r>
      <w:bookmarkStart w:id="53" w:name="_Toc15396614"/>
      <w:r>
        <w:rPr>
          <w:rFonts w:ascii="黑体" w:eastAsia="黑体" w:hAnsi="黑体" w:hint="eastAsia"/>
          <w:sz w:val="44"/>
          <w:szCs w:val="44"/>
        </w:rPr>
        <w:lastRenderedPageBreak/>
        <w:t>第</w:t>
      </w:r>
      <w:r>
        <w:rPr>
          <w:rStyle w:val="1Char"/>
          <w:rFonts w:ascii="黑体" w:eastAsia="黑体" w:hAnsi="黑体" w:hint="eastAsia"/>
          <w:b w:val="0"/>
        </w:rPr>
        <w:t>四部分 附件</w:t>
      </w:r>
      <w:bookmarkEnd w:id="53"/>
    </w:p>
    <w:p w:rsidR="003C4AE3" w:rsidRDefault="003C4AE3">
      <w:pPr>
        <w:spacing w:line="572" w:lineRule="exact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3C4AE3" w:rsidRDefault="00D57D69">
      <w:pPr>
        <w:spacing w:line="600" w:lineRule="exact"/>
        <w:jc w:val="center"/>
        <w:outlineLvl w:val="0"/>
        <w:rPr>
          <w:rFonts w:ascii="宋体" w:hAnsi="宋体" w:cs="宋体"/>
          <w:kern w:val="0"/>
          <w:sz w:val="32"/>
          <w:szCs w:val="32"/>
        </w:rPr>
      </w:pPr>
      <w:bookmarkStart w:id="54" w:name="_Toc15396618"/>
      <w:r>
        <w:rPr>
          <w:rFonts w:ascii="宋体" w:hAnsi="宋体" w:cs="宋体" w:hint="eastAsia"/>
          <w:kern w:val="0"/>
          <w:sz w:val="32"/>
          <w:szCs w:val="32"/>
        </w:rPr>
        <w:t>部门预算项目支出绩效自评表（2022年度）见附件3</w:t>
      </w:r>
    </w:p>
    <w:p w:rsidR="003C4AE3" w:rsidRDefault="003C4AE3">
      <w:pPr>
        <w:spacing w:line="600" w:lineRule="exact"/>
        <w:jc w:val="left"/>
        <w:outlineLvl w:val="0"/>
        <w:rPr>
          <w:rFonts w:ascii="仿宋_GB2312" w:eastAsia="仿宋_GB2312" w:hAnsi="Calibri" w:cs="仿宋"/>
          <w:kern w:val="0"/>
          <w:sz w:val="32"/>
          <w:szCs w:val="32"/>
        </w:rPr>
      </w:pPr>
    </w:p>
    <w:p w:rsidR="003C4AE3" w:rsidRDefault="00D57D69">
      <w:pPr>
        <w:spacing w:line="600" w:lineRule="exact"/>
        <w:ind w:firstLineChars="200" w:firstLine="640"/>
        <w:jc w:val="left"/>
        <w:outlineLvl w:val="0"/>
        <w:rPr>
          <w:rFonts w:ascii="仿宋_GB2312" w:eastAsia="仿宋_GB2312" w:hAnsi="Calibri" w:cs="仿宋"/>
          <w:kern w:val="0"/>
          <w:sz w:val="32"/>
          <w:szCs w:val="32"/>
        </w:rPr>
      </w:pPr>
      <w:r>
        <w:rPr>
          <w:rFonts w:ascii="仿宋_GB2312" w:eastAsia="仿宋_GB2312" w:hAnsi="Calibri" w:cs="仿宋" w:hint="eastAsia"/>
          <w:kern w:val="0"/>
          <w:sz w:val="32"/>
          <w:szCs w:val="32"/>
        </w:rPr>
        <w:t xml:space="preserve"> </w:t>
      </w:r>
    </w:p>
    <w:p w:rsidR="003C4AE3" w:rsidRDefault="003C4AE3">
      <w:pPr>
        <w:pStyle w:val="a0"/>
        <w:spacing w:before="93"/>
        <w:rPr>
          <w:rFonts w:hAnsi="Calibri" w:cs="仿宋"/>
          <w:sz w:val="32"/>
          <w:szCs w:val="32"/>
        </w:rPr>
      </w:pPr>
    </w:p>
    <w:p w:rsidR="003C4AE3" w:rsidRDefault="003C4AE3">
      <w:pPr>
        <w:pStyle w:val="a0"/>
        <w:spacing w:before="93"/>
        <w:rPr>
          <w:rFonts w:hAnsi="Calibri" w:cs="仿宋"/>
          <w:sz w:val="32"/>
          <w:szCs w:val="32"/>
        </w:rPr>
      </w:pPr>
    </w:p>
    <w:p w:rsidR="003C4AE3" w:rsidRDefault="003C4AE3">
      <w:pPr>
        <w:pStyle w:val="a0"/>
        <w:spacing w:before="93"/>
        <w:rPr>
          <w:rFonts w:hAnsi="Calibri" w:cs="仿宋"/>
          <w:sz w:val="32"/>
          <w:szCs w:val="32"/>
        </w:rPr>
      </w:pPr>
    </w:p>
    <w:p w:rsidR="003C4AE3" w:rsidRDefault="003C4AE3">
      <w:pPr>
        <w:pStyle w:val="a0"/>
        <w:spacing w:before="93"/>
        <w:rPr>
          <w:rFonts w:hAnsi="Calibri" w:cs="仿宋"/>
          <w:sz w:val="32"/>
          <w:szCs w:val="32"/>
        </w:rPr>
      </w:pPr>
    </w:p>
    <w:p w:rsidR="003C4AE3" w:rsidRDefault="003C4AE3">
      <w:pPr>
        <w:pStyle w:val="a0"/>
        <w:spacing w:before="93"/>
        <w:rPr>
          <w:rFonts w:hAnsi="Calibri" w:cs="仿宋"/>
          <w:sz w:val="32"/>
          <w:szCs w:val="32"/>
        </w:rPr>
      </w:pPr>
    </w:p>
    <w:p w:rsidR="003C4AE3" w:rsidRDefault="003C4AE3">
      <w:pPr>
        <w:pStyle w:val="a0"/>
        <w:spacing w:before="93"/>
        <w:rPr>
          <w:rFonts w:hAnsi="Calibri" w:cs="仿宋"/>
          <w:sz w:val="32"/>
          <w:szCs w:val="32"/>
        </w:rPr>
      </w:pPr>
    </w:p>
    <w:p w:rsidR="003C4AE3" w:rsidRDefault="003C4AE3">
      <w:pPr>
        <w:pStyle w:val="a0"/>
        <w:spacing w:before="93"/>
        <w:rPr>
          <w:rFonts w:hAnsi="Calibri" w:cs="仿宋"/>
          <w:sz w:val="32"/>
          <w:szCs w:val="32"/>
        </w:rPr>
      </w:pPr>
    </w:p>
    <w:p w:rsidR="003C4AE3" w:rsidRDefault="003C4AE3">
      <w:pPr>
        <w:pStyle w:val="a0"/>
        <w:spacing w:before="93"/>
        <w:rPr>
          <w:rFonts w:hAnsi="Calibri" w:cs="仿宋"/>
          <w:sz w:val="32"/>
          <w:szCs w:val="32"/>
        </w:rPr>
      </w:pPr>
    </w:p>
    <w:p w:rsidR="003C4AE3" w:rsidRDefault="003C4AE3">
      <w:pPr>
        <w:pStyle w:val="a0"/>
        <w:spacing w:before="93"/>
        <w:rPr>
          <w:rFonts w:hAnsi="Calibri" w:cs="仿宋"/>
          <w:sz w:val="32"/>
          <w:szCs w:val="32"/>
        </w:rPr>
      </w:pPr>
    </w:p>
    <w:p w:rsidR="003C4AE3" w:rsidRDefault="003C4AE3">
      <w:pPr>
        <w:pStyle w:val="a0"/>
        <w:spacing w:before="93"/>
        <w:rPr>
          <w:rFonts w:hAnsi="Calibri" w:cs="仿宋"/>
          <w:sz w:val="32"/>
          <w:szCs w:val="32"/>
        </w:rPr>
      </w:pPr>
    </w:p>
    <w:p w:rsidR="003C4AE3" w:rsidRDefault="003C4AE3">
      <w:pPr>
        <w:pStyle w:val="a0"/>
        <w:spacing w:before="93"/>
        <w:rPr>
          <w:rFonts w:hAnsi="Calibri" w:cs="仿宋"/>
          <w:sz w:val="32"/>
          <w:szCs w:val="32"/>
        </w:rPr>
      </w:pPr>
    </w:p>
    <w:p w:rsidR="003C4AE3" w:rsidRDefault="003C4AE3">
      <w:pPr>
        <w:pStyle w:val="a0"/>
        <w:spacing w:before="93"/>
        <w:rPr>
          <w:rFonts w:hAnsi="Calibri" w:cs="仿宋"/>
          <w:sz w:val="32"/>
          <w:szCs w:val="32"/>
        </w:rPr>
      </w:pPr>
    </w:p>
    <w:p w:rsidR="003C4AE3" w:rsidRDefault="003C4AE3">
      <w:pPr>
        <w:spacing w:line="560" w:lineRule="exact"/>
        <w:jc w:val="center"/>
        <w:outlineLvl w:val="0"/>
        <w:rPr>
          <w:rFonts w:ascii="黑体" w:eastAsia="黑体" w:hAnsi="黑体"/>
          <w:sz w:val="44"/>
          <w:szCs w:val="44"/>
        </w:rPr>
      </w:pPr>
    </w:p>
    <w:p w:rsidR="003C4AE3" w:rsidRDefault="003C4AE3">
      <w:pPr>
        <w:spacing w:line="560" w:lineRule="exact"/>
        <w:jc w:val="center"/>
        <w:outlineLvl w:val="0"/>
        <w:rPr>
          <w:rFonts w:ascii="黑体" w:eastAsia="黑体" w:hAnsi="黑体"/>
          <w:sz w:val="44"/>
          <w:szCs w:val="44"/>
        </w:rPr>
      </w:pPr>
    </w:p>
    <w:p w:rsidR="003C4AE3" w:rsidRDefault="00D57D69">
      <w:pPr>
        <w:spacing w:line="560" w:lineRule="exact"/>
        <w:jc w:val="center"/>
        <w:outlineLvl w:val="0"/>
        <w:rPr>
          <w:rFonts w:ascii="仿宋" w:eastAsia="仿宋" w:hAnsi="仿宋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第</w:t>
      </w:r>
      <w:r>
        <w:rPr>
          <w:rStyle w:val="1Char"/>
          <w:rFonts w:ascii="黑体" w:eastAsia="黑体" w:hAnsi="黑体" w:hint="eastAsia"/>
          <w:b w:val="0"/>
        </w:rPr>
        <w:t>五部分 附表</w:t>
      </w:r>
      <w:bookmarkStart w:id="55" w:name="_Toc15396619"/>
      <w:bookmarkEnd w:id="52"/>
      <w:bookmarkEnd w:id="54"/>
    </w:p>
    <w:p w:rsidR="003C4AE3" w:rsidRDefault="00D57D69">
      <w:pPr>
        <w:pStyle w:val="2"/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 w:hint="eastAsia"/>
          <w:b w:val="0"/>
        </w:rPr>
        <w:t>一、收</w:t>
      </w:r>
      <w:r>
        <w:rPr>
          <w:rStyle w:val="2Char"/>
          <w:rFonts w:ascii="仿宋" w:eastAsia="仿宋" w:hAnsi="仿宋" w:hint="eastAsia"/>
        </w:rPr>
        <w:t>入支出决算总表</w:t>
      </w:r>
      <w:bookmarkEnd w:id="55"/>
    </w:p>
    <w:p w:rsidR="003C4AE3" w:rsidRDefault="00D57D69">
      <w:pPr>
        <w:pStyle w:val="2"/>
        <w:spacing w:line="560" w:lineRule="exact"/>
        <w:rPr>
          <w:rFonts w:ascii="仿宋" w:eastAsia="仿宋" w:hAnsi="仿宋"/>
        </w:rPr>
      </w:pPr>
      <w:bookmarkStart w:id="56" w:name="_Toc15396620"/>
      <w:r>
        <w:rPr>
          <w:rFonts w:ascii="仿宋" w:eastAsia="仿宋" w:hAnsi="仿宋" w:hint="eastAsia"/>
          <w:b w:val="0"/>
        </w:rPr>
        <w:t>二、收</w:t>
      </w:r>
      <w:r>
        <w:rPr>
          <w:rStyle w:val="2Char"/>
          <w:rFonts w:ascii="仿宋" w:eastAsia="仿宋" w:hAnsi="仿宋" w:hint="eastAsia"/>
        </w:rPr>
        <w:t>入决算表</w:t>
      </w:r>
      <w:bookmarkEnd w:id="56"/>
    </w:p>
    <w:p w:rsidR="003C4AE3" w:rsidRDefault="00D57D69">
      <w:pPr>
        <w:pStyle w:val="2"/>
        <w:spacing w:line="560" w:lineRule="exact"/>
        <w:rPr>
          <w:rFonts w:ascii="仿宋" w:eastAsia="仿宋" w:hAnsi="仿宋"/>
        </w:rPr>
      </w:pPr>
      <w:bookmarkStart w:id="57" w:name="_Toc15396621"/>
      <w:r>
        <w:rPr>
          <w:rStyle w:val="2Char"/>
          <w:rFonts w:ascii="仿宋" w:eastAsia="仿宋" w:hAnsi="仿宋" w:hint="eastAsia"/>
        </w:rPr>
        <w:t>三、</w:t>
      </w:r>
      <w:r>
        <w:rPr>
          <w:rFonts w:ascii="仿宋" w:eastAsia="仿宋" w:hAnsi="仿宋" w:hint="eastAsia"/>
          <w:b w:val="0"/>
        </w:rPr>
        <w:t>支</w:t>
      </w:r>
      <w:r>
        <w:rPr>
          <w:rStyle w:val="2Char"/>
          <w:rFonts w:ascii="仿宋" w:eastAsia="仿宋" w:hAnsi="仿宋" w:hint="eastAsia"/>
        </w:rPr>
        <w:t>出决算表</w:t>
      </w:r>
      <w:bookmarkEnd w:id="57"/>
    </w:p>
    <w:p w:rsidR="003C4AE3" w:rsidRDefault="00D57D69">
      <w:pPr>
        <w:pStyle w:val="2"/>
        <w:spacing w:line="560" w:lineRule="exact"/>
        <w:rPr>
          <w:rFonts w:ascii="仿宋" w:eastAsia="仿宋" w:hAnsi="仿宋"/>
          <w:b w:val="0"/>
        </w:rPr>
      </w:pPr>
      <w:bookmarkStart w:id="58" w:name="_Toc15396622"/>
      <w:r>
        <w:rPr>
          <w:rStyle w:val="2Char"/>
          <w:rFonts w:ascii="仿宋" w:eastAsia="仿宋" w:hAnsi="仿宋" w:hint="eastAsia"/>
        </w:rPr>
        <w:t>四、</w:t>
      </w:r>
      <w:r>
        <w:rPr>
          <w:rFonts w:ascii="仿宋" w:eastAsia="仿宋" w:hAnsi="仿宋" w:hint="eastAsia"/>
          <w:b w:val="0"/>
        </w:rPr>
        <w:t>财</w:t>
      </w:r>
      <w:r>
        <w:rPr>
          <w:rStyle w:val="2Char"/>
          <w:rFonts w:ascii="仿宋" w:eastAsia="仿宋" w:hAnsi="仿宋" w:hint="eastAsia"/>
        </w:rPr>
        <w:t>政拨款收入支出决算总表</w:t>
      </w:r>
      <w:bookmarkEnd w:id="58"/>
    </w:p>
    <w:p w:rsidR="003C4AE3" w:rsidRDefault="00D57D69">
      <w:pPr>
        <w:pStyle w:val="2"/>
        <w:spacing w:line="560" w:lineRule="exact"/>
        <w:rPr>
          <w:rStyle w:val="2Char"/>
          <w:rFonts w:ascii="仿宋" w:eastAsia="仿宋" w:hAnsi="仿宋"/>
        </w:rPr>
      </w:pPr>
      <w:bookmarkStart w:id="59" w:name="_Toc15396623"/>
      <w:r>
        <w:rPr>
          <w:rStyle w:val="2Char"/>
          <w:rFonts w:ascii="仿宋" w:eastAsia="仿宋" w:hAnsi="仿宋" w:hint="eastAsia"/>
        </w:rPr>
        <w:t>五、</w:t>
      </w:r>
      <w:r>
        <w:rPr>
          <w:rFonts w:ascii="仿宋" w:eastAsia="仿宋" w:hAnsi="仿宋" w:hint="eastAsia"/>
          <w:b w:val="0"/>
        </w:rPr>
        <w:t>财</w:t>
      </w:r>
      <w:r>
        <w:rPr>
          <w:rStyle w:val="2Char"/>
          <w:rFonts w:ascii="仿宋" w:eastAsia="仿宋" w:hAnsi="仿宋" w:hint="eastAsia"/>
        </w:rPr>
        <w:t>政拨款支出决算明细表</w:t>
      </w:r>
      <w:bookmarkStart w:id="60" w:name="_Toc15396624"/>
      <w:bookmarkEnd w:id="59"/>
    </w:p>
    <w:p w:rsidR="003C4AE3" w:rsidRDefault="00D57D69">
      <w:pPr>
        <w:pStyle w:val="2"/>
        <w:spacing w:line="560" w:lineRule="exact"/>
        <w:rPr>
          <w:rFonts w:ascii="仿宋" w:eastAsia="仿宋" w:hAnsi="仿宋"/>
        </w:rPr>
      </w:pPr>
      <w:r>
        <w:rPr>
          <w:rStyle w:val="2Char"/>
          <w:rFonts w:ascii="仿宋" w:eastAsia="仿宋" w:hAnsi="仿宋" w:hint="eastAsia"/>
        </w:rPr>
        <w:t>六、</w:t>
      </w:r>
      <w:r>
        <w:rPr>
          <w:rFonts w:ascii="仿宋" w:eastAsia="仿宋" w:hAnsi="仿宋" w:hint="eastAsia"/>
          <w:b w:val="0"/>
        </w:rPr>
        <w:t>一</w:t>
      </w:r>
      <w:r>
        <w:rPr>
          <w:rStyle w:val="2Char"/>
          <w:rFonts w:ascii="仿宋" w:eastAsia="仿宋" w:hAnsi="仿宋" w:hint="eastAsia"/>
        </w:rPr>
        <w:t>般公共预算财政拨款支出决算表</w:t>
      </w:r>
      <w:bookmarkEnd w:id="60"/>
    </w:p>
    <w:p w:rsidR="003C4AE3" w:rsidRDefault="00D57D69">
      <w:pPr>
        <w:pStyle w:val="2"/>
        <w:spacing w:line="560" w:lineRule="exact"/>
        <w:rPr>
          <w:rFonts w:ascii="仿宋" w:eastAsia="仿宋" w:hAnsi="仿宋"/>
        </w:rPr>
      </w:pPr>
      <w:bookmarkStart w:id="61" w:name="_Toc15396625"/>
      <w:r>
        <w:rPr>
          <w:rStyle w:val="2Char"/>
          <w:rFonts w:ascii="仿宋" w:eastAsia="仿宋" w:hAnsi="仿宋" w:hint="eastAsia"/>
        </w:rPr>
        <w:t>七、</w:t>
      </w:r>
      <w:r>
        <w:rPr>
          <w:rFonts w:ascii="仿宋" w:eastAsia="仿宋" w:hAnsi="仿宋" w:hint="eastAsia"/>
          <w:b w:val="0"/>
        </w:rPr>
        <w:t>一</w:t>
      </w:r>
      <w:r>
        <w:rPr>
          <w:rStyle w:val="2Char"/>
          <w:rFonts w:ascii="仿宋" w:eastAsia="仿宋" w:hAnsi="仿宋" w:hint="eastAsia"/>
        </w:rPr>
        <w:t>般公共预算财政拨款支出决算明细表</w:t>
      </w:r>
      <w:bookmarkEnd w:id="61"/>
    </w:p>
    <w:p w:rsidR="003C4AE3" w:rsidRDefault="00D57D69">
      <w:pPr>
        <w:pStyle w:val="2"/>
        <w:spacing w:line="560" w:lineRule="exact"/>
        <w:rPr>
          <w:rFonts w:ascii="仿宋" w:eastAsia="仿宋" w:hAnsi="仿宋"/>
        </w:rPr>
      </w:pPr>
      <w:bookmarkStart w:id="62" w:name="_Toc15396626"/>
      <w:r>
        <w:rPr>
          <w:rStyle w:val="2Char"/>
          <w:rFonts w:ascii="仿宋" w:eastAsia="仿宋" w:hAnsi="仿宋" w:hint="eastAsia"/>
        </w:rPr>
        <w:t>八、</w:t>
      </w:r>
      <w:r>
        <w:rPr>
          <w:rFonts w:ascii="仿宋" w:eastAsia="仿宋" w:hAnsi="仿宋" w:hint="eastAsia"/>
          <w:b w:val="0"/>
        </w:rPr>
        <w:t>一</w:t>
      </w:r>
      <w:r>
        <w:rPr>
          <w:rStyle w:val="2Char"/>
          <w:rFonts w:ascii="仿宋" w:eastAsia="仿宋" w:hAnsi="仿宋" w:hint="eastAsia"/>
        </w:rPr>
        <w:t>般公共预算财政拨款基本支出决算表</w:t>
      </w:r>
      <w:bookmarkEnd w:id="62"/>
    </w:p>
    <w:p w:rsidR="003C4AE3" w:rsidRDefault="00D57D69">
      <w:pPr>
        <w:pStyle w:val="2"/>
        <w:spacing w:line="560" w:lineRule="exact"/>
        <w:rPr>
          <w:rFonts w:ascii="仿宋" w:eastAsia="仿宋" w:hAnsi="仿宋"/>
        </w:rPr>
      </w:pPr>
      <w:bookmarkStart w:id="63" w:name="_Toc15396627"/>
      <w:r>
        <w:rPr>
          <w:rStyle w:val="2Char"/>
          <w:rFonts w:ascii="仿宋" w:eastAsia="仿宋" w:hAnsi="仿宋" w:hint="eastAsia"/>
        </w:rPr>
        <w:t>九、</w:t>
      </w:r>
      <w:r>
        <w:rPr>
          <w:rFonts w:ascii="仿宋" w:eastAsia="仿宋" w:hAnsi="仿宋" w:hint="eastAsia"/>
          <w:b w:val="0"/>
        </w:rPr>
        <w:t>一</w:t>
      </w:r>
      <w:r>
        <w:rPr>
          <w:rStyle w:val="2Char"/>
          <w:rFonts w:ascii="仿宋" w:eastAsia="仿宋" w:hAnsi="仿宋" w:hint="eastAsia"/>
        </w:rPr>
        <w:t>般公共预算财政拨款项目支出决算表</w:t>
      </w:r>
      <w:bookmarkEnd w:id="63"/>
    </w:p>
    <w:p w:rsidR="003C4AE3" w:rsidRDefault="00D57D69">
      <w:pPr>
        <w:pStyle w:val="2"/>
        <w:spacing w:line="560" w:lineRule="exact"/>
        <w:rPr>
          <w:rFonts w:ascii="仿宋" w:eastAsia="仿宋" w:hAnsi="仿宋"/>
        </w:rPr>
      </w:pPr>
      <w:bookmarkStart w:id="64" w:name="_Toc15396628"/>
      <w:r>
        <w:rPr>
          <w:rStyle w:val="2Char"/>
          <w:rFonts w:ascii="仿宋" w:eastAsia="仿宋" w:hAnsi="仿宋" w:hint="eastAsia"/>
        </w:rPr>
        <w:t>十、</w:t>
      </w:r>
      <w:bookmarkEnd w:id="64"/>
      <w:r>
        <w:rPr>
          <w:rFonts w:ascii="仿宋" w:eastAsia="仿宋" w:hAnsi="仿宋" w:hint="eastAsia"/>
          <w:b w:val="0"/>
        </w:rPr>
        <w:t>政</w:t>
      </w:r>
      <w:r>
        <w:rPr>
          <w:rStyle w:val="2Char"/>
          <w:rFonts w:ascii="仿宋" w:eastAsia="仿宋" w:hAnsi="仿宋" w:hint="eastAsia"/>
        </w:rPr>
        <w:t>府性基金预算财政拨款收入支出决算表</w:t>
      </w:r>
    </w:p>
    <w:p w:rsidR="003C4AE3" w:rsidRDefault="00D57D69">
      <w:pPr>
        <w:pStyle w:val="2"/>
        <w:spacing w:line="560" w:lineRule="exact"/>
        <w:rPr>
          <w:rFonts w:ascii="仿宋" w:eastAsia="仿宋" w:hAnsi="仿宋"/>
        </w:rPr>
      </w:pPr>
      <w:bookmarkStart w:id="65" w:name="_Toc15396629"/>
      <w:r>
        <w:rPr>
          <w:rStyle w:val="2Char"/>
          <w:rFonts w:ascii="仿宋" w:eastAsia="仿宋" w:hAnsi="仿宋" w:hint="eastAsia"/>
        </w:rPr>
        <w:t>十一、</w:t>
      </w:r>
      <w:bookmarkEnd w:id="65"/>
      <w:r>
        <w:rPr>
          <w:rFonts w:ascii="仿宋" w:eastAsia="仿宋" w:hAnsi="仿宋" w:hint="eastAsia"/>
          <w:b w:val="0"/>
        </w:rPr>
        <w:t>国</w:t>
      </w:r>
      <w:r>
        <w:rPr>
          <w:rStyle w:val="2Char"/>
          <w:rFonts w:ascii="仿宋" w:eastAsia="仿宋" w:hAnsi="仿宋" w:hint="eastAsia"/>
        </w:rPr>
        <w:t>有资本经营预算财政拨款收入支出决算表</w:t>
      </w:r>
    </w:p>
    <w:p w:rsidR="003C4AE3" w:rsidRDefault="00D57D69">
      <w:pPr>
        <w:pStyle w:val="2"/>
        <w:spacing w:line="560" w:lineRule="exact"/>
        <w:rPr>
          <w:rFonts w:ascii="仿宋" w:eastAsia="仿宋" w:hAnsi="仿宋"/>
        </w:rPr>
      </w:pPr>
      <w:bookmarkStart w:id="66" w:name="_Toc15396630"/>
      <w:r>
        <w:rPr>
          <w:rStyle w:val="2Char"/>
          <w:rFonts w:ascii="仿宋" w:eastAsia="仿宋" w:hAnsi="仿宋" w:hint="eastAsia"/>
        </w:rPr>
        <w:t>十二、</w:t>
      </w:r>
      <w:bookmarkEnd w:id="66"/>
      <w:r>
        <w:rPr>
          <w:rStyle w:val="2Char"/>
          <w:rFonts w:ascii="仿宋" w:eastAsia="仿宋" w:hAnsi="仿宋" w:hint="eastAsia"/>
        </w:rPr>
        <w:t>国有资本经营预算财政拨款支出决算表</w:t>
      </w:r>
    </w:p>
    <w:p w:rsidR="003C4AE3" w:rsidRDefault="00D57D69">
      <w:pPr>
        <w:pStyle w:val="2"/>
        <w:spacing w:line="560" w:lineRule="exact"/>
        <w:rPr>
          <w:rFonts w:eastAsia="仿宋"/>
        </w:rPr>
      </w:pPr>
      <w:bookmarkStart w:id="67" w:name="_Toc15396631"/>
      <w:r>
        <w:rPr>
          <w:rStyle w:val="2Char"/>
          <w:rFonts w:ascii="仿宋" w:eastAsia="仿宋" w:hAnsi="仿宋" w:hint="eastAsia"/>
        </w:rPr>
        <w:t>十三、</w:t>
      </w:r>
      <w:bookmarkEnd w:id="67"/>
      <w:r>
        <w:rPr>
          <w:rStyle w:val="2Char"/>
          <w:rFonts w:ascii="仿宋" w:eastAsia="仿宋" w:hAnsi="仿宋" w:hint="eastAsia"/>
        </w:rPr>
        <w:t>财政拨款“三公”经费支出决算表</w:t>
      </w:r>
    </w:p>
    <w:p w:rsidR="003C4AE3" w:rsidRDefault="003C4AE3">
      <w:pPr>
        <w:pStyle w:val="2"/>
        <w:spacing w:line="560" w:lineRule="exact"/>
        <w:rPr>
          <w:rFonts w:eastAsia="仿宋"/>
        </w:rPr>
      </w:pPr>
    </w:p>
    <w:sectPr w:rsidR="003C4AE3" w:rsidSect="003C4AE3">
      <w:headerReference w:type="default" r:id="rId15"/>
      <w:footerReference w:type="default" r:id="rId16"/>
      <w:footerReference w:type="first" r:id="rId17"/>
      <w:pgSz w:w="11906" w:h="16838"/>
      <w:pgMar w:top="2098" w:right="1474" w:bottom="1984" w:left="1588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83F" w:rsidRDefault="00E0083F" w:rsidP="003C4AE3">
      <w:r>
        <w:separator/>
      </w:r>
    </w:p>
  </w:endnote>
  <w:endnote w:type="continuationSeparator" w:id="0">
    <w:p w:rsidR="00E0083F" w:rsidRDefault="00E0083F" w:rsidP="003C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E3" w:rsidRDefault="009F7D89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inside;mso-position-horizontal-relative:margin" filled="f" stroked="f">
          <v:textbox style="mso-fit-shape-to-text:t" inset="0,0,0,0">
            <w:txbxContent>
              <w:p w:rsidR="003C4AE3" w:rsidRDefault="009F7D89">
                <w:pPr>
                  <w:pStyle w:val="a5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/>
                </w:r>
                <w:r w:rsidR="00D57D69">
                  <w:rPr>
                    <w:sz w:val="28"/>
                  </w:rPr>
                  <w:instrText xml:space="preserve"> PAGE  \* MERGEFORMAT </w:instrText>
                </w:r>
                <w:r>
                  <w:rPr>
                    <w:sz w:val="28"/>
                  </w:rPr>
                  <w:fldChar w:fldCharType="separate"/>
                </w:r>
                <w:r w:rsidR="00581352">
                  <w:rPr>
                    <w:noProof/>
                    <w:sz w:val="28"/>
                  </w:rPr>
                  <w:t>- 6 -</w:t>
                </w:r>
                <w:r>
                  <w:rPr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sdt>
      <w:sdtPr>
        <w:id w:val="-1994781956"/>
        <w:showingPlcHdr/>
      </w:sdtPr>
      <w:sdtContent>
        <w:r w:rsidR="00D57D69">
          <w:t xml:space="preserve">     </w:t>
        </w:r>
      </w:sdtContent>
    </w:sdt>
  </w:p>
  <w:p w:rsidR="003C4AE3" w:rsidRDefault="003C4A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E3" w:rsidRDefault="009F7D8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inside;mso-position-horizontal-relative:margin" filled="f" stroked="f">
          <v:textbox style="mso-fit-shape-to-text:t" inset="0,0,0,0">
            <w:txbxContent>
              <w:p w:rsidR="003C4AE3" w:rsidRDefault="009F7D89">
                <w:pPr>
                  <w:pStyle w:val="a5"/>
                </w:pPr>
                <w:r>
                  <w:fldChar w:fldCharType="begin"/>
                </w:r>
                <w:r w:rsidR="00D57D69">
                  <w:instrText xml:space="preserve"> PAGE  \* MERGEFORMAT </w:instrText>
                </w:r>
                <w:r>
                  <w:fldChar w:fldCharType="separate"/>
                </w:r>
                <w:r w:rsidR="00581352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83F" w:rsidRDefault="00E0083F" w:rsidP="003C4AE3">
      <w:r>
        <w:separator/>
      </w:r>
    </w:p>
  </w:footnote>
  <w:footnote w:type="continuationSeparator" w:id="0">
    <w:p w:rsidR="00E0083F" w:rsidRDefault="00E0083F" w:rsidP="003C4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E3" w:rsidRDefault="003C4AE3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652CEC"/>
    <w:multiLevelType w:val="singleLevel"/>
    <w:tmpl w:val="CF652CEC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FA047D"/>
    <w:multiLevelType w:val="singleLevel"/>
    <w:tmpl w:val="E2FA047D"/>
    <w:lvl w:ilvl="0">
      <w:start w:val="3"/>
      <w:numFmt w:val="chineseCounting"/>
      <w:suff w:val="space"/>
      <w:lvlText w:val="第%1部分"/>
      <w:lvlJc w:val="left"/>
      <w:rPr>
        <w:rFonts w:ascii="黑体" w:eastAsia="黑体" w:hAnsi="黑体" w:cs="黑体" w:hint="eastAsia"/>
        <w:sz w:val="44"/>
        <w:szCs w:val="44"/>
      </w:rPr>
    </w:lvl>
  </w:abstractNum>
  <w:abstractNum w:abstractNumId="2">
    <w:nsid w:val="FFFEB0D9"/>
    <w:multiLevelType w:val="singleLevel"/>
    <w:tmpl w:val="FFFEB0D9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3">
    <w:nsid w:val="1272550B"/>
    <w:multiLevelType w:val="multilevel"/>
    <w:tmpl w:val="1272550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61C"/>
    <w:rsid w:val="9E3A10E2"/>
    <w:rsid w:val="AEB377C1"/>
    <w:rsid w:val="AF7FE019"/>
    <w:rsid w:val="BF4CCAC7"/>
    <w:rsid w:val="BFDB242B"/>
    <w:rsid w:val="D5E38937"/>
    <w:rsid w:val="DB3A3136"/>
    <w:rsid w:val="DCD3A807"/>
    <w:rsid w:val="DFBFC7C5"/>
    <w:rsid w:val="DFE3DC03"/>
    <w:rsid w:val="E27242FE"/>
    <w:rsid w:val="E7F790AD"/>
    <w:rsid w:val="E99F2718"/>
    <w:rsid w:val="ED1FBAE7"/>
    <w:rsid w:val="ED5DE138"/>
    <w:rsid w:val="EDBFB1EF"/>
    <w:rsid w:val="F05193AD"/>
    <w:rsid w:val="F2E1F9D4"/>
    <w:rsid w:val="F73B6027"/>
    <w:rsid w:val="F7880819"/>
    <w:rsid w:val="F7FF0AC0"/>
    <w:rsid w:val="F8DFF864"/>
    <w:rsid w:val="FB7C4F4B"/>
    <w:rsid w:val="FB7FF632"/>
    <w:rsid w:val="FBDF5E2C"/>
    <w:rsid w:val="FBE10984"/>
    <w:rsid w:val="FDBFD3A5"/>
    <w:rsid w:val="FDFFD41A"/>
    <w:rsid w:val="FF5DD46C"/>
    <w:rsid w:val="FFBEE60A"/>
    <w:rsid w:val="FFED42EA"/>
    <w:rsid w:val="FFF71129"/>
    <w:rsid w:val="FFF7604C"/>
    <w:rsid w:val="000222C6"/>
    <w:rsid w:val="0002549F"/>
    <w:rsid w:val="000468DB"/>
    <w:rsid w:val="0006487A"/>
    <w:rsid w:val="00065F8F"/>
    <w:rsid w:val="00070A43"/>
    <w:rsid w:val="000768F2"/>
    <w:rsid w:val="0009184B"/>
    <w:rsid w:val="00094236"/>
    <w:rsid w:val="0009593C"/>
    <w:rsid w:val="00097322"/>
    <w:rsid w:val="000A0AF6"/>
    <w:rsid w:val="000A6A92"/>
    <w:rsid w:val="000A795D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1672"/>
    <w:rsid w:val="000E6613"/>
    <w:rsid w:val="000E7119"/>
    <w:rsid w:val="000F3D30"/>
    <w:rsid w:val="00113798"/>
    <w:rsid w:val="00114E9B"/>
    <w:rsid w:val="00123991"/>
    <w:rsid w:val="00142216"/>
    <w:rsid w:val="00144D6A"/>
    <w:rsid w:val="0014729F"/>
    <w:rsid w:val="00157BAB"/>
    <w:rsid w:val="001654D1"/>
    <w:rsid w:val="00166E95"/>
    <w:rsid w:val="00171826"/>
    <w:rsid w:val="00174518"/>
    <w:rsid w:val="0018106D"/>
    <w:rsid w:val="001877A7"/>
    <w:rsid w:val="00191536"/>
    <w:rsid w:val="00196687"/>
    <w:rsid w:val="001A2837"/>
    <w:rsid w:val="001B786B"/>
    <w:rsid w:val="001C0962"/>
    <w:rsid w:val="001D7531"/>
    <w:rsid w:val="001E6FDC"/>
    <w:rsid w:val="001E737D"/>
    <w:rsid w:val="001F0592"/>
    <w:rsid w:val="001F7506"/>
    <w:rsid w:val="002006CD"/>
    <w:rsid w:val="00202B36"/>
    <w:rsid w:val="00203CAA"/>
    <w:rsid w:val="00204B7A"/>
    <w:rsid w:val="00204CDE"/>
    <w:rsid w:val="0021101A"/>
    <w:rsid w:val="00213F5E"/>
    <w:rsid w:val="00220536"/>
    <w:rsid w:val="00235629"/>
    <w:rsid w:val="00247DE9"/>
    <w:rsid w:val="0025121F"/>
    <w:rsid w:val="00260950"/>
    <w:rsid w:val="00260C38"/>
    <w:rsid w:val="00260C9E"/>
    <w:rsid w:val="002616C0"/>
    <w:rsid w:val="00265372"/>
    <w:rsid w:val="002662AA"/>
    <w:rsid w:val="00280496"/>
    <w:rsid w:val="00294DC9"/>
    <w:rsid w:val="00295495"/>
    <w:rsid w:val="002A31DE"/>
    <w:rsid w:val="002B11E1"/>
    <w:rsid w:val="002B2613"/>
    <w:rsid w:val="002D6D05"/>
    <w:rsid w:val="002E55C5"/>
    <w:rsid w:val="002F1818"/>
    <w:rsid w:val="002F567B"/>
    <w:rsid w:val="00302989"/>
    <w:rsid w:val="00315655"/>
    <w:rsid w:val="003216A9"/>
    <w:rsid w:val="003268E9"/>
    <w:rsid w:val="00335A74"/>
    <w:rsid w:val="00347917"/>
    <w:rsid w:val="0036561B"/>
    <w:rsid w:val="0037013F"/>
    <w:rsid w:val="00380C92"/>
    <w:rsid w:val="003A464D"/>
    <w:rsid w:val="003A484F"/>
    <w:rsid w:val="003A4883"/>
    <w:rsid w:val="003A7CF6"/>
    <w:rsid w:val="003B0BE0"/>
    <w:rsid w:val="003B0C1B"/>
    <w:rsid w:val="003B688C"/>
    <w:rsid w:val="003C0291"/>
    <w:rsid w:val="003C39AE"/>
    <w:rsid w:val="003C4AE3"/>
    <w:rsid w:val="003C7B60"/>
    <w:rsid w:val="003D0C0F"/>
    <w:rsid w:val="003D1FB2"/>
    <w:rsid w:val="003D66DA"/>
    <w:rsid w:val="003E1310"/>
    <w:rsid w:val="003E66A8"/>
    <w:rsid w:val="003E6F55"/>
    <w:rsid w:val="004034E2"/>
    <w:rsid w:val="00406254"/>
    <w:rsid w:val="004223DE"/>
    <w:rsid w:val="00434489"/>
    <w:rsid w:val="00437085"/>
    <w:rsid w:val="00443880"/>
    <w:rsid w:val="004464F4"/>
    <w:rsid w:val="00454A4F"/>
    <w:rsid w:val="00457C90"/>
    <w:rsid w:val="00464B39"/>
    <w:rsid w:val="00471401"/>
    <w:rsid w:val="00473F31"/>
    <w:rsid w:val="00480852"/>
    <w:rsid w:val="0048263A"/>
    <w:rsid w:val="00485945"/>
    <w:rsid w:val="00487E5D"/>
    <w:rsid w:val="004A711F"/>
    <w:rsid w:val="004B199D"/>
    <w:rsid w:val="004B4690"/>
    <w:rsid w:val="004E0A2D"/>
    <w:rsid w:val="004E206B"/>
    <w:rsid w:val="004E5502"/>
    <w:rsid w:val="004E6DF7"/>
    <w:rsid w:val="004F0546"/>
    <w:rsid w:val="004F0FBD"/>
    <w:rsid w:val="004F35AA"/>
    <w:rsid w:val="00505A47"/>
    <w:rsid w:val="00512FDA"/>
    <w:rsid w:val="00520DA0"/>
    <w:rsid w:val="00543631"/>
    <w:rsid w:val="0055606B"/>
    <w:rsid w:val="005664BB"/>
    <w:rsid w:val="00566FFA"/>
    <w:rsid w:val="0057481D"/>
    <w:rsid w:val="00581352"/>
    <w:rsid w:val="0058486E"/>
    <w:rsid w:val="00585B33"/>
    <w:rsid w:val="0059014D"/>
    <w:rsid w:val="005A049A"/>
    <w:rsid w:val="005B5C64"/>
    <w:rsid w:val="005C5337"/>
    <w:rsid w:val="005C6BD0"/>
    <w:rsid w:val="005D1C8B"/>
    <w:rsid w:val="005D468D"/>
    <w:rsid w:val="005D5CED"/>
    <w:rsid w:val="005F1A4C"/>
    <w:rsid w:val="00603A35"/>
    <w:rsid w:val="00605688"/>
    <w:rsid w:val="006070AF"/>
    <w:rsid w:val="00607E6C"/>
    <w:rsid w:val="006101B1"/>
    <w:rsid w:val="00614E44"/>
    <w:rsid w:val="0062270A"/>
    <w:rsid w:val="00622830"/>
    <w:rsid w:val="00623DA0"/>
    <w:rsid w:val="00630AEF"/>
    <w:rsid w:val="006325F8"/>
    <w:rsid w:val="00633463"/>
    <w:rsid w:val="00634C9A"/>
    <w:rsid w:val="006440E4"/>
    <w:rsid w:val="006519A3"/>
    <w:rsid w:val="0066343B"/>
    <w:rsid w:val="00664777"/>
    <w:rsid w:val="0067479A"/>
    <w:rsid w:val="006748A4"/>
    <w:rsid w:val="00681A31"/>
    <w:rsid w:val="006838FE"/>
    <w:rsid w:val="00683E73"/>
    <w:rsid w:val="00692789"/>
    <w:rsid w:val="006A0CE0"/>
    <w:rsid w:val="006A3141"/>
    <w:rsid w:val="006A5E34"/>
    <w:rsid w:val="006B2422"/>
    <w:rsid w:val="006B2B9A"/>
    <w:rsid w:val="006C1937"/>
    <w:rsid w:val="006D2202"/>
    <w:rsid w:val="006F020C"/>
    <w:rsid w:val="006F1111"/>
    <w:rsid w:val="007127B7"/>
    <w:rsid w:val="0071798E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A1FAE"/>
    <w:rsid w:val="007D1682"/>
    <w:rsid w:val="007D312A"/>
    <w:rsid w:val="007D3F19"/>
    <w:rsid w:val="007E23B0"/>
    <w:rsid w:val="007E23E5"/>
    <w:rsid w:val="007E3456"/>
    <w:rsid w:val="007F1991"/>
    <w:rsid w:val="007F2C2F"/>
    <w:rsid w:val="007F55FC"/>
    <w:rsid w:val="007F5665"/>
    <w:rsid w:val="00800112"/>
    <w:rsid w:val="00805C94"/>
    <w:rsid w:val="00813348"/>
    <w:rsid w:val="008253BB"/>
    <w:rsid w:val="0083706E"/>
    <w:rsid w:val="008408F6"/>
    <w:rsid w:val="008423A5"/>
    <w:rsid w:val="008460DF"/>
    <w:rsid w:val="00850625"/>
    <w:rsid w:val="00853718"/>
    <w:rsid w:val="00855221"/>
    <w:rsid w:val="00860645"/>
    <w:rsid w:val="00871F71"/>
    <w:rsid w:val="00872FD8"/>
    <w:rsid w:val="00875C67"/>
    <w:rsid w:val="00885AF4"/>
    <w:rsid w:val="00891351"/>
    <w:rsid w:val="008939CD"/>
    <w:rsid w:val="008B3F5C"/>
    <w:rsid w:val="008B768C"/>
    <w:rsid w:val="008C4DB1"/>
    <w:rsid w:val="008C4EAF"/>
    <w:rsid w:val="008C5176"/>
    <w:rsid w:val="008C7FD0"/>
    <w:rsid w:val="008E1DE7"/>
    <w:rsid w:val="008E5F3F"/>
    <w:rsid w:val="008E707C"/>
    <w:rsid w:val="00900067"/>
    <w:rsid w:val="00900B08"/>
    <w:rsid w:val="00902155"/>
    <w:rsid w:val="00902FA3"/>
    <w:rsid w:val="009148C8"/>
    <w:rsid w:val="00923564"/>
    <w:rsid w:val="0092392E"/>
    <w:rsid w:val="009315F9"/>
    <w:rsid w:val="00933499"/>
    <w:rsid w:val="00935C98"/>
    <w:rsid w:val="00946945"/>
    <w:rsid w:val="00951248"/>
    <w:rsid w:val="0095152F"/>
    <w:rsid w:val="00954C49"/>
    <w:rsid w:val="00955E37"/>
    <w:rsid w:val="009641D5"/>
    <w:rsid w:val="0097099F"/>
    <w:rsid w:val="00971997"/>
    <w:rsid w:val="00971FFC"/>
    <w:rsid w:val="00980214"/>
    <w:rsid w:val="0098660A"/>
    <w:rsid w:val="009931C3"/>
    <w:rsid w:val="009B2C43"/>
    <w:rsid w:val="009B4EAE"/>
    <w:rsid w:val="009B7573"/>
    <w:rsid w:val="009C22F4"/>
    <w:rsid w:val="009C2A4B"/>
    <w:rsid w:val="009C2E98"/>
    <w:rsid w:val="009C647F"/>
    <w:rsid w:val="009D3447"/>
    <w:rsid w:val="009D4711"/>
    <w:rsid w:val="009F1185"/>
    <w:rsid w:val="009F18CD"/>
    <w:rsid w:val="009F2A13"/>
    <w:rsid w:val="009F7527"/>
    <w:rsid w:val="009F7D89"/>
    <w:rsid w:val="00A04EB0"/>
    <w:rsid w:val="00A13CC1"/>
    <w:rsid w:val="00A16847"/>
    <w:rsid w:val="00A237D8"/>
    <w:rsid w:val="00A268C4"/>
    <w:rsid w:val="00A307CD"/>
    <w:rsid w:val="00A331C8"/>
    <w:rsid w:val="00A35860"/>
    <w:rsid w:val="00A40A00"/>
    <w:rsid w:val="00A4142F"/>
    <w:rsid w:val="00A422EB"/>
    <w:rsid w:val="00A45BB7"/>
    <w:rsid w:val="00A56DF2"/>
    <w:rsid w:val="00A56E6E"/>
    <w:rsid w:val="00A67AB5"/>
    <w:rsid w:val="00A733B2"/>
    <w:rsid w:val="00A741C2"/>
    <w:rsid w:val="00A91760"/>
    <w:rsid w:val="00A93B00"/>
    <w:rsid w:val="00A93C21"/>
    <w:rsid w:val="00AA3BF3"/>
    <w:rsid w:val="00AB64C9"/>
    <w:rsid w:val="00AC3C6A"/>
    <w:rsid w:val="00AD5620"/>
    <w:rsid w:val="00AD656B"/>
    <w:rsid w:val="00AD7C1B"/>
    <w:rsid w:val="00AE16BA"/>
    <w:rsid w:val="00AE1EBE"/>
    <w:rsid w:val="00AE3A9B"/>
    <w:rsid w:val="00B03C9D"/>
    <w:rsid w:val="00B060AE"/>
    <w:rsid w:val="00B10517"/>
    <w:rsid w:val="00B14E76"/>
    <w:rsid w:val="00B161B8"/>
    <w:rsid w:val="00B1686C"/>
    <w:rsid w:val="00B2048C"/>
    <w:rsid w:val="00B310B9"/>
    <w:rsid w:val="00B35F3F"/>
    <w:rsid w:val="00B36CBB"/>
    <w:rsid w:val="00B425E0"/>
    <w:rsid w:val="00B440AA"/>
    <w:rsid w:val="00B44B70"/>
    <w:rsid w:val="00B5173D"/>
    <w:rsid w:val="00B53C56"/>
    <w:rsid w:val="00B56015"/>
    <w:rsid w:val="00B57DAF"/>
    <w:rsid w:val="00B77EA6"/>
    <w:rsid w:val="00B81598"/>
    <w:rsid w:val="00B841F1"/>
    <w:rsid w:val="00B944D6"/>
    <w:rsid w:val="00BB4DF0"/>
    <w:rsid w:val="00BB5952"/>
    <w:rsid w:val="00BC289F"/>
    <w:rsid w:val="00BC2D50"/>
    <w:rsid w:val="00BC3DE3"/>
    <w:rsid w:val="00BC5361"/>
    <w:rsid w:val="00BC5460"/>
    <w:rsid w:val="00BC6B50"/>
    <w:rsid w:val="00BD0E25"/>
    <w:rsid w:val="00BF5BD6"/>
    <w:rsid w:val="00C03E31"/>
    <w:rsid w:val="00C152B2"/>
    <w:rsid w:val="00C33E72"/>
    <w:rsid w:val="00C354B2"/>
    <w:rsid w:val="00C35554"/>
    <w:rsid w:val="00C42709"/>
    <w:rsid w:val="00C533CC"/>
    <w:rsid w:val="00C56B41"/>
    <w:rsid w:val="00C5751C"/>
    <w:rsid w:val="00C61BFC"/>
    <w:rsid w:val="00C62B85"/>
    <w:rsid w:val="00C65438"/>
    <w:rsid w:val="00C7524A"/>
    <w:rsid w:val="00C87FD8"/>
    <w:rsid w:val="00C91381"/>
    <w:rsid w:val="00C91CBB"/>
    <w:rsid w:val="00C9795E"/>
    <w:rsid w:val="00CB4E70"/>
    <w:rsid w:val="00CC09B6"/>
    <w:rsid w:val="00CC666F"/>
    <w:rsid w:val="00CD0C87"/>
    <w:rsid w:val="00CD1E3F"/>
    <w:rsid w:val="00CE44F6"/>
    <w:rsid w:val="00CE49DA"/>
    <w:rsid w:val="00CE7B61"/>
    <w:rsid w:val="00D00095"/>
    <w:rsid w:val="00D114F0"/>
    <w:rsid w:val="00D20620"/>
    <w:rsid w:val="00D22044"/>
    <w:rsid w:val="00D254F7"/>
    <w:rsid w:val="00D26091"/>
    <w:rsid w:val="00D2685C"/>
    <w:rsid w:val="00D34E7C"/>
    <w:rsid w:val="00D35489"/>
    <w:rsid w:val="00D36AFE"/>
    <w:rsid w:val="00D51276"/>
    <w:rsid w:val="00D57D69"/>
    <w:rsid w:val="00D7035F"/>
    <w:rsid w:val="00DA634F"/>
    <w:rsid w:val="00DA65AC"/>
    <w:rsid w:val="00DB1913"/>
    <w:rsid w:val="00DC410D"/>
    <w:rsid w:val="00DC5A81"/>
    <w:rsid w:val="00DC68CA"/>
    <w:rsid w:val="00DC7CBA"/>
    <w:rsid w:val="00DD73B7"/>
    <w:rsid w:val="00DF28BC"/>
    <w:rsid w:val="00DF34B9"/>
    <w:rsid w:val="00E0083F"/>
    <w:rsid w:val="00E01053"/>
    <w:rsid w:val="00E07ACF"/>
    <w:rsid w:val="00E331A1"/>
    <w:rsid w:val="00E33202"/>
    <w:rsid w:val="00E336A9"/>
    <w:rsid w:val="00E3494E"/>
    <w:rsid w:val="00E472B1"/>
    <w:rsid w:val="00E50624"/>
    <w:rsid w:val="00E568DF"/>
    <w:rsid w:val="00E62C41"/>
    <w:rsid w:val="00E64269"/>
    <w:rsid w:val="00E82267"/>
    <w:rsid w:val="00E853CE"/>
    <w:rsid w:val="00E867B6"/>
    <w:rsid w:val="00EA010F"/>
    <w:rsid w:val="00EC2ECA"/>
    <w:rsid w:val="00EC46F0"/>
    <w:rsid w:val="00ED1B63"/>
    <w:rsid w:val="00ED3C1F"/>
    <w:rsid w:val="00ED4085"/>
    <w:rsid w:val="00ED420E"/>
    <w:rsid w:val="00ED6FBE"/>
    <w:rsid w:val="00EE2F57"/>
    <w:rsid w:val="00EF4C34"/>
    <w:rsid w:val="00EF77C6"/>
    <w:rsid w:val="00F05438"/>
    <w:rsid w:val="00F1361C"/>
    <w:rsid w:val="00F156F0"/>
    <w:rsid w:val="00F160C7"/>
    <w:rsid w:val="00F22465"/>
    <w:rsid w:val="00F2408F"/>
    <w:rsid w:val="00F240E9"/>
    <w:rsid w:val="00F36D8F"/>
    <w:rsid w:val="00F417B1"/>
    <w:rsid w:val="00F45853"/>
    <w:rsid w:val="00F45987"/>
    <w:rsid w:val="00F5138E"/>
    <w:rsid w:val="00F602DF"/>
    <w:rsid w:val="00F754A1"/>
    <w:rsid w:val="00F81FD9"/>
    <w:rsid w:val="00F841AA"/>
    <w:rsid w:val="00F84A94"/>
    <w:rsid w:val="00F87E96"/>
    <w:rsid w:val="00FA23E8"/>
    <w:rsid w:val="00FD3CC1"/>
    <w:rsid w:val="00FF1E02"/>
    <w:rsid w:val="00FF30B4"/>
    <w:rsid w:val="053A62B5"/>
    <w:rsid w:val="0A2032A3"/>
    <w:rsid w:val="0B8A37D8"/>
    <w:rsid w:val="10C055FF"/>
    <w:rsid w:val="118107EC"/>
    <w:rsid w:val="11DD6519"/>
    <w:rsid w:val="16BB723D"/>
    <w:rsid w:val="18015F3F"/>
    <w:rsid w:val="1BE8440E"/>
    <w:rsid w:val="1D155CEE"/>
    <w:rsid w:val="1FD31E7C"/>
    <w:rsid w:val="20F57F95"/>
    <w:rsid w:val="240371BF"/>
    <w:rsid w:val="25711CC6"/>
    <w:rsid w:val="25C741E6"/>
    <w:rsid w:val="27842671"/>
    <w:rsid w:val="29FD04D3"/>
    <w:rsid w:val="2ABE7A3E"/>
    <w:rsid w:val="2CA234A8"/>
    <w:rsid w:val="2EFA178C"/>
    <w:rsid w:val="30B46D73"/>
    <w:rsid w:val="319F7F4E"/>
    <w:rsid w:val="327F16E0"/>
    <w:rsid w:val="3773B949"/>
    <w:rsid w:val="383D272C"/>
    <w:rsid w:val="39AE70AB"/>
    <w:rsid w:val="3BB1E06F"/>
    <w:rsid w:val="3C0C0783"/>
    <w:rsid w:val="3EF12890"/>
    <w:rsid w:val="3EF9798C"/>
    <w:rsid w:val="3F9F3A96"/>
    <w:rsid w:val="3FDB1ACE"/>
    <w:rsid w:val="48BF60AB"/>
    <w:rsid w:val="493C27E9"/>
    <w:rsid w:val="496F39ED"/>
    <w:rsid w:val="49FF41D3"/>
    <w:rsid w:val="4BE068DB"/>
    <w:rsid w:val="4BF6002B"/>
    <w:rsid w:val="4ECE2238"/>
    <w:rsid w:val="51DB4B86"/>
    <w:rsid w:val="55333C3E"/>
    <w:rsid w:val="5D7F9528"/>
    <w:rsid w:val="5FDE5547"/>
    <w:rsid w:val="5FFFA41B"/>
    <w:rsid w:val="5FFFDCD1"/>
    <w:rsid w:val="62570273"/>
    <w:rsid w:val="64CA39A1"/>
    <w:rsid w:val="67EFFEA1"/>
    <w:rsid w:val="67FC7A81"/>
    <w:rsid w:val="69630ADE"/>
    <w:rsid w:val="6C4A05C8"/>
    <w:rsid w:val="6D3B1A89"/>
    <w:rsid w:val="6FDF78D1"/>
    <w:rsid w:val="71BF4EC2"/>
    <w:rsid w:val="72734D90"/>
    <w:rsid w:val="7412278C"/>
    <w:rsid w:val="75329426"/>
    <w:rsid w:val="75ED0ECC"/>
    <w:rsid w:val="777FD1FD"/>
    <w:rsid w:val="77E3871B"/>
    <w:rsid w:val="79DEE391"/>
    <w:rsid w:val="79E7B28D"/>
    <w:rsid w:val="7D7F1C4E"/>
    <w:rsid w:val="7EB86BE0"/>
    <w:rsid w:val="7EBADBB4"/>
    <w:rsid w:val="7F7756E6"/>
    <w:rsid w:val="7F9F20EE"/>
    <w:rsid w:val="7FBBA875"/>
    <w:rsid w:val="7FFF7DD4"/>
    <w:rsid w:val="7F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C4AE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C4A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C4AE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4A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3C4AE3"/>
    <w:pPr>
      <w:spacing w:beforeLines="30"/>
    </w:pPr>
    <w:rPr>
      <w:rFonts w:ascii="仿宋_GB2312" w:eastAsia="仿宋_GB2312"/>
      <w:kern w:val="0"/>
      <w:sz w:val="30"/>
    </w:rPr>
  </w:style>
  <w:style w:type="paragraph" w:styleId="30">
    <w:name w:val="toc 3"/>
    <w:basedOn w:val="a"/>
    <w:next w:val="a"/>
    <w:uiPriority w:val="39"/>
    <w:unhideWhenUsed/>
    <w:qFormat/>
    <w:rsid w:val="003C4AE3"/>
    <w:pPr>
      <w:tabs>
        <w:tab w:val="right" w:leader="dot" w:pos="8296"/>
      </w:tabs>
      <w:ind w:leftChars="400" w:left="84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C4AE3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C4AE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3C4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3C4AE3"/>
    <w:pPr>
      <w:tabs>
        <w:tab w:val="right" w:leader="dot" w:pos="8296"/>
      </w:tabs>
      <w:spacing w:before="93"/>
      <w:jc w:val="center"/>
    </w:pPr>
    <w:rPr>
      <w:rFonts w:ascii="仿宋" w:eastAsia="仿宋" w:hAnsi="仿宋"/>
      <w:sz w:val="28"/>
      <w:szCs w:val="28"/>
    </w:rPr>
  </w:style>
  <w:style w:type="paragraph" w:styleId="20">
    <w:name w:val="toc 2"/>
    <w:basedOn w:val="a"/>
    <w:next w:val="a"/>
    <w:uiPriority w:val="39"/>
    <w:unhideWhenUsed/>
    <w:qFormat/>
    <w:rsid w:val="003C4AE3"/>
    <w:pPr>
      <w:tabs>
        <w:tab w:val="right" w:leader="dot" w:pos="8296"/>
      </w:tabs>
      <w:ind w:leftChars="200" w:left="420"/>
    </w:pPr>
  </w:style>
  <w:style w:type="character" w:styleId="a7">
    <w:name w:val="Strong"/>
    <w:basedOn w:val="a1"/>
    <w:uiPriority w:val="99"/>
    <w:qFormat/>
    <w:rsid w:val="003C4AE3"/>
    <w:rPr>
      <w:b/>
    </w:rPr>
  </w:style>
  <w:style w:type="character" w:styleId="a8">
    <w:name w:val="Hyperlink"/>
    <w:basedOn w:val="a1"/>
    <w:uiPriority w:val="99"/>
    <w:unhideWhenUsed/>
    <w:qFormat/>
    <w:rsid w:val="003C4AE3"/>
    <w:rPr>
      <w:color w:val="0000FF" w:themeColor="hyperlink"/>
      <w:u w:val="single"/>
    </w:rPr>
  </w:style>
  <w:style w:type="character" w:customStyle="1" w:styleId="HeaderChar">
    <w:name w:val="Header Char"/>
    <w:basedOn w:val="a1"/>
    <w:uiPriority w:val="99"/>
    <w:semiHidden/>
    <w:qFormat/>
    <w:rsid w:val="003C4AE3"/>
    <w:rPr>
      <w:rFonts w:ascii="Times New Roman" w:hAnsi="Times New Roman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locked/>
    <w:rsid w:val="003C4AE3"/>
    <w:rPr>
      <w:sz w:val="18"/>
    </w:rPr>
  </w:style>
  <w:style w:type="character" w:customStyle="1" w:styleId="FooterChar">
    <w:name w:val="Footer Char"/>
    <w:basedOn w:val="a1"/>
    <w:uiPriority w:val="99"/>
    <w:semiHidden/>
    <w:qFormat/>
    <w:rsid w:val="003C4AE3"/>
    <w:rPr>
      <w:rFonts w:ascii="Times New Roman" w:hAnsi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3C4AE3"/>
    <w:rPr>
      <w:sz w:val="18"/>
    </w:rPr>
  </w:style>
  <w:style w:type="character" w:customStyle="1" w:styleId="BodyTextChar">
    <w:name w:val="Body Text Char"/>
    <w:basedOn w:val="a1"/>
    <w:uiPriority w:val="99"/>
    <w:semiHidden/>
    <w:qFormat/>
    <w:rsid w:val="003C4AE3"/>
    <w:rPr>
      <w:rFonts w:ascii="Times New Roman" w:hAnsi="Times New Roman"/>
      <w:szCs w:val="24"/>
    </w:rPr>
  </w:style>
  <w:style w:type="character" w:customStyle="1" w:styleId="Char">
    <w:name w:val="正文文本 Char"/>
    <w:link w:val="a0"/>
    <w:uiPriority w:val="99"/>
    <w:qFormat/>
    <w:locked/>
    <w:rsid w:val="003C4AE3"/>
    <w:rPr>
      <w:rFonts w:ascii="仿宋_GB2312" w:eastAsia="仿宋_GB2312" w:hAnsi="Times New Roman"/>
      <w:sz w:val="24"/>
    </w:rPr>
  </w:style>
  <w:style w:type="paragraph" w:customStyle="1" w:styleId="Default">
    <w:name w:val="Default"/>
    <w:uiPriority w:val="99"/>
    <w:qFormat/>
    <w:rsid w:val="003C4AE3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C4AE3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qFormat/>
    <w:rsid w:val="003C4AE3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3C4AE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3C4AE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0">
    <w:name w:val="批注框文本 Char"/>
    <w:basedOn w:val="a1"/>
    <w:link w:val="a4"/>
    <w:uiPriority w:val="99"/>
    <w:semiHidden/>
    <w:qFormat/>
    <w:rsid w:val="003C4AE3"/>
    <w:rPr>
      <w:rFonts w:ascii="Times New Roman" w:hAnsi="Times New Roman"/>
      <w:kern w:val="2"/>
      <w:sz w:val="18"/>
      <w:szCs w:val="18"/>
    </w:rPr>
  </w:style>
  <w:style w:type="character" w:customStyle="1" w:styleId="3Char">
    <w:name w:val="标题 3 Char"/>
    <w:basedOn w:val="a1"/>
    <w:link w:val="3"/>
    <w:uiPriority w:val="9"/>
    <w:qFormat/>
    <w:rsid w:val="003C4AE3"/>
    <w:rPr>
      <w:rFonts w:ascii="Times New Roman" w:hAnsi="Times New Roman"/>
      <w:b/>
      <w:bCs/>
      <w:kern w:val="2"/>
      <w:sz w:val="32"/>
      <w:szCs w:val="32"/>
    </w:rPr>
  </w:style>
  <w:style w:type="paragraph" w:customStyle="1" w:styleId="TOC2">
    <w:name w:val="TOC 标题2"/>
    <w:basedOn w:val="1"/>
    <w:next w:val="a"/>
    <w:uiPriority w:val="39"/>
    <w:unhideWhenUsed/>
    <w:qFormat/>
    <w:rsid w:val="003C4AE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/home/user/&#26700;&#38754;/2022&#20915;&#31639;&#26609;&#29366;&#2227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111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121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/home/user/&#26700;&#38754;/2022&#20915;&#31639;&#26609;&#29366;&#2227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131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141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151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收、支决算总计变动情况图（单位：万元）</a:t>
            </a:r>
          </a:p>
        </c:rich>
      </c:tx>
      <c:layout>
        <c:manualLayout>
          <c:xMode val="edge"/>
          <c:yMode val="edge"/>
          <c:x val="0.141527777777777"/>
          <c:y val="3.8333333333333414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'[2022决算柱状图.xlsx]1'!$A$2:$A$5</c:f>
              <c:strCache>
                <c:ptCount val="4"/>
                <c:pt idx="0">
                  <c:v>2021年收入</c:v>
                </c:pt>
                <c:pt idx="1">
                  <c:v>2022年收入</c:v>
                </c:pt>
                <c:pt idx="2">
                  <c:v>2021年支出</c:v>
                </c:pt>
                <c:pt idx="3">
                  <c:v>2022年支出</c:v>
                </c:pt>
              </c:strCache>
            </c:strRef>
          </c:cat>
          <c:val>
            <c:numRef>
              <c:f>'[2022决算柱状图.xlsx]1'!$B$2:$B$5</c:f>
              <c:numCache>
                <c:formatCode>General</c:formatCode>
                <c:ptCount val="4"/>
                <c:pt idx="0">
                  <c:v>902.91</c:v>
                </c:pt>
                <c:pt idx="1">
                  <c:v>1024.1399999999999</c:v>
                </c:pt>
                <c:pt idx="2">
                  <c:v>1181.6699999999998</c:v>
                </c:pt>
                <c:pt idx="3">
                  <c:v>1070.9100000000001</c:v>
                </c:pt>
              </c:numCache>
            </c:numRef>
          </c:val>
        </c:ser>
        <c:dLbls>
          <c:showVal val="1"/>
        </c:dLbls>
        <c:gapWidth val="219"/>
        <c:overlap val="-27"/>
        <c:axId val="44501248"/>
        <c:axId val="44503040"/>
      </c:barChart>
      <c:catAx>
        <c:axId val="44501248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4503040"/>
        <c:crosses val="autoZero"/>
        <c:auto val="1"/>
        <c:lblAlgn val="ctr"/>
        <c:lblOffset val="100"/>
      </c:catAx>
      <c:valAx>
        <c:axId val="445030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4501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收入决算结构图（单位：万元）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收入决算结构图（万元）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t> 894.65</a:t>
                    </a:r>
                  </a:p>
                </c:rich>
              </c:tx>
              <c:dLblPos val="ctr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t>129.5</a:t>
                    </a:r>
                  </a:p>
                </c:rich>
              </c:tx>
              <c:dLblPos val="ctr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一般公共预算财政拨款收入</c:v>
                </c:pt>
                <c:pt idx="1">
                  <c:v>政府性基金预算财政拨款收入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894.65</c:v>
                </c:pt>
                <c:pt idx="1">
                  <c:v>129.5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支出决算结构图（单位：万元）</a:t>
            </a:r>
          </a:p>
        </c:rich>
      </c:tx>
      <c:layout>
        <c:manualLayout>
          <c:xMode val="edge"/>
          <c:yMode val="edge"/>
          <c:x val="0.2594574227581008"/>
          <c:y val="2.5830258302583002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收入决算结构图（万元）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t> 894.65</a:t>
                    </a:r>
                  </a:p>
                </c:rich>
              </c:tx>
              <c:dLblPos val="ctr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t> 129.5</a:t>
                    </a:r>
                  </a:p>
                </c:rich>
              </c:tx>
              <c:dLblPos val="ctr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基本支出</c:v>
                </c:pt>
                <c:pt idx="1">
                  <c:v>项目支出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888.68000000000143</c:v>
                </c:pt>
                <c:pt idx="1">
                  <c:v>182.29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财政拨款收、支决算总计变动请款表（单位：万元）</a:t>
            </a:r>
          </a:p>
        </c:rich>
      </c:tx>
      <c:layout>
        <c:manualLayout>
          <c:xMode val="edge"/>
          <c:yMode val="edge"/>
          <c:x val="0.13712757258786101"/>
          <c:y val="2.2079448151070019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'1'!$A$2:$A$5</c:f>
              <c:strCache>
                <c:ptCount val="4"/>
                <c:pt idx="0">
                  <c:v>2021年收入</c:v>
                </c:pt>
                <c:pt idx="1">
                  <c:v>2022年收入</c:v>
                </c:pt>
                <c:pt idx="2">
                  <c:v>2021年支出</c:v>
                </c:pt>
                <c:pt idx="3">
                  <c:v>2022年支出</c:v>
                </c:pt>
              </c:strCache>
            </c:strRef>
          </c:cat>
          <c:val>
            <c:numRef>
              <c:f>'1'!$B$2:$B$5</c:f>
              <c:numCache>
                <c:formatCode>General</c:formatCode>
                <c:ptCount val="4"/>
                <c:pt idx="0">
                  <c:v>902.91</c:v>
                </c:pt>
                <c:pt idx="1">
                  <c:v>1024.1399999999999</c:v>
                </c:pt>
                <c:pt idx="2">
                  <c:v>1181.6699999999998</c:v>
                </c:pt>
                <c:pt idx="3">
                  <c:v>1070.9100000000001</c:v>
                </c:pt>
              </c:numCache>
            </c:numRef>
          </c:val>
        </c:ser>
        <c:dLbls>
          <c:showVal val="1"/>
        </c:dLbls>
        <c:gapWidth val="219"/>
        <c:overlap val="-27"/>
        <c:axId val="44754432"/>
        <c:axId val="44755968"/>
      </c:barChart>
      <c:catAx>
        <c:axId val="44754432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4755968"/>
        <c:crosses val="autoZero"/>
        <c:auto val="1"/>
        <c:lblAlgn val="ctr"/>
        <c:lblOffset val="100"/>
      </c:catAx>
      <c:valAx>
        <c:axId val="44755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4754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一般公共预算财政拨款支出决算变动情况（单位：万元）</a:t>
            </a:r>
            <a:endParaRPr lang="en-US" altLang="zh-CN"/>
          </a:p>
        </c:rich>
      </c:tx>
      <c:layout>
        <c:manualLayout>
          <c:xMode val="edge"/>
          <c:yMode val="edge"/>
          <c:x val="0.135109419600381"/>
          <c:y val="3.1847133757962012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3032032984460033E-2"/>
          <c:y val="0.2331210191082799"/>
          <c:w val="0.87970187123375176"/>
          <c:h val="0.568025477707007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一般公共预算财政拨款支出决算变动情况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2021年支出</c:v>
                </c:pt>
                <c:pt idx="1">
                  <c:v>2022年支出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932.77000000000146</c:v>
                </c:pt>
                <c:pt idx="1">
                  <c:v>941.41</c:v>
                </c:pt>
              </c:numCache>
            </c:numRef>
          </c:val>
        </c:ser>
        <c:dLbls>
          <c:showVal val="1"/>
        </c:dLbls>
        <c:gapWidth val="201"/>
        <c:overlap val="40"/>
        <c:axId val="44587648"/>
        <c:axId val="44597632"/>
      </c:barChart>
      <c:catAx>
        <c:axId val="44587648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4597632"/>
        <c:crosses val="autoZero"/>
        <c:auto val="1"/>
        <c:lblAlgn val="ctr"/>
        <c:lblOffset val="100"/>
      </c:catAx>
      <c:valAx>
        <c:axId val="44597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458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一般公共预算财政拨款支出决算结构图（万元）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t>一般公共服务支出</a:t>
                    </a:r>
                  </a:p>
                  <a:p>
                    <a:r>
                      <a:t>2.42</a:t>
                    </a:r>
                  </a:p>
                </c:rich>
              </c:tx>
              <c:dLblPos val="inEnd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t>社会保障和就业支出</a:t>
                    </a:r>
                  </a:p>
                  <a:p>
                    <a:r>
                      <a:t>872.49</a:t>
                    </a:r>
                  </a:p>
                </c:rich>
              </c:tx>
              <c:dLblPos val="inEnd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318306474248692E-2"/>
                  <c:y val="2.8324848084944912E-2"/>
                </c:manualLayout>
              </c:layout>
              <c:tx>
                <c:rich>
                  <a:bodyPr/>
                  <a:lstStyle/>
                  <a:p>
                    <a:r>
                      <a:t>卫生健康支出</a:t>
                    </a:r>
                  </a:p>
                  <a:p>
                    <a:r>
                      <a:t>0.16</a:t>
                    </a:r>
                  </a:p>
                </c:rich>
              </c:tx>
              <c:dLblPos val="bestFit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4880614188128621"/>
                  <c:y val="0.10829031197698512"/>
                </c:manualLayout>
              </c:layout>
              <c:tx>
                <c:rich>
                  <a:bodyPr/>
                  <a:lstStyle/>
                  <a:p>
                    <a:r>
                      <a:t>住房保障支出</a:t>
                    </a:r>
                  </a:p>
                  <a:p>
                    <a:r>
                      <a:t>66.34</a:t>
                    </a:r>
                  </a:p>
                </c:rich>
              </c:tx>
              <c:dLblPos val="bestFit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inEnd"/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一般公共服务支出</c:v>
                </c:pt>
                <c:pt idx="1">
                  <c:v>社会保障和就业支出</c:v>
                </c:pt>
                <c:pt idx="2">
                  <c:v>卫生健康支出</c:v>
                </c:pt>
                <c:pt idx="3">
                  <c:v>住房保障支出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2.42</c:v>
                </c:pt>
                <c:pt idx="1">
                  <c:v>872.49</c:v>
                </c:pt>
                <c:pt idx="2">
                  <c:v>0.16</c:v>
                </c:pt>
                <c:pt idx="3">
                  <c:v>66.3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“三公”经费财政拨款支出结构图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0825832635051202"/>
                  <c:y val="-0.24414450308170801"/>
                </c:manualLayout>
              </c:layout>
              <c:tx>
                <c:rich>
                  <a:bodyPr/>
                  <a:lstStyle/>
                  <a:p>
                    <a:r>
                      <a:t>公务用车购置及运行维护费7.75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1605443443282696E-2"/>
                  <c:y val="0.1636598954270701"/>
                </c:manualLayout>
              </c:layout>
              <c:tx>
                <c:rich>
                  <a:bodyPr/>
                  <a:lstStyle/>
                  <a:p>
                    <a:r>
                      <a:t>公务接待费支出0.82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Val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公务用车购置及运行维护费支出</c:v>
                </c:pt>
                <c:pt idx="1">
                  <c:v>公务接待费支出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7.75</c:v>
                </c:pt>
                <c:pt idx="1">
                  <c:v>0.82000000000000139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20</Pages>
  <Words>893</Words>
  <Characters>5094</Characters>
  <Application>Microsoft Office Word</Application>
  <DocSecurity>0</DocSecurity>
  <Lines>42</Lines>
  <Paragraphs>11</Paragraphs>
  <ScaleCrop>false</ScaleCrop>
  <Company>四川省财政厅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四川省***</dc:title>
  <dc:creator>曹颖</dc:creator>
  <cp:lastModifiedBy>罗琳</cp:lastModifiedBy>
  <cp:revision>40</cp:revision>
  <cp:lastPrinted>2023-08-05T02:35:00Z</cp:lastPrinted>
  <dcterms:created xsi:type="dcterms:W3CDTF">2023-08-26T16:49:00Z</dcterms:created>
  <dcterms:modified xsi:type="dcterms:W3CDTF">2023-09-18T03:01:00Z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