
<file path=[Content_Types].xml><?xml version="1.0" encoding="utf-8"?>
<Types xmlns="http://schemas.openxmlformats.org/package/2006/content-types">
  <Default Extension="xml" ContentType="application/xml"/>
  <Default Extension="xlsx" ContentType="application/vnd.openxmlformats-officedocument.spreadsheetml.sheet"/>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Times New Roman" w:hAnsi="Times New Roman" w:eastAsia="方正小标宋简体" w:cs="Times New Roman"/>
          <w:color w:val="000000"/>
          <w:sz w:val="72"/>
          <w:szCs w:val="72"/>
        </w:rPr>
      </w:pPr>
    </w:p>
    <w:p>
      <w:pPr>
        <w:adjustRightInd w:val="0"/>
        <w:snapToGrid w:val="0"/>
        <w:spacing w:line="360" w:lineRule="auto"/>
        <w:jc w:val="center"/>
        <w:outlineLvl w:val="0"/>
        <w:rPr>
          <w:rFonts w:hint="default" w:ascii="Times New Roman" w:hAnsi="Times New Roman" w:eastAsia="方正小标宋简体" w:cs="Times New Roman"/>
          <w:color w:val="000000"/>
          <w:sz w:val="72"/>
          <w:szCs w:val="72"/>
        </w:rPr>
      </w:pPr>
    </w:p>
    <w:p>
      <w:pPr>
        <w:pStyle w:val="2"/>
        <w:rPr>
          <w:rFonts w:hint="default" w:ascii="Times New Roman" w:hAnsi="Times New Roman" w:eastAsia="方正小标宋简体" w:cs="Times New Roman"/>
          <w:color w:val="000000"/>
          <w:sz w:val="72"/>
          <w:szCs w:val="72"/>
        </w:rPr>
      </w:pPr>
    </w:p>
    <w:p>
      <w:pPr>
        <w:pStyle w:val="2"/>
        <w:rPr>
          <w:rFonts w:hint="default" w:ascii="Times New Roman" w:hAnsi="Times New Roman" w:eastAsia="方正小标宋简体" w:cs="Times New Roman"/>
          <w:color w:val="000000"/>
          <w:sz w:val="72"/>
          <w:szCs w:val="72"/>
        </w:rPr>
      </w:pPr>
    </w:p>
    <w:p>
      <w:pPr>
        <w:pStyle w:val="2"/>
        <w:jc w:val="center"/>
        <w:rPr>
          <w:rFonts w:hint="default" w:ascii="Times New Roman" w:hAnsi="Times New Roman" w:eastAsia="方正小标宋简体" w:cs="Times New Roman"/>
          <w:color w:val="000000"/>
          <w:kern w:val="2"/>
          <w:sz w:val="72"/>
          <w:szCs w:val="72"/>
          <w:lang w:val="en-US" w:eastAsia="zh-CN" w:bidi="ar-SA"/>
        </w:rPr>
      </w:pPr>
      <w:bookmarkStart w:id="0" w:name="_Toc15396476"/>
      <w:bookmarkStart w:id="1" w:name="_Toc15378442"/>
      <w:bookmarkStart w:id="2" w:name="_Toc15377194"/>
      <w:bookmarkStart w:id="3" w:name="_Toc15377426"/>
      <w:bookmarkStart w:id="4" w:name="_Toc15396598"/>
      <w:bookmarkStart w:id="5" w:name="_Toc15306268"/>
      <w:r>
        <w:rPr>
          <w:rFonts w:hint="default" w:ascii="Times New Roman" w:hAnsi="Times New Roman" w:eastAsia="方正小标宋简体" w:cs="Times New Roman"/>
          <w:color w:val="000000"/>
          <w:kern w:val="2"/>
          <w:sz w:val="72"/>
          <w:szCs w:val="72"/>
          <w:lang w:val="en-US" w:eastAsia="zh-CN" w:bidi="ar-SA"/>
        </w:rPr>
        <w:t>攀枝花市救助站</w:t>
      </w:r>
      <w:bookmarkStart w:id="6" w:name="_Toc15377425"/>
      <w:bookmarkStart w:id="7" w:name="_Toc15396475"/>
      <w:bookmarkStart w:id="8" w:name="_Toc15377193"/>
      <w:bookmarkStart w:id="9" w:name="_Toc15378441"/>
      <w:bookmarkStart w:id="10" w:name="_Toc15396597"/>
      <w:r>
        <w:rPr>
          <w:rFonts w:hint="default" w:ascii="Times New Roman" w:hAnsi="Times New Roman" w:eastAsia="方正小标宋简体" w:cs="Times New Roman"/>
          <w:color w:val="000000"/>
          <w:kern w:val="2"/>
          <w:sz w:val="72"/>
          <w:szCs w:val="72"/>
          <w:lang w:val="en-US" w:eastAsia="zh-CN" w:bidi="ar-SA"/>
        </w:rPr>
        <w:t>2021年度</w:t>
      </w:r>
      <w:bookmarkEnd w:id="6"/>
      <w:bookmarkEnd w:id="7"/>
      <w:bookmarkEnd w:id="8"/>
      <w:bookmarkEnd w:id="9"/>
      <w:bookmarkEnd w:id="10"/>
    </w:p>
    <w:p>
      <w:pPr>
        <w:adjustRightInd w:val="0"/>
        <w:snapToGrid w:val="0"/>
        <w:spacing w:line="360" w:lineRule="auto"/>
        <w:jc w:val="center"/>
        <w:outlineLvl w:val="0"/>
        <w:rPr>
          <w:rFonts w:hint="default" w:ascii="Times New Roman" w:hAnsi="Times New Roman" w:eastAsia="方正小标宋简体" w:cs="Times New Roman"/>
          <w:color w:val="000000"/>
          <w:sz w:val="72"/>
          <w:szCs w:val="72"/>
        </w:rPr>
      </w:pPr>
      <w:r>
        <w:rPr>
          <w:rFonts w:hint="default" w:ascii="Times New Roman" w:hAnsi="Times New Roman" w:eastAsia="方正小标宋简体" w:cs="Times New Roman"/>
          <w:color w:val="000000"/>
          <w:sz w:val="72"/>
          <w:szCs w:val="72"/>
        </w:rPr>
        <w:t>决算</w:t>
      </w:r>
      <w:bookmarkEnd w:id="0"/>
      <w:bookmarkEnd w:id="1"/>
      <w:bookmarkEnd w:id="2"/>
      <w:bookmarkEnd w:id="3"/>
      <w:bookmarkEnd w:id="4"/>
      <w:bookmarkEnd w:id="5"/>
      <w:r>
        <w:rPr>
          <w:rFonts w:hint="default" w:ascii="Times New Roman" w:hAnsi="Times New Roman" w:eastAsia="方正小标宋简体" w:cs="Times New Roman"/>
          <w:color w:val="000000"/>
          <w:sz w:val="72"/>
          <w:szCs w:val="72"/>
        </w:rPr>
        <w:t>编制说明</w:t>
      </w:r>
    </w:p>
    <w:p>
      <w:pPr>
        <w:widowControl/>
        <w:jc w:val="center"/>
        <w:rPr>
          <w:rFonts w:hint="default" w:ascii="Times New Roman" w:hAnsi="Times New Roman" w:eastAsia="黑体" w:cs="Times New Roman"/>
          <w:color w:val="000000"/>
          <w:sz w:val="36"/>
          <w:szCs w:val="36"/>
        </w:rPr>
        <w:sectPr>
          <w:headerReference r:id="rId5" w:type="first"/>
          <w:footerReference r:id="rId7" w:type="first"/>
          <w:headerReference r:id="rId3" w:type="default"/>
          <w:footerReference r:id="rId6" w:type="default"/>
          <w:headerReference r:id="rId4" w:type="even"/>
          <w:pgSz w:w="11906" w:h="16838"/>
          <w:pgMar w:top="1440" w:right="1800" w:bottom="1440" w:left="1800" w:header="851" w:footer="992" w:gutter="0"/>
          <w:pgNumType w:fmt="numberInDash" w:start="1"/>
          <w:cols w:space="720" w:num="1"/>
          <w:docGrid w:type="lines" w:linePitch="312" w:charSpace="0"/>
        </w:sectPr>
      </w:pPr>
    </w:p>
    <w:p>
      <w:pPr>
        <w:widowControl/>
        <w:jc w:val="center"/>
        <w:rPr>
          <w:rFonts w:hint="default" w:ascii="Times New Roman" w:hAnsi="Times New Roman" w:eastAsia="黑体" w:cs="Times New Roman"/>
          <w:color w:val="000000"/>
          <w:sz w:val="48"/>
          <w:szCs w:val="48"/>
        </w:rPr>
      </w:pPr>
      <w:r>
        <w:rPr>
          <w:rFonts w:hint="default" w:ascii="Times New Roman" w:hAnsi="Times New Roman" w:eastAsia="黑体" w:cs="Times New Roman"/>
          <w:color w:val="000000"/>
          <w:sz w:val="36"/>
          <w:szCs w:val="36"/>
        </w:rPr>
        <w:t>目录</w:t>
      </w:r>
    </w:p>
    <w:p>
      <w:pPr>
        <w:widowControl/>
        <w:jc w:val="center"/>
        <w:rPr>
          <w:rFonts w:hint="default" w:ascii="Times New Roman" w:hAnsi="Times New Roman" w:eastAsia="黑体" w:cs="Times New Roman"/>
          <w:sz w:val="28"/>
          <w:szCs w:val="28"/>
        </w:rPr>
      </w:pPr>
    </w:p>
    <w:p>
      <w:pPr>
        <w:pStyle w:val="11"/>
        <w:rPr>
          <w:rFonts w:hint="default" w:ascii="Times New Roman" w:hAnsi="Times New Roman" w:cs="Times New Roman"/>
        </w:rPr>
      </w:pPr>
      <w:r>
        <w:rPr>
          <w:rFonts w:hint="default" w:ascii="Times New Roman" w:hAnsi="Times New Roman" w:cs="Times New Roman"/>
          <w:sz w:val="24"/>
          <w:szCs w:val="24"/>
        </w:rPr>
        <w:t>公开时间：2022年9 月10日</w:t>
      </w:r>
    </w:p>
    <w:p>
      <w:pPr>
        <w:pStyle w:val="11"/>
        <w:tabs>
          <w:tab w:val="right" w:leader="dot" w:pos="8844"/>
          <w:tab w:val="clear" w:pos="8296"/>
        </w:tabs>
        <w:adjustRightInd w:val="0"/>
        <w:snapToGrid w:val="0"/>
        <w:spacing w:before="0" w:line="440" w:lineRule="exact"/>
        <w:jc w:val="left"/>
        <w:rPr>
          <w:rFonts w:ascii="Times New Roman" w:hAnsi="Times New Roman"/>
          <w:sz w:val="24"/>
          <w:szCs w:val="24"/>
        </w:rPr>
      </w:pPr>
      <w:bookmarkStart w:id="11" w:name="_Toc15396599"/>
      <w:bookmarkStart w:id="12" w:name="_Toc15377196"/>
      <w:r>
        <w:rPr>
          <w:rFonts w:hint="eastAsia" w:ascii="Times New Roman"/>
          <w:sz w:val="24"/>
        </w:rPr>
        <w:t>第一部分</w:t>
      </w:r>
      <w:r>
        <w:rPr>
          <w:rFonts w:hint="eastAsia" w:ascii="Times New Roman"/>
          <w:sz w:val="24"/>
          <w:lang w:val="en-US" w:eastAsia="zh-CN"/>
        </w:rPr>
        <w:t xml:space="preserve"> </w:t>
      </w:r>
      <w:r>
        <w:rPr>
          <w:rFonts w:hint="eastAsia" w:ascii="Times New Roman"/>
          <w:sz w:val="24"/>
          <w:lang w:eastAsia="zh-CN"/>
        </w:rPr>
        <w:t>单位</w:t>
      </w:r>
      <w:r>
        <w:rPr>
          <w:rFonts w:hint="eastAsia" w:ascii="Times New Roman"/>
          <w:sz w:val="24"/>
        </w:rPr>
        <w:t>概况</w:t>
      </w:r>
      <w:r>
        <w:rPr>
          <w:rFonts w:ascii="Times New Roman" w:hAnsi="Times New Roman"/>
        </w:rPr>
        <w:tab/>
      </w:r>
      <w:r>
        <w:rPr>
          <w:rFonts w:ascii="Times New Roman" w:hAnsi="Times New Roman"/>
        </w:rPr>
        <w:t>4</w:t>
      </w:r>
    </w:p>
    <w:p>
      <w:pPr>
        <w:pStyle w:val="12"/>
        <w:tabs>
          <w:tab w:val="right" w:leader="dot" w:pos="8844"/>
          <w:tab w:val="clear" w:pos="8296"/>
        </w:tabs>
        <w:adjustRightInd w:val="0"/>
        <w:snapToGrid w:val="0"/>
        <w:spacing w:line="440" w:lineRule="exact"/>
        <w:jc w:val="left"/>
      </w:pPr>
      <w:r>
        <w:rPr>
          <w:rFonts w:hint="eastAsia"/>
          <w:sz w:val="24"/>
        </w:rPr>
        <w:t>一、</w:t>
      </w:r>
      <w:r>
        <w:rPr>
          <w:rFonts w:hint="eastAsia"/>
          <w:sz w:val="24"/>
          <w:lang w:eastAsia="zh-CN"/>
        </w:rPr>
        <w:t>职能简介</w:t>
      </w:r>
      <w:r>
        <w:tab/>
      </w:r>
      <w:r>
        <w:t>4</w:t>
      </w:r>
    </w:p>
    <w:p>
      <w:pPr>
        <w:pStyle w:val="12"/>
        <w:tabs>
          <w:tab w:val="right" w:leader="dot" w:pos="8844"/>
          <w:tab w:val="clear" w:pos="8296"/>
        </w:tabs>
        <w:adjustRightInd w:val="0"/>
        <w:snapToGrid w:val="0"/>
        <w:spacing w:line="440" w:lineRule="exact"/>
        <w:jc w:val="left"/>
      </w:pPr>
      <w:r>
        <w:rPr>
          <w:rFonts w:hint="eastAsia"/>
          <w:sz w:val="24"/>
          <w:lang w:eastAsia="zh-CN"/>
        </w:rPr>
        <w:t>二</w:t>
      </w:r>
      <w:r>
        <w:rPr>
          <w:rFonts w:hint="eastAsia"/>
          <w:sz w:val="24"/>
        </w:rPr>
        <w:t>、</w:t>
      </w:r>
      <w:r>
        <w:rPr>
          <w:rFonts w:hint="eastAsia"/>
          <w:sz w:val="24"/>
          <w:lang w:eastAsia="zh-CN"/>
        </w:rPr>
        <w:t>机构设置</w:t>
      </w:r>
      <w:r>
        <w:tab/>
      </w:r>
      <w:r>
        <w:t>4</w:t>
      </w:r>
    </w:p>
    <w:p>
      <w:pPr>
        <w:pStyle w:val="12"/>
        <w:tabs>
          <w:tab w:val="right" w:leader="dot" w:pos="8844"/>
          <w:tab w:val="clear" w:pos="8296"/>
        </w:tabs>
        <w:adjustRightInd w:val="0"/>
        <w:snapToGrid w:val="0"/>
        <w:spacing w:line="440" w:lineRule="exact"/>
        <w:jc w:val="left"/>
        <w:rPr>
          <w:rFonts w:hint="eastAsia" w:eastAsia="宋体"/>
          <w:sz w:val="24"/>
          <w:lang w:eastAsia="zh-CN"/>
        </w:rPr>
      </w:pPr>
      <w:r>
        <w:rPr>
          <w:rFonts w:hint="eastAsia"/>
          <w:sz w:val="24"/>
          <w:lang w:eastAsia="zh-CN"/>
        </w:rPr>
        <w:t>三</w:t>
      </w:r>
      <w:r>
        <w:rPr>
          <w:rFonts w:hint="eastAsia"/>
          <w:sz w:val="24"/>
        </w:rPr>
        <w:t>、</w:t>
      </w:r>
      <w:r>
        <w:rPr>
          <w:rFonts w:hint="eastAsia"/>
          <w:sz w:val="24"/>
          <w:lang w:val="en-US" w:eastAsia="zh-CN"/>
        </w:rPr>
        <w:t>2021年重点工作完成情况</w:t>
      </w:r>
      <w:r>
        <w:tab/>
      </w:r>
      <w:r>
        <w:rPr>
          <w:rFonts w:hint="eastAsia"/>
          <w:lang w:val="en-US" w:eastAsia="zh-CN"/>
        </w:rPr>
        <w:t>4</w:t>
      </w:r>
    </w:p>
    <w:p>
      <w:pPr>
        <w:pStyle w:val="11"/>
        <w:tabs>
          <w:tab w:val="right" w:leader="dot" w:pos="8844"/>
          <w:tab w:val="clear" w:pos="8296"/>
        </w:tabs>
        <w:adjustRightInd w:val="0"/>
        <w:snapToGrid w:val="0"/>
        <w:spacing w:before="0" w:line="440" w:lineRule="exact"/>
        <w:jc w:val="left"/>
        <w:rPr>
          <w:rFonts w:hint="eastAsia" w:ascii="Times New Roman" w:hAnsi="Times New Roman" w:eastAsia="仿宋"/>
          <w:sz w:val="24"/>
          <w:szCs w:val="24"/>
          <w:lang w:eastAsia="zh-CN"/>
        </w:rPr>
      </w:pPr>
      <w:r>
        <w:rPr>
          <w:rFonts w:hint="eastAsia" w:ascii="Times New Roman"/>
          <w:sz w:val="24"/>
        </w:rPr>
        <w:t>第二部分</w:t>
      </w:r>
      <w:r>
        <w:rPr>
          <w:rFonts w:ascii="Times New Roman" w:hAnsi="Times New Roman"/>
          <w:sz w:val="24"/>
        </w:rPr>
        <w:t xml:space="preserve"> 2021</w:t>
      </w:r>
      <w:r>
        <w:rPr>
          <w:rFonts w:hint="eastAsia" w:ascii="Times New Roman"/>
          <w:sz w:val="24"/>
        </w:rPr>
        <w:t>年度</w:t>
      </w:r>
      <w:r>
        <w:rPr>
          <w:rFonts w:hint="eastAsia" w:ascii="Times New Roman"/>
          <w:sz w:val="24"/>
          <w:lang w:eastAsia="zh-CN"/>
        </w:rPr>
        <w:t>单位</w:t>
      </w:r>
      <w:r>
        <w:rPr>
          <w:rFonts w:hint="eastAsia" w:ascii="Times New Roman"/>
          <w:sz w:val="24"/>
        </w:rPr>
        <w:t>决算情况说明</w:t>
      </w:r>
      <w:r>
        <w:rPr>
          <w:rFonts w:ascii="Times New Roman" w:hAnsi="Times New Roman"/>
        </w:rPr>
        <w:tab/>
      </w:r>
      <w:r>
        <w:rPr>
          <w:rFonts w:hint="eastAsia" w:ascii="Times New Roman" w:hAnsi="Times New Roman"/>
          <w:lang w:val="en-US" w:eastAsia="zh-CN"/>
        </w:rPr>
        <w:t>9</w:t>
      </w:r>
    </w:p>
    <w:p>
      <w:pPr>
        <w:pStyle w:val="12"/>
        <w:tabs>
          <w:tab w:val="right" w:leader="dot" w:pos="8844"/>
          <w:tab w:val="clear" w:pos="8296"/>
        </w:tabs>
        <w:adjustRightInd w:val="0"/>
        <w:snapToGrid w:val="0"/>
        <w:spacing w:line="440" w:lineRule="exact"/>
        <w:jc w:val="left"/>
        <w:rPr>
          <w:rFonts w:hint="eastAsia" w:eastAsia="宋体"/>
          <w:sz w:val="24"/>
          <w:lang w:eastAsia="zh-CN"/>
        </w:rPr>
      </w:pPr>
      <w:r>
        <w:rPr>
          <w:rFonts w:hint="eastAsia"/>
          <w:sz w:val="24"/>
        </w:rPr>
        <w:t>一、收入支出决算总体情况说明</w:t>
      </w:r>
      <w:r>
        <w:tab/>
      </w:r>
      <w:r>
        <w:rPr>
          <w:rFonts w:hint="eastAsia"/>
          <w:lang w:val="en-US" w:eastAsia="zh-CN"/>
        </w:rPr>
        <w:t>9</w:t>
      </w:r>
    </w:p>
    <w:p>
      <w:pPr>
        <w:pStyle w:val="12"/>
        <w:tabs>
          <w:tab w:val="right" w:leader="dot" w:pos="8844"/>
          <w:tab w:val="clear" w:pos="8296"/>
        </w:tabs>
        <w:adjustRightInd w:val="0"/>
        <w:snapToGrid w:val="0"/>
        <w:spacing w:line="440" w:lineRule="exact"/>
        <w:jc w:val="left"/>
        <w:rPr>
          <w:rFonts w:hint="eastAsia" w:eastAsia="宋体"/>
          <w:sz w:val="24"/>
          <w:lang w:eastAsia="zh-CN"/>
        </w:rPr>
      </w:pPr>
      <w:r>
        <w:rPr>
          <w:rFonts w:hint="eastAsia"/>
          <w:sz w:val="24"/>
        </w:rPr>
        <w:t>二、收入决算情况说明</w:t>
      </w:r>
      <w:r>
        <w:tab/>
      </w:r>
      <w:r>
        <w:rPr>
          <w:rFonts w:hint="eastAsia"/>
          <w:lang w:val="en-US" w:eastAsia="zh-CN"/>
        </w:rPr>
        <w:t>9</w:t>
      </w:r>
    </w:p>
    <w:p>
      <w:pPr>
        <w:pStyle w:val="12"/>
        <w:tabs>
          <w:tab w:val="right" w:leader="dot" w:pos="8844"/>
          <w:tab w:val="clear" w:pos="8296"/>
        </w:tabs>
        <w:adjustRightInd w:val="0"/>
        <w:snapToGrid w:val="0"/>
        <w:spacing w:line="440" w:lineRule="exact"/>
        <w:jc w:val="left"/>
        <w:rPr>
          <w:rFonts w:hint="default" w:eastAsia="宋体"/>
          <w:sz w:val="24"/>
          <w:lang w:val="en-US" w:eastAsia="zh-CN"/>
        </w:rPr>
      </w:pPr>
      <w:r>
        <w:rPr>
          <w:rFonts w:hint="eastAsia"/>
          <w:sz w:val="24"/>
        </w:rPr>
        <w:t>三、支出决算情况说明</w:t>
      </w:r>
      <w:r>
        <w:tab/>
      </w:r>
      <w:r>
        <w:rPr>
          <w:rFonts w:hint="eastAsia"/>
          <w:lang w:val="en-US" w:eastAsia="zh-CN"/>
        </w:rPr>
        <w:t>10</w:t>
      </w:r>
    </w:p>
    <w:p>
      <w:pPr>
        <w:pStyle w:val="12"/>
        <w:tabs>
          <w:tab w:val="right" w:leader="dot" w:pos="8844"/>
          <w:tab w:val="clear" w:pos="8296"/>
        </w:tabs>
        <w:adjustRightInd w:val="0"/>
        <w:snapToGrid w:val="0"/>
        <w:spacing w:line="440" w:lineRule="exact"/>
        <w:jc w:val="left"/>
        <w:rPr>
          <w:rFonts w:hint="default" w:eastAsia="宋体"/>
          <w:sz w:val="24"/>
          <w:lang w:val="en-US" w:eastAsia="zh-CN"/>
        </w:rPr>
      </w:pPr>
      <w:r>
        <w:rPr>
          <w:rFonts w:hint="eastAsia"/>
          <w:sz w:val="24"/>
        </w:rPr>
        <w:t>四、财政拨款收入支出决算总体情况说明</w:t>
      </w:r>
      <w:r>
        <w:tab/>
      </w:r>
      <w:r>
        <w:rPr>
          <w:rFonts w:hint="eastAsia"/>
          <w:lang w:val="en-US" w:eastAsia="zh-CN"/>
        </w:rPr>
        <w:t>10</w:t>
      </w:r>
    </w:p>
    <w:p>
      <w:pPr>
        <w:pStyle w:val="12"/>
        <w:tabs>
          <w:tab w:val="right" w:leader="dot" w:pos="8844"/>
          <w:tab w:val="clear" w:pos="8296"/>
        </w:tabs>
        <w:adjustRightInd w:val="0"/>
        <w:snapToGrid w:val="0"/>
        <w:spacing w:line="440" w:lineRule="exact"/>
        <w:jc w:val="left"/>
        <w:rPr>
          <w:rFonts w:hint="default" w:eastAsia="宋体"/>
          <w:sz w:val="24"/>
          <w:lang w:val="en-US" w:eastAsia="zh-CN"/>
        </w:rPr>
      </w:pPr>
      <w:r>
        <w:rPr>
          <w:rFonts w:hint="eastAsia"/>
          <w:sz w:val="24"/>
        </w:rPr>
        <w:t>五、一般公共预算财政拨款支出决算情况说明</w:t>
      </w:r>
      <w:r>
        <w:tab/>
      </w:r>
      <w:r>
        <w:rPr>
          <w:rFonts w:hint="eastAsia"/>
          <w:lang w:val="en-US" w:eastAsia="zh-CN"/>
        </w:rPr>
        <w:t>11</w:t>
      </w:r>
    </w:p>
    <w:p>
      <w:pPr>
        <w:pStyle w:val="12"/>
        <w:tabs>
          <w:tab w:val="right" w:leader="dot" w:pos="8844"/>
          <w:tab w:val="clear" w:pos="8296"/>
        </w:tabs>
        <w:adjustRightInd w:val="0"/>
        <w:snapToGrid w:val="0"/>
        <w:spacing w:line="440" w:lineRule="exact"/>
        <w:jc w:val="left"/>
        <w:rPr>
          <w:rFonts w:hint="eastAsia" w:eastAsia="宋体"/>
          <w:sz w:val="24"/>
          <w:lang w:val="en-US" w:eastAsia="zh-CN"/>
        </w:rPr>
      </w:pPr>
      <w:r>
        <w:rPr>
          <w:rFonts w:hint="eastAsia"/>
          <w:sz w:val="24"/>
        </w:rPr>
        <w:t>六、一般公共预算财政拨款基本支出决算情况说明</w:t>
      </w:r>
      <w:r>
        <w:tab/>
      </w:r>
      <w:r>
        <w:rPr>
          <w:rFonts w:hint="eastAsia"/>
        </w:rPr>
        <w:t>1</w:t>
      </w:r>
      <w:r>
        <w:rPr>
          <w:rFonts w:hint="eastAsia"/>
          <w:lang w:val="en-US" w:eastAsia="zh-CN"/>
        </w:rPr>
        <w:t>4</w:t>
      </w:r>
    </w:p>
    <w:p>
      <w:pPr>
        <w:pStyle w:val="12"/>
        <w:tabs>
          <w:tab w:val="right" w:leader="dot" w:pos="8844"/>
          <w:tab w:val="clear" w:pos="8296"/>
        </w:tabs>
        <w:adjustRightInd w:val="0"/>
        <w:snapToGrid w:val="0"/>
        <w:spacing w:line="440" w:lineRule="exact"/>
        <w:jc w:val="left"/>
        <w:rPr>
          <w:rFonts w:hint="default" w:eastAsia="宋体"/>
          <w:sz w:val="24"/>
          <w:lang w:val="en-US" w:eastAsia="zh-CN"/>
        </w:rPr>
      </w:pPr>
      <w:r>
        <w:rPr>
          <w:rFonts w:hint="eastAsia"/>
          <w:sz w:val="24"/>
        </w:rPr>
        <w:t>七、</w:t>
      </w:r>
      <w:r>
        <w:rPr>
          <w:sz w:val="24"/>
        </w:rPr>
        <w:t>“</w:t>
      </w:r>
      <w:r>
        <w:rPr>
          <w:rFonts w:hint="eastAsia"/>
          <w:sz w:val="24"/>
        </w:rPr>
        <w:t>三公</w:t>
      </w:r>
      <w:r>
        <w:rPr>
          <w:sz w:val="24"/>
        </w:rPr>
        <w:t>”</w:t>
      </w:r>
      <w:r>
        <w:rPr>
          <w:rFonts w:hint="eastAsia"/>
          <w:sz w:val="24"/>
        </w:rPr>
        <w:t>经费财政拨款支出决算情况说明</w:t>
      </w:r>
      <w:r>
        <w:tab/>
      </w:r>
      <w:r>
        <w:rPr>
          <w:rFonts w:hint="eastAsia"/>
          <w:lang w:val="en-US" w:eastAsia="zh-CN"/>
        </w:rPr>
        <w:t>14</w:t>
      </w:r>
    </w:p>
    <w:p>
      <w:pPr>
        <w:pStyle w:val="12"/>
        <w:tabs>
          <w:tab w:val="right" w:leader="dot" w:pos="8844"/>
          <w:tab w:val="clear" w:pos="8296"/>
        </w:tabs>
        <w:adjustRightInd w:val="0"/>
        <w:snapToGrid w:val="0"/>
        <w:spacing w:line="440" w:lineRule="exact"/>
        <w:jc w:val="left"/>
        <w:rPr>
          <w:rFonts w:hint="default" w:eastAsia="宋体"/>
          <w:sz w:val="24"/>
          <w:lang w:val="en-US" w:eastAsia="zh-CN"/>
        </w:rPr>
      </w:pPr>
      <w:r>
        <w:rPr>
          <w:rFonts w:hint="eastAsia"/>
          <w:sz w:val="24"/>
        </w:rPr>
        <w:t>八、政府性基金预算支出决算情况说明</w:t>
      </w:r>
      <w:r>
        <w:tab/>
      </w:r>
      <w:r>
        <w:rPr>
          <w:rFonts w:hint="eastAsia"/>
          <w:lang w:val="en-US" w:eastAsia="zh-CN"/>
        </w:rPr>
        <w:t>16</w:t>
      </w:r>
    </w:p>
    <w:p>
      <w:pPr>
        <w:pStyle w:val="12"/>
        <w:tabs>
          <w:tab w:val="right" w:leader="dot" w:pos="8844"/>
          <w:tab w:val="clear" w:pos="8296"/>
        </w:tabs>
        <w:adjustRightInd w:val="0"/>
        <w:snapToGrid w:val="0"/>
        <w:spacing w:line="440" w:lineRule="exact"/>
        <w:ind w:leftChars="0" w:firstLine="240" w:firstLineChars="100"/>
        <w:jc w:val="left"/>
        <w:rPr>
          <w:rFonts w:hint="default" w:eastAsia="宋体"/>
          <w:sz w:val="24"/>
          <w:lang w:val="en-US" w:eastAsia="zh-CN"/>
        </w:rPr>
      </w:pPr>
      <w:r>
        <w:rPr>
          <w:rFonts w:hint="eastAsia" w:hAnsi="宋体"/>
          <w:sz w:val="24"/>
        </w:rPr>
        <w:t>九、国有资本经营预算支出决算情况说明</w:t>
      </w:r>
      <w:r>
        <w:tab/>
      </w:r>
      <w:r>
        <w:rPr>
          <w:rFonts w:hint="eastAsia"/>
          <w:lang w:val="en-US" w:eastAsia="zh-CN"/>
        </w:rPr>
        <w:t>16</w:t>
      </w:r>
    </w:p>
    <w:p>
      <w:pPr>
        <w:tabs>
          <w:tab w:val="right" w:leader="dot" w:pos="8844"/>
        </w:tabs>
        <w:adjustRightInd w:val="0"/>
        <w:snapToGrid w:val="0"/>
        <w:spacing w:line="440" w:lineRule="exact"/>
        <w:ind w:firstLine="420" w:firstLineChars="175"/>
        <w:jc w:val="left"/>
        <w:rPr>
          <w:rFonts w:hint="eastAsia"/>
          <w:sz w:val="24"/>
        </w:rPr>
      </w:pPr>
      <w:r>
        <w:rPr>
          <w:rStyle w:val="16"/>
          <w:rFonts w:hint="eastAsia" w:hAnsi="宋体"/>
          <w:color w:val="auto"/>
          <w:sz w:val="24"/>
          <w:u w:val="none"/>
        </w:rPr>
        <w:t>十、</w:t>
      </w:r>
      <w:r>
        <w:rPr>
          <w:rFonts w:hint="eastAsia" w:hAnsi="宋体"/>
          <w:sz w:val="24"/>
        </w:rPr>
        <w:t>其他重要事项的情况说明</w:t>
      </w:r>
      <w:r>
        <w:tab/>
      </w:r>
      <w:r>
        <w:rPr>
          <w:rFonts w:hint="eastAsia"/>
          <w:lang w:val="en-US" w:eastAsia="zh-CN"/>
        </w:rPr>
        <w:t>16</w:t>
      </w:r>
      <w:r>
        <w:rPr>
          <w:sz w:val="24"/>
        </w:rPr>
        <w:tab/>
      </w:r>
    </w:p>
    <w:p>
      <w:pPr>
        <w:tabs>
          <w:tab w:val="right" w:leader="dot" w:pos="8844"/>
        </w:tabs>
        <w:adjustRightInd w:val="0"/>
        <w:snapToGrid w:val="0"/>
        <w:spacing w:line="440" w:lineRule="exact"/>
        <w:jc w:val="left"/>
        <w:rPr>
          <w:rFonts w:hint="default" w:eastAsia="宋体"/>
          <w:sz w:val="24"/>
          <w:lang w:val="en-US" w:eastAsia="zh-CN"/>
        </w:rPr>
      </w:pPr>
      <w:r>
        <w:rPr>
          <w:rFonts w:hint="eastAsia" w:ascii="Times New Roman" w:hAnsi="Times New Roman" w:eastAsia="仿宋" w:cs="Times New Roman"/>
          <w:kern w:val="2"/>
          <w:sz w:val="24"/>
          <w:szCs w:val="28"/>
          <w:lang w:val="en-US" w:eastAsia="zh-CN" w:bidi="ar-SA"/>
        </w:rPr>
        <w:t>第三部分</w:t>
      </w:r>
      <w:r>
        <w:rPr>
          <w:rFonts w:hint="eastAsia" w:eastAsia="仿宋" w:cs="Times New Roman"/>
          <w:kern w:val="2"/>
          <w:sz w:val="24"/>
          <w:szCs w:val="28"/>
          <w:lang w:val="en-US" w:eastAsia="zh-CN" w:bidi="ar-SA"/>
        </w:rPr>
        <w:t xml:space="preserve"> </w:t>
      </w:r>
      <w:r>
        <w:rPr>
          <w:rFonts w:hint="eastAsia" w:ascii="Times New Roman" w:hAnsi="Times New Roman" w:eastAsia="仿宋" w:cs="Times New Roman"/>
          <w:kern w:val="2"/>
          <w:sz w:val="24"/>
          <w:szCs w:val="28"/>
          <w:lang w:val="en-US" w:eastAsia="zh-CN" w:bidi="ar-SA"/>
        </w:rPr>
        <w:t>名词解释</w:t>
      </w:r>
      <w:r>
        <w:tab/>
      </w:r>
      <w:r>
        <w:rPr>
          <w:rFonts w:hint="eastAsia"/>
          <w:lang w:val="en-US" w:eastAsia="zh-CN"/>
        </w:rPr>
        <w:t>18</w:t>
      </w:r>
    </w:p>
    <w:p>
      <w:pPr>
        <w:pStyle w:val="11"/>
        <w:tabs>
          <w:tab w:val="right" w:leader="dot" w:pos="8844"/>
          <w:tab w:val="clear" w:pos="8296"/>
        </w:tabs>
        <w:adjustRightInd w:val="0"/>
        <w:snapToGrid w:val="0"/>
        <w:spacing w:before="0" w:line="440" w:lineRule="exact"/>
        <w:jc w:val="left"/>
        <w:rPr>
          <w:rFonts w:hint="default" w:ascii="Times New Roman" w:hAnsi="Times New Roman" w:eastAsia="宋体" w:cs="Times New Roman"/>
          <w:kern w:val="2"/>
          <w:sz w:val="21"/>
          <w:szCs w:val="24"/>
          <w:lang w:val="en-US" w:eastAsia="zh-CN" w:bidi="ar-SA"/>
        </w:rPr>
      </w:pPr>
      <w:r>
        <w:rPr>
          <w:rFonts w:hint="eastAsia" w:ascii="Times New Roman"/>
          <w:sz w:val="24"/>
        </w:rPr>
        <w:t>第四部分</w:t>
      </w:r>
      <w:r>
        <w:rPr>
          <w:rFonts w:hint="eastAsia" w:ascii="Times New Roman"/>
          <w:sz w:val="24"/>
          <w:lang w:val="en-US" w:eastAsia="zh-CN"/>
        </w:rPr>
        <w:t xml:space="preserve"> </w:t>
      </w:r>
      <w:r>
        <w:rPr>
          <w:rFonts w:hint="eastAsia" w:ascii="Times New Roman"/>
          <w:sz w:val="24"/>
        </w:rPr>
        <w:t>附件</w:t>
      </w:r>
      <w:r>
        <w:rPr>
          <w:rFonts w:ascii="Times New Roman" w:hAnsi="Times New Roman"/>
        </w:rPr>
        <w:tab/>
      </w:r>
      <w:r>
        <w:rPr>
          <w:rFonts w:hint="eastAsia" w:ascii="Times New Roman" w:hAnsi="Times New Roman" w:eastAsia="宋体" w:cs="Times New Roman"/>
          <w:kern w:val="2"/>
          <w:sz w:val="21"/>
          <w:szCs w:val="24"/>
          <w:lang w:val="en-US" w:eastAsia="zh-CN" w:bidi="ar-SA"/>
        </w:rPr>
        <w:t>20</w:t>
      </w:r>
    </w:p>
    <w:p>
      <w:pPr>
        <w:pStyle w:val="11"/>
        <w:tabs>
          <w:tab w:val="right" w:leader="dot" w:pos="8844"/>
          <w:tab w:val="clear" w:pos="8296"/>
        </w:tabs>
        <w:adjustRightInd w:val="0"/>
        <w:snapToGrid w:val="0"/>
        <w:spacing w:before="0" w:line="440" w:lineRule="exact"/>
        <w:jc w:val="left"/>
        <w:rPr>
          <w:rFonts w:hint="default" w:ascii="Times New Roman" w:hAnsi="Times New Roman" w:eastAsia="宋体" w:cs="Times New Roman"/>
          <w:kern w:val="2"/>
          <w:sz w:val="21"/>
          <w:szCs w:val="24"/>
          <w:lang w:val="en-US" w:eastAsia="zh-CN" w:bidi="ar-SA"/>
        </w:rPr>
      </w:pPr>
      <w:r>
        <w:rPr>
          <w:rFonts w:hint="eastAsia" w:ascii="Times New Roman"/>
          <w:sz w:val="24"/>
        </w:rPr>
        <w:t>第五部分</w:t>
      </w:r>
      <w:r>
        <w:rPr>
          <w:rFonts w:hint="eastAsia" w:ascii="Times New Roman"/>
          <w:sz w:val="24"/>
          <w:lang w:val="en-US" w:eastAsia="zh-CN"/>
        </w:rPr>
        <w:t xml:space="preserve"> </w:t>
      </w:r>
      <w:r>
        <w:rPr>
          <w:rFonts w:hint="eastAsia" w:ascii="Times New Roman"/>
          <w:sz w:val="24"/>
        </w:rPr>
        <w:t>附表</w:t>
      </w:r>
      <w:r>
        <w:rPr>
          <w:rFonts w:ascii="Times New Roman" w:hAnsi="Times New Roman"/>
        </w:rPr>
        <w:tab/>
      </w:r>
      <w:r>
        <w:rPr>
          <w:rFonts w:hint="eastAsia" w:ascii="Times New Roman" w:hAnsi="Times New Roman" w:eastAsia="宋体" w:cs="Times New Roman"/>
          <w:kern w:val="2"/>
          <w:sz w:val="21"/>
          <w:szCs w:val="24"/>
          <w:lang w:val="en-US" w:eastAsia="zh-CN" w:bidi="ar-SA"/>
        </w:rPr>
        <w:t>24</w:t>
      </w:r>
    </w:p>
    <w:p>
      <w:pPr>
        <w:pStyle w:val="12"/>
        <w:tabs>
          <w:tab w:val="right" w:leader="dot" w:pos="8844"/>
          <w:tab w:val="clear" w:pos="8296"/>
        </w:tabs>
        <w:adjustRightInd w:val="0"/>
        <w:snapToGrid w:val="0"/>
        <w:spacing w:line="440" w:lineRule="exact"/>
        <w:jc w:val="left"/>
        <w:rPr>
          <w:rFonts w:eastAsia="仿宋"/>
          <w:sz w:val="24"/>
        </w:rPr>
      </w:pPr>
      <w:r>
        <w:rPr>
          <w:rFonts w:hint="eastAsia" w:hAnsi="仿宋" w:eastAsia="仿宋"/>
          <w:sz w:val="24"/>
        </w:rPr>
        <w:t>一、</w:t>
      </w:r>
      <w:r>
        <w:rPr>
          <w:rFonts w:hint="eastAsia"/>
          <w:sz w:val="24"/>
        </w:rPr>
        <w:t>收入支出决算总表</w:t>
      </w:r>
      <w:r>
        <w:tab/>
      </w:r>
      <w:r>
        <w:rPr>
          <w:rFonts w:hint="eastAsia" w:ascii="Times New Roman" w:hAnsi="Times New Roman" w:eastAsia="宋体" w:cs="Times New Roman"/>
          <w:kern w:val="2"/>
          <w:sz w:val="21"/>
          <w:szCs w:val="24"/>
          <w:lang w:val="en-US" w:eastAsia="zh-CN" w:bidi="ar-SA"/>
        </w:rPr>
        <w:t>24</w:t>
      </w:r>
    </w:p>
    <w:p>
      <w:pPr>
        <w:pStyle w:val="12"/>
        <w:tabs>
          <w:tab w:val="right" w:leader="dot" w:pos="8844"/>
          <w:tab w:val="clear" w:pos="8296"/>
        </w:tabs>
        <w:adjustRightInd w:val="0"/>
        <w:snapToGrid w:val="0"/>
        <w:spacing w:line="440" w:lineRule="exact"/>
        <w:jc w:val="left"/>
        <w:rPr>
          <w:sz w:val="24"/>
        </w:rPr>
      </w:pPr>
      <w:r>
        <w:rPr>
          <w:rFonts w:hint="eastAsia" w:hAnsi="宋体"/>
          <w:sz w:val="24"/>
        </w:rPr>
        <w:t>二、收入决算表</w:t>
      </w:r>
      <w:r>
        <w:tab/>
      </w:r>
      <w:r>
        <w:rPr>
          <w:rFonts w:hint="eastAsia" w:ascii="Times New Roman" w:hAnsi="Times New Roman" w:eastAsia="宋体" w:cs="Times New Roman"/>
          <w:kern w:val="2"/>
          <w:sz w:val="21"/>
          <w:szCs w:val="24"/>
          <w:lang w:val="en-US" w:eastAsia="zh-CN" w:bidi="ar-SA"/>
        </w:rPr>
        <w:t>24</w:t>
      </w:r>
    </w:p>
    <w:p>
      <w:pPr>
        <w:pStyle w:val="12"/>
        <w:tabs>
          <w:tab w:val="right" w:leader="dot" w:pos="8844"/>
          <w:tab w:val="clear" w:pos="8296"/>
        </w:tabs>
        <w:adjustRightInd w:val="0"/>
        <w:snapToGrid w:val="0"/>
        <w:spacing w:line="440" w:lineRule="exact"/>
        <w:jc w:val="left"/>
        <w:rPr>
          <w:sz w:val="24"/>
        </w:rPr>
      </w:pPr>
      <w:r>
        <w:rPr>
          <w:rFonts w:hint="eastAsia" w:hAnsi="宋体"/>
          <w:sz w:val="24"/>
        </w:rPr>
        <w:t>三、支出决算表</w:t>
      </w:r>
      <w:r>
        <w:tab/>
      </w:r>
      <w:r>
        <w:rPr>
          <w:rFonts w:hint="eastAsia" w:ascii="Times New Roman" w:hAnsi="Times New Roman" w:eastAsia="宋体" w:cs="Times New Roman"/>
          <w:kern w:val="2"/>
          <w:sz w:val="21"/>
          <w:szCs w:val="24"/>
          <w:lang w:val="en-US" w:eastAsia="zh-CN" w:bidi="ar-SA"/>
        </w:rPr>
        <w:t>24</w:t>
      </w:r>
    </w:p>
    <w:p>
      <w:pPr>
        <w:pStyle w:val="12"/>
        <w:tabs>
          <w:tab w:val="right" w:leader="dot" w:pos="8844"/>
          <w:tab w:val="clear" w:pos="8296"/>
        </w:tabs>
        <w:adjustRightInd w:val="0"/>
        <w:snapToGrid w:val="0"/>
        <w:spacing w:line="440" w:lineRule="exact"/>
        <w:jc w:val="left"/>
        <w:rPr>
          <w:sz w:val="24"/>
        </w:rPr>
      </w:pPr>
      <w:r>
        <w:rPr>
          <w:rFonts w:hint="eastAsia" w:hAnsi="宋体"/>
          <w:sz w:val="24"/>
        </w:rPr>
        <w:t>四、财政拨款收入支出决算总表</w:t>
      </w:r>
      <w:r>
        <w:tab/>
      </w:r>
      <w:r>
        <w:rPr>
          <w:rFonts w:hint="eastAsia" w:ascii="Times New Roman" w:hAnsi="Times New Roman" w:eastAsia="宋体" w:cs="Times New Roman"/>
          <w:kern w:val="2"/>
          <w:sz w:val="21"/>
          <w:szCs w:val="24"/>
          <w:lang w:val="en-US" w:eastAsia="zh-CN" w:bidi="ar-SA"/>
        </w:rPr>
        <w:t>24</w:t>
      </w:r>
    </w:p>
    <w:p>
      <w:pPr>
        <w:pStyle w:val="12"/>
        <w:tabs>
          <w:tab w:val="right" w:leader="dot" w:pos="8844"/>
          <w:tab w:val="clear" w:pos="8296"/>
        </w:tabs>
        <w:adjustRightInd w:val="0"/>
        <w:snapToGrid w:val="0"/>
        <w:spacing w:line="440" w:lineRule="exact"/>
        <w:jc w:val="left"/>
        <w:rPr>
          <w:sz w:val="24"/>
        </w:rPr>
      </w:pPr>
      <w:r>
        <w:rPr>
          <w:rFonts w:hint="eastAsia" w:hAnsi="宋体"/>
          <w:sz w:val="24"/>
        </w:rPr>
        <w:t>五、财政拨款支出决算明细表</w:t>
      </w:r>
      <w:r>
        <w:tab/>
      </w:r>
      <w:r>
        <w:rPr>
          <w:rFonts w:hint="eastAsia" w:ascii="Times New Roman" w:hAnsi="Times New Roman" w:eastAsia="宋体" w:cs="Times New Roman"/>
          <w:kern w:val="2"/>
          <w:sz w:val="21"/>
          <w:szCs w:val="24"/>
          <w:lang w:val="en-US" w:eastAsia="zh-CN" w:bidi="ar-SA"/>
        </w:rPr>
        <w:t>24</w:t>
      </w:r>
    </w:p>
    <w:p>
      <w:pPr>
        <w:pStyle w:val="12"/>
        <w:tabs>
          <w:tab w:val="right" w:leader="dot" w:pos="8844"/>
          <w:tab w:val="clear" w:pos="8296"/>
        </w:tabs>
        <w:adjustRightInd w:val="0"/>
        <w:snapToGrid w:val="0"/>
        <w:spacing w:line="440" w:lineRule="exact"/>
        <w:jc w:val="left"/>
        <w:rPr>
          <w:sz w:val="24"/>
        </w:rPr>
      </w:pPr>
      <w:r>
        <w:rPr>
          <w:rFonts w:hint="eastAsia" w:hAnsi="宋体"/>
          <w:sz w:val="24"/>
        </w:rPr>
        <w:t>六、一般公共预算财政拨款支出决算表</w:t>
      </w:r>
      <w:r>
        <w:tab/>
      </w:r>
      <w:r>
        <w:rPr>
          <w:rFonts w:hint="eastAsia" w:ascii="Times New Roman" w:hAnsi="Times New Roman" w:eastAsia="宋体" w:cs="Times New Roman"/>
          <w:kern w:val="2"/>
          <w:sz w:val="21"/>
          <w:szCs w:val="24"/>
          <w:lang w:val="en-US" w:eastAsia="zh-CN" w:bidi="ar-SA"/>
        </w:rPr>
        <w:t>24</w:t>
      </w:r>
    </w:p>
    <w:p>
      <w:pPr>
        <w:pStyle w:val="12"/>
        <w:tabs>
          <w:tab w:val="right" w:leader="dot" w:pos="8844"/>
          <w:tab w:val="clear" w:pos="8296"/>
        </w:tabs>
        <w:adjustRightInd w:val="0"/>
        <w:snapToGrid w:val="0"/>
        <w:spacing w:line="440" w:lineRule="exact"/>
        <w:jc w:val="left"/>
        <w:rPr>
          <w:sz w:val="24"/>
        </w:rPr>
      </w:pPr>
      <w:r>
        <w:rPr>
          <w:rFonts w:hint="eastAsia" w:hAnsi="宋体"/>
          <w:sz w:val="24"/>
        </w:rPr>
        <w:t>七、一般公共预算财政拨款支出决算明细表</w:t>
      </w:r>
      <w:r>
        <w:tab/>
      </w:r>
      <w:r>
        <w:rPr>
          <w:rFonts w:hint="eastAsia" w:ascii="Times New Roman" w:hAnsi="Times New Roman" w:eastAsia="宋体" w:cs="Times New Roman"/>
          <w:kern w:val="2"/>
          <w:sz w:val="21"/>
          <w:szCs w:val="24"/>
          <w:lang w:val="en-US" w:eastAsia="zh-CN" w:bidi="ar-SA"/>
        </w:rPr>
        <w:t>24</w:t>
      </w:r>
    </w:p>
    <w:p>
      <w:pPr>
        <w:pStyle w:val="12"/>
        <w:tabs>
          <w:tab w:val="right" w:leader="dot" w:pos="8844"/>
          <w:tab w:val="clear" w:pos="8296"/>
        </w:tabs>
        <w:adjustRightInd w:val="0"/>
        <w:snapToGrid w:val="0"/>
        <w:spacing w:line="440" w:lineRule="exact"/>
        <w:jc w:val="left"/>
        <w:rPr>
          <w:sz w:val="24"/>
        </w:rPr>
      </w:pPr>
      <w:r>
        <w:rPr>
          <w:rFonts w:hint="eastAsia" w:hAnsi="宋体"/>
          <w:sz w:val="24"/>
        </w:rPr>
        <w:t>八、一般公共预算财政拨款基本支出决算表</w:t>
      </w:r>
      <w:r>
        <w:tab/>
      </w:r>
      <w:r>
        <w:rPr>
          <w:rFonts w:hint="eastAsia" w:ascii="Times New Roman" w:hAnsi="Times New Roman" w:eastAsia="宋体" w:cs="Times New Roman"/>
          <w:kern w:val="2"/>
          <w:sz w:val="21"/>
          <w:szCs w:val="24"/>
          <w:lang w:val="en-US" w:eastAsia="zh-CN" w:bidi="ar-SA"/>
        </w:rPr>
        <w:t>24</w:t>
      </w:r>
    </w:p>
    <w:p>
      <w:pPr>
        <w:pStyle w:val="12"/>
        <w:tabs>
          <w:tab w:val="right" w:leader="dot" w:pos="8844"/>
          <w:tab w:val="clear" w:pos="8296"/>
        </w:tabs>
        <w:adjustRightInd w:val="0"/>
        <w:snapToGrid w:val="0"/>
        <w:spacing w:line="440" w:lineRule="exact"/>
        <w:jc w:val="left"/>
        <w:rPr>
          <w:sz w:val="24"/>
        </w:rPr>
      </w:pPr>
      <w:r>
        <w:rPr>
          <w:rFonts w:hint="eastAsia" w:hAnsi="宋体"/>
          <w:sz w:val="24"/>
        </w:rPr>
        <w:t>九、一般公共预算财政拨款项目支出决算表</w:t>
      </w:r>
      <w:r>
        <w:tab/>
      </w:r>
      <w:r>
        <w:rPr>
          <w:rFonts w:hint="eastAsia" w:ascii="Times New Roman" w:hAnsi="Times New Roman" w:eastAsia="宋体" w:cs="Times New Roman"/>
          <w:kern w:val="2"/>
          <w:sz w:val="21"/>
          <w:szCs w:val="24"/>
          <w:lang w:val="en-US" w:eastAsia="zh-CN" w:bidi="ar-SA"/>
        </w:rPr>
        <w:t>24</w:t>
      </w:r>
    </w:p>
    <w:p>
      <w:pPr>
        <w:pStyle w:val="12"/>
        <w:tabs>
          <w:tab w:val="right" w:leader="dot" w:pos="8844"/>
          <w:tab w:val="clear" w:pos="8296"/>
        </w:tabs>
        <w:adjustRightInd w:val="0"/>
        <w:snapToGrid w:val="0"/>
        <w:spacing w:line="440" w:lineRule="exact"/>
        <w:jc w:val="left"/>
        <w:rPr>
          <w:sz w:val="24"/>
        </w:rPr>
      </w:pPr>
      <w:r>
        <w:rPr>
          <w:rFonts w:hint="eastAsia" w:hAnsi="宋体"/>
          <w:sz w:val="24"/>
        </w:rPr>
        <w:t>十、一般公共预算财政拨款</w:t>
      </w:r>
      <w:r>
        <w:rPr>
          <w:sz w:val="24"/>
        </w:rPr>
        <w:t>“</w:t>
      </w:r>
      <w:r>
        <w:rPr>
          <w:rFonts w:hint="eastAsia" w:hAnsi="宋体"/>
          <w:sz w:val="24"/>
        </w:rPr>
        <w:t>三公</w:t>
      </w:r>
      <w:r>
        <w:rPr>
          <w:sz w:val="24"/>
        </w:rPr>
        <w:t>”</w:t>
      </w:r>
      <w:r>
        <w:rPr>
          <w:rFonts w:hint="eastAsia" w:hAnsi="宋体"/>
          <w:sz w:val="24"/>
        </w:rPr>
        <w:t>经费支出决算表</w:t>
      </w:r>
      <w:r>
        <w:tab/>
      </w:r>
      <w:r>
        <w:rPr>
          <w:rFonts w:hint="eastAsia" w:ascii="Times New Roman" w:hAnsi="Times New Roman" w:eastAsia="宋体" w:cs="Times New Roman"/>
          <w:kern w:val="2"/>
          <w:sz w:val="21"/>
          <w:szCs w:val="24"/>
          <w:lang w:val="en-US" w:eastAsia="zh-CN" w:bidi="ar-SA"/>
        </w:rPr>
        <w:t>24</w:t>
      </w:r>
    </w:p>
    <w:p>
      <w:pPr>
        <w:pStyle w:val="12"/>
        <w:tabs>
          <w:tab w:val="right" w:leader="dot" w:pos="8844"/>
          <w:tab w:val="clear" w:pos="8296"/>
        </w:tabs>
        <w:adjustRightInd w:val="0"/>
        <w:snapToGrid w:val="0"/>
        <w:spacing w:line="440" w:lineRule="exact"/>
        <w:jc w:val="left"/>
        <w:rPr>
          <w:sz w:val="24"/>
        </w:rPr>
      </w:pPr>
      <w:r>
        <w:rPr>
          <w:rFonts w:hint="eastAsia" w:hAnsi="宋体"/>
          <w:sz w:val="24"/>
        </w:rPr>
        <w:t>十一、政府性基金预算财政拨款收入支出决算表</w:t>
      </w:r>
      <w:r>
        <w:tab/>
      </w:r>
      <w:r>
        <w:rPr>
          <w:rFonts w:hint="eastAsia" w:ascii="Times New Roman" w:hAnsi="Times New Roman" w:eastAsia="宋体" w:cs="Times New Roman"/>
          <w:kern w:val="2"/>
          <w:sz w:val="21"/>
          <w:szCs w:val="24"/>
          <w:lang w:val="en-US" w:eastAsia="zh-CN" w:bidi="ar-SA"/>
        </w:rPr>
        <w:t>24</w:t>
      </w:r>
    </w:p>
    <w:p>
      <w:pPr>
        <w:pStyle w:val="12"/>
        <w:tabs>
          <w:tab w:val="right" w:leader="dot" w:pos="8844"/>
          <w:tab w:val="clear" w:pos="8296"/>
        </w:tabs>
        <w:adjustRightInd w:val="0"/>
        <w:snapToGrid w:val="0"/>
        <w:spacing w:line="440" w:lineRule="exact"/>
        <w:jc w:val="left"/>
        <w:rPr>
          <w:sz w:val="24"/>
        </w:rPr>
      </w:pPr>
      <w:r>
        <w:rPr>
          <w:rFonts w:hint="eastAsia" w:hAnsi="宋体"/>
          <w:sz w:val="24"/>
        </w:rPr>
        <w:t>十二、政府性基金预算财政拨款</w:t>
      </w:r>
      <w:r>
        <w:rPr>
          <w:sz w:val="24"/>
        </w:rPr>
        <w:t>“</w:t>
      </w:r>
      <w:r>
        <w:rPr>
          <w:rFonts w:hint="eastAsia" w:hAnsi="宋体"/>
          <w:sz w:val="24"/>
        </w:rPr>
        <w:t>三公</w:t>
      </w:r>
      <w:r>
        <w:rPr>
          <w:sz w:val="24"/>
        </w:rPr>
        <w:t>”</w:t>
      </w:r>
      <w:r>
        <w:rPr>
          <w:rFonts w:hint="eastAsia" w:hAnsi="宋体"/>
          <w:sz w:val="24"/>
        </w:rPr>
        <w:t>经费支出决算表（此表无数据）</w:t>
      </w:r>
      <w:r>
        <w:tab/>
      </w:r>
      <w:r>
        <w:rPr>
          <w:rFonts w:hint="eastAsia" w:ascii="Times New Roman" w:hAnsi="Times New Roman" w:eastAsia="宋体" w:cs="Times New Roman"/>
          <w:kern w:val="2"/>
          <w:sz w:val="21"/>
          <w:szCs w:val="24"/>
          <w:lang w:val="en-US" w:eastAsia="zh-CN" w:bidi="ar-SA"/>
        </w:rPr>
        <w:t>24</w:t>
      </w:r>
    </w:p>
    <w:p>
      <w:pPr>
        <w:pStyle w:val="12"/>
        <w:tabs>
          <w:tab w:val="right" w:leader="dot" w:pos="8844"/>
          <w:tab w:val="clear" w:pos="8296"/>
        </w:tabs>
        <w:adjustRightInd w:val="0"/>
        <w:snapToGrid w:val="0"/>
        <w:spacing w:line="440" w:lineRule="exact"/>
        <w:jc w:val="left"/>
        <w:rPr>
          <w:sz w:val="24"/>
        </w:rPr>
      </w:pPr>
      <w:r>
        <w:rPr>
          <w:rFonts w:hint="eastAsia" w:hAnsi="宋体"/>
          <w:sz w:val="24"/>
        </w:rPr>
        <w:t>十三、国有资本经营预算财政拨款收入支出决算表（此表无数据）</w:t>
      </w:r>
      <w:r>
        <w:tab/>
      </w:r>
      <w:r>
        <w:rPr>
          <w:rFonts w:hint="eastAsia" w:ascii="Times New Roman" w:hAnsi="Times New Roman" w:eastAsia="宋体" w:cs="Times New Roman"/>
          <w:kern w:val="2"/>
          <w:sz w:val="21"/>
          <w:szCs w:val="24"/>
          <w:lang w:val="en-US" w:eastAsia="zh-CN" w:bidi="ar-SA"/>
        </w:rPr>
        <w:t>24</w:t>
      </w:r>
    </w:p>
    <w:p>
      <w:pPr>
        <w:pStyle w:val="12"/>
        <w:tabs>
          <w:tab w:val="right" w:leader="dot" w:pos="8844"/>
          <w:tab w:val="clear" w:pos="8296"/>
        </w:tabs>
        <w:adjustRightInd w:val="0"/>
        <w:snapToGrid w:val="0"/>
        <w:spacing w:line="440" w:lineRule="exact"/>
        <w:jc w:val="left"/>
        <w:rPr>
          <w:rFonts w:hint="default" w:eastAsia="宋体"/>
          <w:sz w:val="24"/>
          <w:lang w:val="en-US" w:eastAsia="zh-CN"/>
        </w:rPr>
      </w:pPr>
      <w:r>
        <w:rPr>
          <w:rFonts w:hint="eastAsia" w:hAnsi="宋体"/>
          <w:sz w:val="24"/>
        </w:rPr>
        <w:t>十四、国有资本经营预算财政拨款支出决算表（此表无数据）</w:t>
      </w:r>
      <w:r>
        <w:tab/>
      </w:r>
      <w:r>
        <w:rPr>
          <w:rFonts w:hint="eastAsia"/>
          <w:lang w:val="en-US" w:eastAsia="zh-CN"/>
        </w:rPr>
        <w:t>25</w:t>
      </w:r>
    </w:p>
    <w:p>
      <w:pPr>
        <w:widowControl/>
        <w:adjustRightInd w:val="0"/>
        <w:snapToGrid w:val="0"/>
        <w:spacing w:line="440" w:lineRule="exact"/>
        <w:ind w:firstLine="1320" w:firstLineChars="550"/>
        <w:jc w:val="left"/>
        <w:rPr>
          <w:rFonts w:eastAsia="仿宋"/>
          <w:sz w:val="24"/>
        </w:rPr>
      </w:pPr>
    </w:p>
    <w:p>
      <w:pPr>
        <w:rPr>
          <w:rFonts w:hint="default" w:ascii="Times New Roman" w:hAnsi="Times New Roman" w:eastAsia="黑体" w:cs="Times New Roman"/>
          <w:b w:val="0"/>
          <w:bCs w:val="0"/>
        </w:rPr>
      </w:pPr>
      <w:r>
        <w:rPr>
          <w:rFonts w:hint="default" w:ascii="Times New Roman" w:hAnsi="Times New Roman" w:eastAsia="黑体" w:cs="Times New Roman"/>
          <w:b w:val="0"/>
          <w:bCs w:val="0"/>
        </w:rPr>
        <w:br w:type="page"/>
      </w:r>
    </w:p>
    <w:p>
      <w:pPr>
        <w:pStyle w:val="3"/>
        <w:jc w:val="center"/>
        <w:rPr>
          <w:rStyle w:val="17"/>
          <w:rFonts w:hint="default" w:ascii="Times New Roman" w:hAnsi="Times New Roman" w:eastAsia="黑体" w:cs="Times New Roman"/>
          <w:b w:val="0"/>
          <w:bCs w:val="0"/>
        </w:rPr>
      </w:pPr>
      <w:r>
        <w:rPr>
          <w:rFonts w:hint="default" w:ascii="Times New Roman" w:hAnsi="Times New Roman" w:eastAsia="黑体" w:cs="Times New Roman"/>
          <w:b w:val="0"/>
          <w:bCs w:val="0"/>
        </w:rPr>
        <w:t>第一部分</w:t>
      </w:r>
      <w:r>
        <w:rPr>
          <w:rFonts w:hint="default" w:ascii="Times New Roman" w:hAnsi="Times New Roman" w:eastAsia="黑体" w:cs="Times New Roman"/>
          <w:b w:val="0"/>
          <w:bCs w:val="0"/>
          <w:lang w:val="en-US" w:eastAsia="zh-CN"/>
        </w:rPr>
        <w:t xml:space="preserve"> </w:t>
      </w:r>
      <w:r>
        <w:rPr>
          <w:rStyle w:val="17"/>
          <w:rFonts w:hint="default" w:ascii="Times New Roman" w:hAnsi="Times New Roman" w:eastAsia="黑体" w:cs="Times New Roman"/>
          <w:b w:val="0"/>
          <w:bCs w:val="0"/>
        </w:rPr>
        <w:t>单位概况</w:t>
      </w:r>
      <w:bookmarkEnd w:id="11"/>
      <w:bookmarkEnd w:id="12"/>
    </w:p>
    <w:p>
      <w:pPr>
        <w:widowControl/>
        <w:jc w:val="left"/>
        <w:rPr>
          <w:rFonts w:hint="default" w:ascii="Times New Roman" w:hAnsi="Times New Roman" w:eastAsia="黑体" w:cs="Times New Roman"/>
          <w:color w:val="0000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beforeLines="0" w:line="520" w:lineRule="exact"/>
        <w:ind w:firstLine="640" w:firstLineChars="200"/>
        <w:textAlignment w:val="auto"/>
        <w:outlineLvl w:val="2"/>
        <w:rPr>
          <w:rFonts w:hint="default" w:ascii="Times New Roman" w:hAnsi="Times New Roman" w:eastAsia="黑体" w:cs="Times New Roman"/>
          <w:kern w:val="2"/>
          <w:sz w:val="32"/>
          <w:szCs w:val="32"/>
        </w:rPr>
      </w:pPr>
      <w:bookmarkStart w:id="13" w:name="_Toc15396600"/>
      <w:bookmarkStart w:id="14" w:name="_Toc15377197"/>
      <w:r>
        <w:rPr>
          <w:rFonts w:hint="default" w:ascii="Times New Roman" w:hAnsi="Times New Roman" w:eastAsia="黑体" w:cs="Times New Roman"/>
          <w:kern w:val="2"/>
          <w:sz w:val="32"/>
          <w:szCs w:val="32"/>
        </w:rPr>
        <w:t>一、职能</w:t>
      </w:r>
      <w:bookmarkEnd w:id="13"/>
      <w:bookmarkEnd w:id="14"/>
      <w:r>
        <w:rPr>
          <w:rFonts w:hint="default" w:ascii="Times New Roman" w:hAnsi="Times New Roman" w:eastAsia="黑体" w:cs="Times New Roman"/>
          <w:kern w:val="2"/>
          <w:sz w:val="32"/>
          <w:szCs w:val="32"/>
        </w:rPr>
        <w:t>简介</w:t>
      </w:r>
    </w:p>
    <w:p>
      <w:pPr>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 xml:space="preserve">攀枝花市救助站是市民政局下属全额拨款事业单位，全面贯彻落实《城市生活无着的流浪乞讨人员救助管理办法》、《国务院办公厅关于加强和改进流浪未成年人救助保护工作的意见》等政策和文件要求，为生活无着流浪乞讨人员提供临时食宿、监护照料、急病救治、接领护送、返乡、跨省中转、寻亲服务、教育矫治、未成年人保护等工作，规范实施临时救助政策，实现及时高效，救急解难，切实做好我市救助人员救助保护工作。 </w:t>
      </w:r>
    </w:p>
    <w:p>
      <w:pPr>
        <w:snapToGrid w:val="0"/>
        <w:spacing w:line="520" w:lineRule="exact"/>
        <w:ind w:firstLine="640" w:firstLineChars="200"/>
        <w:rPr>
          <w:rFonts w:hint="eastAsia" w:ascii="Times New Roman" w:hAnsi="Times New Roman" w:eastAsia="黑体" w:cs="Times New Roman"/>
          <w:kern w:val="2"/>
          <w:sz w:val="32"/>
          <w:szCs w:val="32"/>
          <w:lang w:val="zh-CN" w:eastAsia="zh-CN" w:bidi="ar-SA"/>
        </w:rPr>
      </w:pPr>
      <w:bookmarkStart w:id="15" w:name="_Toc15378446"/>
      <w:bookmarkStart w:id="16" w:name="_Toc15377199"/>
      <w:r>
        <w:rPr>
          <w:rFonts w:hint="eastAsia" w:ascii="Times New Roman" w:hAnsi="Times New Roman" w:eastAsia="黑体" w:cs="Times New Roman"/>
          <w:kern w:val="2"/>
          <w:sz w:val="32"/>
          <w:szCs w:val="32"/>
          <w:lang w:val="zh-CN" w:eastAsia="zh-CN" w:bidi="ar-SA"/>
        </w:rPr>
        <w:t>二、机构设置</w:t>
      </w:r>
    </w:p>
    <w:p>
      <w:pPr>
        <w:snapToGrid w:val="0"/>
        <w:spacing w:line="520" w:lineRule="exact"/>
        <w:ind w:firstLine="640" w:firstLineChars="200"/>
        <w:rPr>
          <w:rFonts w:eastAsia="仿宋"/>
          <w:sz w:val="32"/>
          <w:szCs w:val="32"/>
          <w:lang w:val="zh-CN"/>
        </w:rPr>
      </w:pPr>
      <w:r>
        <w:rPr>
          <w:rFonts w:eastAsia="仿宋"/>
          <w:sz w:val="32"/>
          <w:szCs w:val="32"/>
          <w:lang w:val="zh-CN"/>
        </w:rPr>
        <w:t>我站</w:t>
      </w:r>
      <w:r>
        <w:rPr>
          <w:rFonts w:hint="eastAsia" w:eastAsia="仿宋"/>
          <w:sz w:val="32"/>
          <w:szCs w:val="32"/>
          <w:lang w:val="zh-CN"/>
        </w:rPr>
        <w:t>为公益一类全额拨款事业单位，</w:t>
      </w:r>
      <w:r>
        <w:rPr>
          <w:rFonts w:eastAsia="仿宋"/>
          <w:sz w:val="32"/>
          <w:szCs w:val="32"/>
          <w:lang w:val="zh-CN"/>
        </w:rPr>
        <w:t>内设股室：办公室、财务室、业务股、未保股（社会工作股）、安全管理股。</w:t>
      </w:r>
    </w:p>
    <w:p>
      <w:pPr>
        <w:pStyle w:val="2"/>
        <w:keepNext w:val="0"/>
        <w:keepLines w:val="0"/>
        <w:pageBreakBefore w:val="0"/>
        <w:widowControl w:val="0"/>
        <w:kinsoku/>
        <w:wordWrap/>
        <w:overflowPunct/>
        <w:topLinePunct w:val="0"/>
        <w:autoSpaceDE/>
        <w:autoSpaceDN/>
        <w:bidi w:val="0"/>
        <w:adjustRightInd w:val="0"/>
        <w:snapToGrid w:val="0"/>
        <w:spacing w:beforeLines="0" w:line="520" w:lineRule="exact"/>
        <w:ind w:firstLine="640" w:firstLineChars="200"/>
        <w:textAlignment w:val="auto"/>
        <w:outlineLvl w:val="2"/>
        <w:rPr>
          <w:rFonts w:hint="default" w:ascii="Times New Roman" w:hAnsi="Times New Roman" w:eastAsia="黑体" w:cs="Times New Roman"/>
          <w:kern w:val="2"/>
          <w:sz w:val="32"/>
          <w:szCs w:val="32"/>
        </w:rPr>
      </w:pPr>
      <w:r>
        <w:rPr>
          <w:rFonts w:hint="eastAsia" w:ascii="Times New Roman" w:eastAsia="黑体" w:cs="Times New Roman"/>
          <w:kern w:val="2"/>
          <w:sz w:val="32"/>
          <w:szCs w:val="32"/>
          <w:lang w:eastAsia="zh-CN"/>
        </w:rPr>
        <w:t>三</w:t>
      </w:r>
      <w:r>
        <w:rPr>
          <w:rFonts w:hint="default" w:ascii="Times New Roman" w:hAnsi="Times New Roman" w:eastAsia="黑体" w:cs="Times New Roman"/>
          <w:kern w:val="2"/>
          <w:sz w:val="32"/>
          <w:szCs w:val="32"/>
        </w:rPr>
        <w:t>、2021年重点工作完成情况</w:t>
      </w:r>
      <w:bookmarkEnd w:id="15"/>
      <w:bookmarkEnd w:id="16"/>
    </w:p>
    <w:p>
      <w:pPr>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（一）坚持围绕中心，保障机构安全</w:t>
      </w: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zh-CN"/>
        </w:rPr>
        <w:t>围绕市委构建“三个圈层”战略规划，紧扣民政重点工作部署，结合疫情防控、森林草原防灭火、防范化解重大风险隐患等中心工作，全力维护机构、服务对象和干部队伍安全。一是慎终如始抓好疫情防控。坚持“外防输入、内防感染、人物同防”总策略，切实把疫情防控当做头等大事抓细抓实。完成公共区域隔离墙建设，彻底解决与市儿童福利院服务对象公共区域人员交叉隐患；新建疫情防控救助服务点、入站专用通道，严格落实戴口罩、测温、扫码、亮码、核码、一米线、消毒消杀、信息登记、核酸检测、离攀报备等措施，站内设立独立的隔离观察区、入站消毒室、健康检查室等，站外建立临时观察点及备用观察点，全面规范救助人员管理；建立疫情防控每日巡查制度、疫情信息更新制度及微信疫情防控工作群，专人落实相关工作；依据救助管理机构防控指南和上级疫情联防联控机制要求，不断完善站内疫情防控方案和应急预案，并开展针对性防控实操演练2次；强化防疫物资储备、轮换，现有储备量能满足满负荷状态下3个月用量；工作人员（含物业服务人员）、长期滞站托医托养人员全部完成新冠疫苗接种，开展全域专业消毒消杀1次，站内持续保持“零感染”。二是抓实森林草原防灭火及防汛工作。严格落实相关工作要求，加大了防火防汛宣传力度，提高干部职工及服务对象思想意识，强化火源管控，禁止携带打火机等火源进入管理区，及时清理绿化区林下枯叶及配电房周边杂草，</w:t>
      </w:r>
      <w:r>
        <w:rPr>
          <w:rFonts w:hint="eastAsia" w:eastAsia="仿宋_GB2312" w:cs="Times New Roman"/>
          <w:sz w:val="32"/>
          <w:szCs w:val="32"/>
          <w:lang w:val="zh-CN"/>
        </w:rPr>
        <w:t>防患于未然</w:t>
      </w:r>
      <w:r>
        <w:rPr>
          <w:rFonts w:hint="default" w:ascii="Times New Roman" w:hAnsi="Times New Roman" w:eastAsia="仿宋_GB2312" w:cs="Times New Roman"/>
          <w:sz w:val="32"/>
          <w:szCs w:val="32"/>
          <w:lang w:val="zh-CN"/>
        </w:rPr>
        <w:t>。配置防汛沙袋、铁锹、锄头、雨衣、雨靴等防汛装备，制定方案开展3次人员疏散实战演练，加大日常巡检及夜间巡查力度，采购必要生活物资做好应急储备，“双防”期间均未发生重大安全事故。三是防范化解重大风险隐患。修订完善《安全管理制度》《安全工作应急预案》，制定《托养对象探访探视及托养机构安全巡查工作制度》，加强对托养机构的安全检查指导和托养人员的探访探视；建立并落实每日安全巡查制度、站领导带班制度等，做到安全风险隐患早发现、早处置；建立半专业性安全管理队伍，并参加市民政局组织的安全生产专业培训；建设微型消防站2座，配置消防服、呼吸器、应急照明、破拆等装备，提高灭火处置能力；组织开展消防演练2次，邀请消防救援专业人员开展消防讲座1次、消防设备操作现场培训1次，提高应急处突能力；强化食品安全管理，完善洗碗间、操作台、防鼠、冰箱、冰柜等设施设备，规范食品留样、食材采购和储存等流程；强化治安管理，联合东华派出所完成标准化警务室打造工作，并列入其日常固定巡逻点，增添2座装备专用架，进一步加强站内及周边治安管理；协调市机关事务中心将楼顶防水维修工程纳入市政维修范畴，解决房屋漏水可能导致的建筑结构受损隐患。</w:t>
      </w:r>
    </w:p>
    <w:p>
      <w:pPr>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（二）坚持能力建设，提升服务质量</w:t>
      </w: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zh-CN"/>
        </w:rPr>
        <w:t>加快完善和规范内部管理，实施救助管理机构能力提升项目，持续推进救助管理服务质量大提升工作，机构服务能力及服务质量得到显著提升。一是抓好制度建设。先后通过整理梳理、修改补充、上会研究等程序，对全站内部管理制度进行了修订和完善，形成了《攀枝花市救助站内部管理制度汇编》，涵盖党建工作、综合管理、业务工作、职能职责、应急预案五个篇章，共87项，初步形成制度管人、制度管事、制度管物的良好状态。二是提升服务能力。在省级福彩公益金及民政事业发展补助资金的支持下，全年共投入70余万元资金对机构硬件设施进行改造提升，弥补发展短板。现已更新救助专用车1辆，升级改造视频监控系统1套，完成救助管理区域调整及维护维修、消防应急疏散通道改建、标准化警务室打造等项目，购置直饮水机2台，完善未保中心教学、活动设施，改造救助人员食堂设施并增添设施，人员运载、安全管理、站内照料及服务等功能得到进一步提升。三是提升服务质量。严格落实24小时值班值守制度，实行双岗值班；强化车票管理，采取电子购票、非实体车票、护送上车等措施，大力遏制职业“跑站”现象；发挥好跨省救助中转站职能，加大与周边站及云南、广西两省救助机构的工作协调，切实做好信息核实、接领护送等业务工作；建立托养机构及托养对象安全巡查及探访探视工作制度，定期开展巡查和探访，将2名原托养在民营精神卫生机构的救助人员转移至公办精神卫生机构，履行好监管职责；建立常态化街面巡查劝导救助工作制度，以“大爱四川•情满救助——寒冬送温暖、夏季送清凉”专项活动、“我为群众办实事”实践活动以及市域社会现代化治理工作为载体，切实加大生活无着流浪乞讨人员的街面劝导救助及主动搜寻救助工作力度，尽最大努力避免极端事件的发生。截至</w:t>
      </w:r>
      <w:r>
        <w:rPr>
          <w:rFonts w:hint="default" w:ascii="Times New Roman" w:hAnsi="Times New Roman" w:eastAsia="仿宋_GB2312" w:cs="Times New Roman"/>
          <w:sz w:val="32"/>
          <w:szCs w:val="32"/>
          <w:lang w:val="en-US" w:eastAsia="zh-CN"/>
        </w:rPr>
        <w:t>2021年底</w:t>
      </w:r>
      <w:r>
        <w:rPr>
          <w:rFonts w:hint="default" w:ascii="Times New Roman" w:hAnsi="Times New Roman" w:eastAsia="仿宋_GB2312" w:cs="Times New Roman"/>
          <w:sz w:val="32"/>
          <w:szCs w:val="32"/>
          <w:lang w:val="zh-CN"/>
        </w:rPr>
        <w:t>，共救助流浪乞讨人员等困难群众473人，其中精神障碍</w:t>
      </w:r>
      <w:r>
        <w:rPr>
          <w:rFonts w:hint="default" w:ascii="Times New Roman" w:hAnsi="Times New Roman" w:eastAsia="仿宋_GB2312" w:cs="Times New Roman"/>
          <w:sz w:val="32"/>
          <w:szCs w:val="32"/>
          <w:lang w:val="zh-CN" w:eastAsia="zh-CN"/>
        </w:rPr>
        <w:t>患者</w:t>
      </w:r>
      <w:r>
        <w:rPr>
          <w:rFonts w:hint="default" w:ascii="Times New Roman" w:hAnsi="Times New Roman" w:eastAsia="仿宋_GB2312" w:cs="Times New Roman"/>
          <w:sz w:val="32"/>
          <w:szCs w:val="32"/>
          <w:lang w:val="zh-CN"/>
        </w:rPr>
        <w:t>72人、残疾人59人、未成年人25人，送医救治35人，接领护送返乡201人；共开展攀籍返乡流浪人员回访30余次（含电话回访），街面主动救助220次，出动巡查人员870人次、车辆260台次，劝导流浪乞讨和露宿人员66人次，发放御寒衣物、食品、饮水等物资价值1万余元。</w:t>
      </w:r>
    </w:p>
    <w:p>
      <w:pPr>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br w:type="page"/>
      </w:r>
    </w:p>
    <w:p>
      <w:pPr>
        <w:pStyle w:val="3"/>
        <w:ind w:right="440"/>
        <w:jc w:val="right"/>
        <w:rPr>
          <w:rStyle w:val="17"/>
          <w:rFonts w:hint="default" w:ascii="Times New Roman" w:hAnsi="Times New Roman" w:eastAsia="黑体" w:cs="Times New Roman"/>
          <w:b w:val="0"/>
          <w:bCs w:val="0"/>
        </w:rPr>
      </w:pPr>
      <w:bookmarkStart w:id="17" w:name="_Toc15377204"/>
      <w:bookmarkStart w:id="18" w:name="_Toc15396602"/>
      <w:r>
        <w:rPr>
          <w:rFonts w:hint="default" w:ascii="Times New Roman" w:hAnsi="Times New Roman" w:eastAsia="黑体" w:cs="Times New Roman"/>
          <w:b w:val="0"/>
          <w:bCs w:val="0"/>
          <w:color w:val="000000"/>
        </w:rPr>
        <w:t>第二部分</w:t>
      </w:r>
      <w:r>
        <w:rPr>
          <w:rStyle w:val="17"/>
          <w:rFonts w:hint="default" w:ascii="Times New Roman" w:hAnsi="Times New Roman" w:eastAsia="黑体" w:cs="Times New Roman"/>
          <w:b w:val="0"/>
          <w:bCs w:val="0"/>
        </w:rPr>
        <w:t>2021年度单位决算情况说明</w:t>
      </w:r>
      <w:bookmarkEnd w:id="17"/>
      <w:bookmarkEnd w:id="18"/>
    </w:p>
    <w:p>
      <w:pPr>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val="0"/>
        <w:snapToGrid w:val="0"/>
        <w:spacing w:beforeLines="0" w:line="520" w:lineRule="exact"/>
        <w:ind w:firstLine="640" w:firstLineChars="200"/>
        <w:textAlignment w:val="auto"/>
        <w:outlineLvl w:val="2"/>
        <w:rPr>
          <w:rFonts w:hint="default" w:ascii="Times New Roman" w:hAnsi="Times New Roman" w:eastAsia="黑体" w:cs="Times New Roman"/>
          <w:kern w:val="2"/>
          <w:sz w:val="32"/>
          <w:szCs w:val="32"/>
        </w:rPr>
      </w:pPr>
      <w:bookmarkStart w:id="19" w:name="_Toc15377205"/>
      <w:bookmarkStart w:id="20" w:name="_Toc15396603"/>
      <w:r>
        <w:rPr>
          <w:rFonts w:hint="default" w:ascii="Times New Roman" w:hAnsi="Times New Roman" w:eastAsia="黑体" w:cs="Times New Roman"/>
          <w:kern w:val="2"/>
          <w:sz w:val="32"/>
          <w:szCs w:val="32"/>
          <w:lang w:eastAsia="zh-CN"/>
        </w:rPr>
        <w:t>一、</w:t>
      </w:r>
      <w:r>
        <w:rPr>
          <w:rFonts w:hint="default" w:ascii="Times New Roman" w:hAnsi="Times New Roman" w:eastAsia="黑体" w:cs="Times New Roman"/>
          <w:kern w:val="2"/>
          <w:sz w:val="32"/>
          <w:szCs w:val="32"/>
        </w:rPr>
        <w:t>收入支出决算总体情况说明</w:t>
      </w:r>
      <w:bookmarkEnd w:id="19"/>
      <w:bookmarkEnd w:id="20"/>
    </w:p>
    <w:p>
      <w:pPr>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2021年度收、支总计1041.25万元，年初结转结余38.75万元。与2020年相比，收入减少了43.22万元，下降7.94%；支出增加51.22万元，增长10.48%。主要变动原因是2021年财政压减了收入，项目支出经费增加。</w:t>
      </w:r>
    </w:p>
    <w:p>
      <w:pPr>
        <w:spacing w:line="600" w:lineRule="exac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drawing>
          <wp:anchor distT="0" distB="0" distL="114300" distR="114300" simplePos="0" relativeHeight="251660288" behindDoc="0" locked="0" layoutInCell="1" allowOverlap="1">
            <wp:simplePos x="0" y="0"/>
            <wp:positionH relativeFrom="column">
              <wp:posOffset>200025</wp:posOffset>
            </wp:positionH>
            <wp:positionV relativeFrom="paragraph">
              <wp:posOffset>115570</wp:posOffset>
            </wp:positionV>
            <wp:extent cx="5000625" cy="3000375"/>
            <wp:effectExtent l="19050" t="19050" r="28575" b="28575"/>
            <wp:wrapNone/>
            <wp:docPr id="17" name="图表 1" descr="clip_pic"/>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表 1" descr="clip_pic"/>
                    <pic:cNvPicPr>
                      <a:picLocks noChangeAspect="true" noChangeArrowheads="true"/>
                    </pic:cNvPicPr>
                  </pic:nvPicPr>
                  <pic:blipFill>
                    <a:blip r:embed="rId12"/>
                    <a:srcRect/>
                    <a:stretch>
                      <a:fillRect/>
                    </a:stretch>
                  </pic:blipFill>
                  <pic:spPr>
                    <a:xfrm>
                      <a:off x="0" y="0"/>
                      <a:ext cx="5000625" cy="3000375"/>
                    </a:xfrm>
                    <a:prstGeom prst="rect">
                      <a:avLst/>
                    </a:prstGeom>
                    <a:solidFill>
                      <a:srgbClr val="FFFFFF"/>
                    </a:solidFill>
                    <a:ln w="9525">
                      <a:solidFill>
                        <a:srgbClr val="000000"/>
                      </a:solidFill>
                      <a:miter lim="800000"/>
                      <a:headEnd/>
                      <a:tailEnd/>
                    </a:ln>
                    <a:effectLst/>
                  </pic:spPr>
                </pic:pic>
              </a:graphicData>
            </a:graphic>
          </wp:anchor>
        </w:drawing>
      </w: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spacing w:line="600" w:lineRule="exact"/>
        <w:jc w:val="both"/>
        <w:rPr>
          <w:rFonts w:hint="default" w:ascii="Times New Roman" w:hAnsi="Times New Roman" w:eastAsia="仿宋" w:cs="Times New Roman"/>
          <w:color w:val="000000"/>
          <w:sz w:val="32"/>
          <w:szCs w:val="32"/>
        </w:rPr>
      </w:pPr>
    </w:p>
    <w:p>
      <w:pPr>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图1：收、支决算总计变动情况图</w:t>
      </w:r>
      <w:r>
        <w:rPr>
          <w:rFonts w:hint="default" w:ascii="Times New Roman" w:hAnsi="Times New Roman" w:eastAsia="仿宋_GB2312" w:cs="Times New Roman"/>
          <w:sz w:val="32"/>
          <w:szCs w:val="32"/>
          <w:lang w:val="zh-CN" w:eastAsia="zh-CN"/>
        </w:rPr>
        <w:t>（单位：万元</w:t>
      </w:r>
      <w:r>
        <w:rPr>
          <w:rFonts w:hint="default" w:ascii="Times New Roman" w:hAnsi="Times New Roman" w:eastAsia="仿宋_GB2312" w:cs="Times New Roman"/>
          <w:sz w:val="32"/>
          <w:szCs w:val="32"/>
          <w:lang w:val="zh-CN"/>
        </w:rPr>
        <w:t>）</w:t>
      </w:r>
    </w:p>
    <w:p>
      <w:pPr>
        <w:pStyle w:val="23"/>
        <w:numPr>
          <w:ilvl w:val="0"/>
          <w:numId w:val="0"/>
        </w:numPr>
        <w:spacing w:line="600" w:lineRule="exact"/>
        <w:ind w:left="640" w:leftChars="0"/>
        <w:outlineLvl w:val="1"/>
        <w:rPr>
          <w:rFonts w:hint="default" w:ascii="Times New Roman" w:hAnsi="Times New Roman" w:eastAsia="黑体" w:cs="Times New Roman"/>
          <w:kern w:val="2"/>
          <w:sz w:val="32"/>
          <w:szCs w:val="32"/>
          <w:lang w:val="zh-CN" w:eastAsia="zh-CN" w:bidi="ar-SA"/>
        </w:rPr>
      </w:pPr>
      <w:bookmarkStart w:id="21" w:name="_Toc15377206"/>
      <w:bookmarkStart w:id="22" w:name="_Toc15396604"/>
      <w:r>
        <w:rPr>
          <w:rFonts w:hint="default" w:ascii="Times New Roman" w:hAnsi="Times New Roman" w:eastAsia="黑体" w:cs="Times New Roman"/>
          <w:kern w:val="2"/>
          <w:sz w:val="32"/>
          <w:szCs w:val="32"/>
          <w:lang w:val="zh-CN" w:eastAsia="zh-CN" w:bidi="ar-SA"/>
        </w:rPr>
        <w:t>二、收入决算情况说明</w:t>
      </w:r>
      <w:bookmarkEnd w:id="21"/>
      <w:bookmarkEnd w:id="22"/>
    </w:p>
    <w:p>
      <w:pPr>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2021年本年收入合计501.25万元，其中：一般公共预算财政拨款收入501.25万元，占100%；政府性基金预算财政拨款收入0万元，占0%；国有资本经营预算财政拨款收入0万元，占0%；上级补助收入0万元，占0%；事业收入0万元，占0%；经营收入0万元，占0%；附属单位上缴收入0万元，占0%；其他收入0万元，占0%。</w:t>
      </w:r>
    </w:p>
    <w:p>
      <w:pPr>
        <w:rPr>
          <w:rFonts w:hint="default" w:ascii="Times New Roman" w:hAnsi="Times New Roman" w:eastAsia="仿宋" w:cs="Times New Roman"/>
          <w:sz w:val="32"/>
          <w:szCs w:val="32"/>
        </w:rPr>
      </w:pPr>
      <w:r>
        <w:rPr>
          <w:rFonts w:hint="default" w:ascii="Times New Roman" w:hAnsi="Times New Roman" w:cs="Times New Roman"/>
        </w:rPr>
        <w:drawing>
          <wp:inline distT="0" distB="0" distL="0" distR="0">
            <wp:extent cx="5274310" cy="3076575"/>
            <wp:effectExtent l="19050" t="0" r="21590" b="0"/>
            <wp:docPr id="2"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720"/>
        <w:jc w:val="center"/>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图2：收入决算结构图</w:t>
      </w:r>
    </w:p>
    <w:p>
      <w:pPr>
        <w:pStyle w:val="23"/>
        <w:numPr>
          <w:ilvl w:val="0"/>
          <w:numId w:val="0"/>
        </w:numPr>
        <w:spacing w:line="600" w:lineRule="exact"/>
        <w:ind w:left="640" w:leftChars="0"/>
        <w:outlineLvl w:val="1"/>
        <w:rPr>
          <w:rFonts w:hint="default" w:ascii="Times New Roman" w:hAnsi="Times New Roman" w:eastAsia="黑体" w:cs="Times New Roman"/>
          <w:kern w:val="2"/>
          <w:sz w:val="32"/>
          <w:szCs w:val="32"/>
          <w:lang w:val="zh-CN" w:eastAsia="zh-CN" w:bidi="ar-SA"/>
        </w:rPr>
      </w:pPr>
      <w:bookmarkStart w:id="23" w:name="_Toc15396605"/>
      <w:bookmarkStart w:id="24" w:name="_Toc15377207"/>
      <w:r>
        <w:rPr>
          <w:rFonts w:hint="default" w:ascii="Times New Roman" w:hAnsi="Times New Roman" w:eastAsia="黑体" w:cs="Times New Roman"/>
          <w:kern w:val="2"/>
          <w:sz w:val="32"/>
          <w:szCs w:val="32"/>
          <w:lang w:val="zh-CN" w:eastAsia="zh-CN" w:bidi="ar-SA"/>
        </w:rPr>
        <w:t>三、支出决算情况说明</w:t>
      </w:r>
      <w:bookmarkEnd w:id="23"/>
      <w:bookmarkEnd w:id="24"/>
    </w:p>
    <w:p>
      <w:pPr>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2021年本年支出合计540万元，其中：基本支出309.99万元，占57.41%；项目支出230.01万元，占42.59%；上缴上级支出0万元，占0%；经营支出0万元，占0%；对附属单位补助支出0万元，占0%。</w:t>
      </w:r>
    </w:p>
    <w:p>
      <w:pPr>
        <w:jc w:val="center"/>
        <w:rPr>
          <w:rFonts w:hint="default" w:ascii="Times New Roman" w:hAnsi="Times New Roman" w:cs="Times New Roman"/>
        </w:rPr>
      </w:pPr>
      <w:r>
        <w:rPr>
          <w:rFonts w:hint="default" w:ascii="Times New Roman" w:hAnsi="Times New Roman" w:cs="Times New Roman"/>
        </w:rPr>
        <w:drawing>
          <wp:anchor distT="0" distB="0" distL="0" distR="0" simplePos="0" relativeHeight="251661312" behindDoc="0" locked="0" layoutInCell="1" allowOverlap="1">
            <wp:simplePos x="0" y="0"/>
            <wp:positionH relativeFrom="column">
              <wp:posOffset>554990</wp:posOffset>
            </wp:positionH>
            <wp:positionV relativeFrom="paragraph">
              <wp:posOffset>34925</wp:posOffset>
            </wp:positionV>
            <wp:extent cx="4011295" cy="2118995"/>
            <wp:effectExtent l="4445" t="4445" r="22860" b="10160"/>
            <wp:wrapNone/>
            <wp:docPr id="3"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spacing w:line="600" w:lineRule="exact"/>
        <w:ind w:firstLine="720"/>
        <w:jc w:val="center"/>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图3：支出决算结构图</w:t>
      </w:r>
    </w:p>
    <w:p>
      <w:pPr>
        <w:spacing w:line="600" w:lineRule="exact"/>
        <w:ind w:firstLine="640" w:firstLineChars="200"/>
        <w:outlineLvl w:val="1"/>
        <w:rPr>
          <w:rStyle w:val="18"/>
          <w:rFonts w:hint="default" w:ascii="Times New Roman" w:hAnsi="Times New Roman" w:eastAsia="黑体" w:cs="Times New Roman"/>
          <w:b w:val="0"/>
        </w:rPr>
      </w:pPr>
      <w:bookmarkStart w:id="25" w:name="_Toc15377208"/>
      <w:bookmarkStart w:id="26" w:name="_Toc15396606"/>
      <w:r>
        <w:rPr>
          <w:rFonts w:hint="default" w:ascii="Times New Roman" w:hAnsi="Times New Roman" w:eastAsia="黑体" w:cs="Times New Roman"/>
          <w:color w:val="000000"/>
          <w:sz w:val="32"/>
          <w:szCs w:val="32"/>
        </w:rPr>
        <w:t>四、财</w:t>
      </w:r>
      <w:r>
        <w:rPr>
          <w:rStyle w:val="18"/>
          <w:rFonts w:hint="default" w:ascii="Times New Roman" w:hAnsi="Times New Roman" w:eastAsia="黑体" w:cs="Times New Roman"/>
          <w:b w:val="0"/>
        </w:rPr>
        <w:t>政拨款收入支出决算总体情况说明</w:t>
      </w:r>
      <w:bookmarkEnd w:id="25"/>
      <w:bookmarkEnd w:id="26"/>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2021年度财政拨款收、支总计1041.25万元，年初结转结余38.75万元。与2020年相比，财政拨款收入减少了43.22万元，下降7.93%；支出增加51.22万元，增长10.48%。主要变动原因是2021年财政压减了收入，项目经费增加</w:t>
      </w:r>
      <w:r>
        <w:rPr>
          <w:rFonts w:hint="default" w:ascii="Times New Roman" w:hAnsi="Times New Roman" w:eastAsia="仿宋" w:cs="Times New Roman"/>
          <w:sz w:val="32"/>
          <w:szCs w:val="32"/>
        </w:rPr>
        <w:t>。</w:t>
      </w:r>
    </w:p>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drawing>
          <wp:inline distT="0" distB="0" distL="0" distR="0">
            <wp:extent cx="4876800" cy="3009900"/>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Start w:id="27" w:name="_Toc15377209"/>
      <w:bookmarkStart w:id="28" w:name="_Toc15396607"/>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图4：财政拨款收、支决算总计变动情况</w:t>
      </w:r>
      <w:r>
        <w:rPr>
          <w:rFonts w:hint="default" w:ascii="Times New Roman" w:hAnsi="Times New Roman" w:eastAsia="仿宋_GB2312" w:cs="Times New Roman"/>
          <w:color w:val="000000"/>
          <w:sz w:val="32"/>
          <w:szCs w:val="32"/>
          <w:lang w:eastAsia="zh-CN"/>
        </w:rPr>
        <w:t>（单位：万元</w:t>
      </w:r>
      <w:r>
        <w:rPr>
          <w:rFonts w:hint="default" w:ascii="Times New Roman" w:hAnsi="Times New Roman" w:eastAsia="仿宋_GB2312" w:cs="Times New Roman"/>
          <w:color w:val="000000"/>
          <w:sz w:val="32"/>
          <w:szCs w:val="32"/>
        </w:rPr>
        <w:t>）</w:t>
      </w:r>
    </w:p>
    <w:p>
      <w:pPr>
        <w:spacing w:line="600" w:lineRule="exact"/>
        <w:ind w:firstLine="640" w:firstLineChars="200"/>
        <w:outlineLvl w:val="1"/>
        <w:rPr>
          <w:rStyle w:val="18"/>
          <w:rFonts w:hint="default" w:ascii="Times New Roman" w:hAnsi="Times New Roman" w:eastAsia="黑体" w:cs="Times New Roman"/>
          <w:b w:val="0"/>
        </w:rPr>
      </w:pPr>
      <w:r>
        <w:rPr>
          <w:rFonts w:hint="default" w:ascii="Times New Roman" w:hAnsi="Times New Roman" w:eastAsia="黑体" w:cs="Times New Roman"/>
          <w:color w:val="000000"/>
          <w:sz w:val="32"/>
          <w:szCs w:val="32"/>
        </w:rPr>
        <w:t>五、</w:t>
      </w:r>
      <w:r>
        <w:rPr>
          <w:rFonts w:hint="default" w:ascii="Times New Roman" w:hAnsi="Times New Roman" w:eastAsia="黑体" w:cs="Times New Roman"/>
          <w:b/>
          <w:color w:val="000000"/>
          <w:sz w:val="32"/>
          <w:szCs w:val="32"/>
        </w:rPr>
        <w:t>一</w:t>
      </w:r>
      <w:r>
        <w:rPr>
          <w:rStyle w:val="18"/>
          <w:rFonts w:hint="default" w:ascii="Times New Roman" w:hAnsi="Times New Roman" w:eastAsia="黑体" w:cs="Times New Roman"/>
          <w:b w:val="0"/>
        </w:rPr>
        <w:t>般公共预算财政拨款支出决算情况说明</w:t>
      </w:r>
      <w:bookmarkEnd w:id="27"/>
      <w:bookmarkEnd w:id="28"/>
    </w:p>
    <w:p>
      <w:pPr>
        <w:pStyle w:val="2"/>
        <w:keepNext w:val="0"/>
        <w:keepLines w:val="0"/>
        <w:pageBreakBefore w:val="0"/>
        <w:widowControl w:val="0"/>
        <w:kinsoku/>
        <w:wordWrap/>
        <w:overflowPunct/>
        <w:topLinePunct w:val="0"/>
        <w:autoSpaceDE/>
        <w:autoSpaceDN/>
        <w:bidi w:val="0"/>
        <w:adjustRightInd w:val="0"/>
        <w:snapToGrid w:val="0"/>
        <w:spacing w:beforeLines="0" w:line="520" w:lineRule="exact"/>
        <w:ind w:firstLine="642" w:firstLineChars="200"/>
        <w:textAlignment w:val="auto"/>
        <w:outlineLvl w:val="2"/>
        <w:rPr>
          <w:rFonts w:hint="default" w:ascii="Times New Roman" w:hAnsi="Times New Roman" w:eastAsia="楷体_GB2312" w:cs="Times New Roman"/>
          <w:b/>
          <w:bCs w:val="0"/>
          <w:color w:val="000000"/>
          <w:sz w:val="32"/>
          <w:szCs w:val="32"/>
          <w:lang w:val="zh-CN" w:eastAsia="zh-CN"/>
        </w:rPr>
      </w:pPr>
      <w:bookmarkStart w:id="29" w:name="_Toc15377210"/>
      <w:r>
        <w:rPr>
          <w:rFonts w:hint="default" w:ascii="Times New Roman" w:hAnsi="Times New Roman" w:eastAsia="楷体_GB2312" w:cs="Times New Roman"/>
          <w:b/>
          <w:bCs w:val="0"/>
          <w:color w:val="000000"/>
          <w:sz w:val="32"/>
          <w:szCs w:val="32"/>
          <w:lang w:val="zh-CN" w:eastAsia="zh-CN"/>
        </w:rPr>
        <w:t>（一）一般公共预算财政拨款支出决算总体情况</w:t>
      </w:r>
      <w:bookmarkEnd w:id="29"/>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2021年一般公共预算财政拨款支出530.66万元，占本年支出合计的98.27%。与2020年相比，一般公共预算财政拨款支出增加58.51万元，增长12.39%。主要变动原因是流浪乞讨人员救助支出增加。</w:t>
      </w:r>
    </w:p>
    <w:p>
      <w:pPr>
        <w:jc w:val="center"/>
        <w:rPr>
          <w:rFonts w:hint="default" w:ascii="Times New Roman" w:hAnsi="Times New Roman" w:eastAsia="仿宋_GB2312" w:cs="Times New Roman"/>
        </w:rPr>
      </w:pPr>
      <w:bookmarkStart w:id="30" w:name="_Toc15377211"/>
      <w:r>
        <w:rPr>
          <w:rFonts w:hint="default" w:ascii="Times New Roman" w:hAnsi="Times New Roman" w:cs="Times New Roman"/>
        </w:rPr>
        <w:drawing>
          <wp:inline distT="0" distB="0" distL="0" distR="0">
            <wp:extent cx="5267325" cy="3238500"/>
            <wp:effectExtent l="4445" t="4445" r="5080" b="14605"/>
            <wp:docPr id="5"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hint="default" w:ascii="Times New Roman" w:hAnsi="Times New Roman" w:eastAsia="仿宋_GB2312" w:cs="Times New Roman"/>
          <w:color w:val="000000"/>
          <w:spacing w:val="-20"/>
          <w:sz w:val="32"/>
          <w:szCs w:val="32"/>
        </w:rPr>
        <w:t>图5：一般公共预算财政拨款支出决算变动情况</w:t>
      </w:r>
      <w:r>
        <w:rPr>
          <w:rFonts w:hint="default" w:ascii="Times New Roman" w:hAnsi="Times New Roman" w:eastAsia="仿宋_GB2312" w:cs="Times New Roman"/>
          <w:color w:val="000000"/>
          <w:spacing w:val="-20"/>
          <w:sz w:val="32"/>
          <w:szCs w:val="32"/>
          <w:lang w:eastAsia="zh-CN"/>
        </w:rPr>
        <w:t>（单位：万元</w:t>
      </w:r>
      <w:r>
        <w:rPr>
          <w:rFonts w:hint="default" w:ascii="Times New Roman" w:hAnsi="Times New Roman" w:eastAsia="仿宋_GB2312" w:cs="Times New Roman"/>
          <w:color w:val="000000"/>
          <w:spacing w:val="-20"/>
          <w:sz w:val="32"/>
          <w:szCs w:val="32"/>
        </w:rPr>
        <w:t>）</w:t>
      </w:r>
    </w:p>
    <w:p>
      <w:pPr>
        <w:pStyle w:val="2"/>
        <w:keepNext w:val="0"/>
        <w:keepLines w:val="0"/>
        <w:pageBreakBefore w:val="0"/>
        <w:widowControl w:val="0"/>
        <w:kinsoku/>
        <w:wordWrap/>
        <w:overflowPunct/>
        <w:topLinePunct w:val="0"/>
        <w:autoSpaceDE/>
        <w:autoSpaceDN/>
        <w:bidi w:val="0"/>
        <w:adjustRightInd w:val="0"/>
        <w:snapToGrid w:val="0"/>
        <w:spacing w:beforeLines="0" w:line="520" w:lineRule="exact"/>
        <w:ind w:firstLine="642" w:firstLineChars="200"/>
        <w:textAlignment w:val="auto"/>
        <w:outlineLvl w:val="2"/>
        <w:rPr>
          <w:rFonts w:hint="default" w:ascii="Times New Roman" w:hAnsi="Times New Roman" w:eastAsia="楷体_GB2312" w:cs="Times New Roman"/>
          <w:b/>
          <w:bCs w:val="0"/>
          <w:color w:val="000000"/>
          <w:sz w:val="32"/>
          <w:szCs w:val="32"/>
          <w:lang w:val="zh-CN" w:eastAsia="zh-CN"/>
        </w:rPr>
      </w:pPr>
      <w:r>
        <w:rPr>
          <w:rFonts w:hint="default" w:ascii="Times New Roman" w:hAnsi="Times New Roman" w:eastAsia="楷体_GB2312" w:cs="Times New Roman"/>
          <w:b/>
          <w:bCs w:val="0"/>
          <w:color w:val="000000"/>
          <w:sz w:val="32"/>
          <w:szCs w:val="32"/>
          <w:lang w:val="zh-CN" w:eastAsia="zh-CN"/>
        </w:rPr>
        <w:t>（二）一般公共预算财政拨款支出决算结构情况</w:t>
      </w:r>
      <w:bookmarkEnd w:id="30"/>
    </w:p>
    <w:p>
      <w:pPr>
        <w:spacing w:line="600" w:lineRule="exact"/>
        <w:ind w:firstLine="64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sz w:val="32"/>
          <w:szCs w:val="32"/>
        </w:rPr>
        <w:t>2021年一般公共预算财政拨款支出530.66万元，主要用于以下方面:</w:t>
      </w:r>
      <w:r>
        <w:rPr>
          <w:rFonts w:hint="default" w:ascii="Times New Roman" w:hAnsi="Times New Roman" w:eastAsia="仿宋_GB2312" w:cs="Times New Roman"/>
          <w:b/>
          <w:color w:val="000000"/>
          <w:sz w:val="32"/>
          <w:szCs w:val="32"/>
        </w:rPr>
        <w:t>社会保障和就业（类）</w:t>
      </w:r>
      <w:r>
        <w:rPr>
          <w:rFonts w:hint="default" w:ascii="Times New Roman" w:hAnsi="Times New Roman" w:eastAsia="仿宋_GB2312" w:cs="Times New Roman"/>
          <w:color w:val="000000"/>
          <w:sz w:val="32"/>
          <w:szCs w:val="32"/>
        </w:rPr>
        <w:t>支出510.82万元，占96.26%；</w:t>
      </w:r>
      <w:r>
        <w:rPr>
          <w:rFonts w:hint="default" w:ascii="Times New Roman" w:hAnsi="Times New Roman" w:eastAsia="仿宋_GB2312" w:cs="Times New Roman"/>
          <w:b/>
          <w:color w:val="000000"/>
          <w:sz w:val="32"/>
          <w:szCs w:val="32"/>
        </w:rPr>
        <w:t>住房保障（类）</w:t>
      </w:r>
      <w:r>
        <w:rPr>
          <w:rFonts w:hint="default" w:ascii="Times New Roman" w:hAnsi="Times New Roman" w:eastAsia="仿宋_GB2312" w:cs="Times New Roman"/>
          <w:color w:val="000000"/>
          <w:sz w:val="32"/>
          <w:szCs w:val="32"/>
        </w:rPr>
        <w:t>支出19.84万元，占3.74%。</w:t>
      </w:r>
    </w:p>
    <w:p>
      <w:pPr>
        <w:rPr>
          <w:rFonts w:hint="default" w:ascii="Times New Roman" w:hAnsi="Times New Roman" w:cs="Times New Roman"/>
        </w:rPr>
      </w:pPr>
      <w:r>
        <w:rPr>
          <w:rFonts w:hint="default" w:ascii="Times New Roman" w:hAnsi="Times New Roman" w:cs="Times New Roman"/>
        </w:rPr>
        <w:drawing>
          <wp:inline distT="0" distB="0" distL="0" distR="0">
            <wp:extent cx="5274310" cy="3076575"/>
            <wp:effectExtent l="0" t="0" r="0" b="0"/>
            <wp:docPr id="6"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line="600" w:lineRule="exact"/>
        <w:jc w:val="center"/>
        <w:rPr>
          <w:rFonts w:hint="default" w:ascii="Times New Roman" w:hAnsi="Times New Roman" w:eastAsia="仿宋_GB2312" w:cs="Times New Roman"/>
        </w:rPr>
      </w:pPr>
      <w:r>
        <w:rPr>
          <w:rFonts w:hint="default" w:ascii="Times New Roman" w:hAnsi="Times New Roman" w:eastAsia="仿宋_GB2312" w:cs="Times New Roman"/>
          <w:color w:val="000000"/>
          <w:sz w:val="32"/>
          <w:szCs w:val="32"/>
        </w:rPr>
        <w:t>图6：一般公共预算财政拨款支出决算结构</w:t>
      </w:r>
    </w:p>
    <w:p>
      <w:pPr>
        <w:pStyle w:val="2"/>
        <w:keepNext w:val="0"/>
        <w:keepLines w:val="0"/>
        <w:pageBreakBefore w:val="0"/>
        <w:widowControl w:val="0"/>
        <w:kinsoku/>
        <w:wordWrap/>
        <w:overflowPunct/>
        <w:topLinePunct w:val="0"/>
        <w:autoSpaceDE/>
        <w:autoSpaceDN/>
        <w:bidi w:val="0"/>
        <w:adjustRightInd w:val="0"/>
        <w:snapToGrid w:val="0"/>
        <w:spacing w:beforeLines="0" w:line="520" w:lineRule="exact"/>
        <w:ind w:firstLine="642" w:firstLineChars="200"/>
        <w:textAlignment w:val="auto"/>
        <w:outlineLvl w:val="2"/>
        <w:rPr>
          <w:rFonts w:hint="default" w:ascii="Times New Roman" w:hAnsi="Times New Roman" w:eastAsia="楷体_GB2312" w:cs="Times New Roman"/>
          <w:b/>
          <w:bCs w:val="0"/>
          <w:color w:val="000000"/>
          <w:sz w:val="32"/>
          <w:szCs w:val="32"/>
          <w:lang w:val="zh-CN" w:eastAsia="zh-CN"/>
        </w:rPr>
      </w:pPr>
      <w:bookmarkStart w:id="31" w:name="_Toc15377212"/>
      <w:r>
        <w:rPr>
          <w:rFonts w:hint="default" w:ascii="Times New Roman" w:hAnsi="Times New Roman" w:eastAsia="楷体_GB2312" w:cs="Times New Roman"/>
          <w:b/>
          <w:bCs w:val="0"/>
          <w:color w:val="000000"/>
          <w:sz w:val="32"/>
          <w:szCs w:val="32"/>
          <w:lang w:val="zh-CN" w:eastAsia="zh-CN"/>
        </w:rPr>
        <w:t>（三）一般公共预算财政拨款支出决算具体情况</w:t>
      </w:r>
      <w:bookmarkEnd w:id="31"/>
    </w:p>
    <w:p>
      <w:pPr>
        <w:spacing w:line="600" w:lineRule="exact"/>
        <w:ind w:firstLine="640" w:firstLineChars="200"/>
        <w:outlineLvl w:val="2"/>
        <w:rPr>
          <w:rStyle w:val="15"/>
          <w:rFonts w:hint="default" w:ascii="Times New Roman" w:hAnsi="Times New Roman" w:eastAsia="仿宋_GB2312" w:cs="Times New Roman"/>
          <w:b w:val="0"/>
          <w:bCs/>
          <w:color w:val="000000"/>
          <w:sz w:val="32"/>
          <w:szCs w:val="32"/>
        </w:rPr>
      </w:pPr>
      <w:bookmarkStart w:id="32" w:name="_Toc15377444"/>
      <w:bookmarkStart w:id="33" w:name="_Toc15378460"/>
      <w:bookmarkStart w:id="34" w:name="_Toc15377213"/>
      <w:r>
        <w:rPr>
          <w:rFonts w:hint="default" w:ascii="Times New Roman" w:hAnsi="Times New Roman" w:eastAsia="仿宋_GB2312" w:cs="Times New Roman"/>
          <w:color w:val="000000"/>
          <w:sz w:val="32"/>
          <w:szCs w:val="32"/>
        </w:rPr>
        <w:t>2021年一般公共预算支出决算数为530.66万元，</w:t>
      </w:r>
      <w:r>
        <w:rPr>
          <w:rStyle w:val="15"/>
          <w:rFonts w:hint="default" w:ascii="Times New Roman" w:hAnsi="Times New Roman" w:eastAsia="仿宋_GB2312" w:cs="Times New Roman"/>
          <w:b w:val="0"/>
          <w:bCs/>
          <w:color w:val="000000"/>
          <w:sz w:val="32"/>
          <w:szCs w:val="32"/>
        </w:rPr>
        <w:t>完成预算100%。其中：</w:t>
      </w:r>
      <w:bookmarkEnd w:id="32"/>
      <w:bookmarkEnd w:id="33"/>
      <w:bookmarkEnd w:id="34"/>
    </w:p>
    <w:p>
      <w:pPr>
        <w:spacing w:line="600" w:lineRule="exact"/>
        <w:ind w:firstLine="640" w:firstLineChars="200"/>
        <w:rPr>
          <w:rFonts w:hint="default" w:ascii="Times New Roman" w:hAnsi="Times New Roman" w:eastAsia="仿宋_GB2312" w:cs="Times New Roman"/>
          <w:bCs/>
          <w:color w:val="000000"/>
          <w:sz w:val="32"/>
          <w:szCs w:val="32"/>
        </w:rPr>
      </w:pPr>
      <w:r>
        <w:rPr>
          <w:rStyle w:val="15"/>
          <w:rFonts w:hint="default" w:ascii="Times New Roman" w:hAnsi="Times New Roman" w:eastAsia="仿宋_GB2312" w:cs="Times New Roman"/>
          <w:b w:val="0"/>
          <w:bCs/>
          <w:color w:val="000000"/>
          <w:sz w:val="32"/>
          <w:szCs w:val="32"/>
        </w:rPr>
        <w:t>1.社会保障和就业（类）人力资源和社会保障管理事务（款）其他人力资源和社会保障管理事务支出（项）：支出决算为5.2万元，完成预算100%，决算数等于预算数。</w:t>
      </w:r>
    </w:p>
    <w:p>
      <w:pPr>
        <w:spacing w:line="600" w:lineRule="exact"/>
        <w:ind w:firstLine="640" w:firstLineChars="200"/>
        <w:rPr>
          <w:rFonts w:hint="default" w:ascii="Times New Roman" w:hAnsi="Times New Roman" w:eastAsia="仿宋_GB2312" w:cs="Times New Roman"/>
          <w:bCs/>
          <w:color w:val="000000"/>
          <w:sz w:val="32"/>
          <w:szCs w:val="32"/>
        </w:rPr>
      </w:pPr>
      <w:r>
        <w:rPr>
          <w:rStyle w:val="15"/>
          <w:rFonts w:hint="default" w:ascii="Times New Roman" w:hAnsi="Times New Roman" w:eastAsia="仿宋_GB2312" w:cs="Times New Roman"/>
          <w:b w:val="0"/>
          <w:bCs/>
          <w:color w:val="000000"/>
          <w:sz w:val="32"/>
          <w:szCs w:val="32"/>
        </w:rPr>
        <w:t>2.社会保障和就业（类）民政管理事务（款）基层政权建设和社区治理（项）:</w:t>
      </w:r>
      <w:r>
        <w:rPr>
          <w:rStyle w:val="17"/>
          <w:rFonts w:hint="default" w:ascii="Times New Roman" w:hAnsi="Times New Roman" w:eastAsia="仿宋_GB2312" w:cs="Times New Roman"/>
          <w:b w:val="0"/>
          <w:bCs w:val="0"/>
          <w:color w:val="000000"/>
          <w:sz w:val="32"/>
          <w:szCs w:val="32"/>
        </w:rPr>
        <w:t xml:space="preserve"> </w:t>
      </w:r>
      <w:r>
        <w:rPr>
          <w:rStyle w:val="15"/>
          <w:rFonts w:hint="default" w:ascii="Times New Roman" w:hAnsi="Times New Roman" w:eastAsia="仿宋_GB2312" w:cs="Times New Roman"/>
          <w:b w:val="0"/>
          <w:bCs/>
          <w:color w:val="000000"/>
          <w:sz w:val="32"/>
          <w:szCs w:val="32"/>
        </w:rPr>
        <w:t>支出决算为3.29万元，完成预算100%，决算数等于预算数。</w:t>
      </w:r>
    </w:p>
    <w:p>
      <w:pPr>
        <w:spacing w:line="600" w:lineRule="exact"/>
        <w:ind w:firstLine="640" w:firstLineChars="200"/>
        <w:rPr>
          <w:rStyle w:val="15"/>
          <w:rFonts w:hint="default" w:ascii="Times New Roman" w:hAnsi="Times New Roman" w:eastAsia="仿宋_GB2312" w:cs="Times New Roman"/>
          <w:b w:val="0"/>
          <w:bCs/>
          <w:color w:val="000000"/>
          <w:sz w:val="32"/>
          <w:szCs w:val="32"/>
        </w:rPr>
      </w:pPr>
      <w:r>
        <w:rPr>
          <w:rStyle w:val="15"/>
          <w:rFonts w:hint="default" w:ascii="Times New Roman" w:hAnsi="Times New Roman" w:eastAsia="仿宋_GB2312" w:cs="Times New Roman"/>
          <w:b w:val="0"/>
          <w:bCs/>
          <w:color w:val="000000"/>
          <w:sz w:val="32"/>
          <w:szCs w:val="32"/>
        </w:rPr>
        <w:t>3.社会保障和就业（类）行政事业单位养老支出（款）事业单位离退休（项）:</w:t>
      </w:r>
      <w:r>
        <w:rPr>
          <w:rStyle w:val="17"/>
          <w:rFonts w:hint="default" w:ascii="Times New Roman" w:hAnsi="Times New Roman" w:eastAsia="仿宋_GB2312" w:cs="Times New Roman"/>
          <w:b w:val="0"/>
          <w:bCs w:val="0"/>
          <w:color w:val="000000"/>
          <w:sz w:val="32"/>
          <w:szCs w:val="32"/>
        </w:rPr>
        <w:t xml:space="preserve"> </w:t>
      </w:r>
      <w:r>
        <w:rPr>
          <w:rStyle w:val="15"/>
          <w:rFonts w:hint="default" w:ascii="Times New Roman" w:hAnsi="Times New Roman" w:eastAsia="仿宋_GB2312" w:cs="Times New Roman"/>
          <w:b w:val="0"/>
          <w:bCs/>
          <w:color w:val="000000"/>
          <w:sz w:val="32"/>
          <w:szCs w:val="32"/>
        </w:rPr>
        <w:t>支出决算为2.74万元，完成预算100%，决算数等于预算数。</w:t>
      </w:r>
    </w:p>
    <w:p>
      <w:pPr>
        <w:spacing w:line="600" w:lineRule="exact"/>
        <w:ind w:firstLine="640" w:firstLineChars="200"/>
        <w:rPr>
          <w:rStyle w:val="15"/>
          <w:rFonts w:hint="default" w:ascii="Times New Roman" w:hAnsi="Times New Roman" w:eastAsia="仿宋_GB2312" w:cs="Times New Roman"/>
          <w:b w:val="0"/>
          <w:bCs/>
          <w:color w:val="000000"/>
          <w:sz w:val="32"/>
          <w:szCs w:val="32"/>
        </w:rPr>
      </w:pPr>
      <w:r>
        <w:rPr>
          <w:rStyle w:val="15"/>
          <w:rFonts w:hint="default" w:ascii="Times New Roman" w:hAnsi="Times New Roman" w:eastAsia="仿宋_GB2312" w:cs="Times New Roman"/>
          <w:b w:val="0"/>
          <w:bCs/>
          <w:color w:val="000000"/>
          <w:sz w:val="32"/>
          <w:szCs w:val="32"/>
        </w:rPr>
        <w:t>4.社会保障和就业（类）行政事业单位养老支出（款）机关事业单位基本养老保险缴费支出（项）:</w:t>
      </w:r>
      <w:r>
        <w:rPr>
          <w:rStyle w:val="17"/>
          <w:rFonts w:hint="default" w:ascii="Times New Roman" w:hAnsi="Times New Roman" w:eastAsia="仿宋_GB2312" w:cs="Times New Roman"/>
          <w:b w:val="0"/>
          <w:bCs w:val="0"/>
          <w:color w:val="000000"/>
          <w:sz w:val="32"/>
          <w:szCs w:val="32"/>
        </w:rPr>
        <w:t xml:space="preserve"> </w:t>
      </w:r>
      <w:r>
        <w:rPr>
          <w:rStyle w:val="15"/>
          <w:rFonts w:hint="default" w:ascii="Times New Roman" w:hAnsi="Times New Roman" w:eastAsia="仿宋_GB2312" w:cs="Times New Roman"/>
          <w:b w:val="0"/>
          <w:bCs/>
          <w:color w:val="000000"/>
          <w:sz w:val="32"/>
          <w:szCs w:val="32"/>
        </w:rPr>
        <w:t>支出决算为20.62万元，完成预算100%，决算数等于预算数。</w:t>
      </w:r>
    </w:p>
    <w:p>
      <w:pPr>
        <w:spacing w:line="600" w:lineRule="exact"/>
        <w:ind w:firstLine="640" w:firstLineChars="200"/>
        <w:rPr>
          <w:rStyle w:val="15"/>
          <w:rFonts w:hint="default" w:ascii="Times New Roman" w:hAnsi="Times New Roman" w:eastAsia="仿宋_GB2312" w:cs="Times New Roman"/>
          <w:b w:val="0"/>
          <w:bCs/>
          <w:color w:val="000000"/>
          <w:sz w:val="32"/>
          <w:szCs w:val="32"/>
        </w:rPr>
      </w:pPr>
      <w:r>
        <w:rPr>
          <w:rStyle w:val="15"/>
          <w:rFonts w:hint="default" w:ascii="Times New Roman" w:hAnsi="Times New Roman" w:eastAsia="仿宋_GB2312" w:cs="Times New Roman"/>
          <w:b w:val="0"/>
          <w:bCs/>
          <w:color w:val="000000"/>
          <w:sz w:val="32"/>
          <w:szCs w:val="32"/>
        </w:rPr>
        <w:t>5.社会保障和就业（类）抚恤（款）死亡抚恤（项）:</w:t>
      </w:r>
      <w:r>
        <w:rPr>
          <w:rStyle w:val="17"/>
          <w:rFonts w:hint="default" w:ascii="Times New Roman" w:hAnsi="Times New Roman" w:eastAsia="仿宋_GB2312" w:cs="Times New Roman"/>
          <w:b w:val="0"/>
          <w:bCs w:val="0"/>
          <w:color w:val="000000"/>
          <w:sz w:val="32"/>
          <w:szCs w:val="32"/>
        </w:rPr>
        <w:t xml:space="preserve"> </w:t>
      </w:r>
      <w:r>
        <w:rPr>
          <w:rStyle w:val="15"/>
          <w:rFonts w:hint="default" w:ascii="Times New Roman" w:hAnsi="Times New Roman" w:eastAsia="仿宋_GB2312" w:cs="Times New Roman"/>
          <w:b w:val="0"/>
          <w:bCs/>
          <w:color w:val="000000"/>
          <w:sz w:val="32"/>
          <w:szCs w:val="32"/>
        </w:rPr>
        <w:t>支出决算为4.73万元，完成预算100%，决算数等于预算数。</w:t>
      </w:r>
    </w:p>
    <w:p>
      <w:pPr>
        <w:spacing w:line="600" w:lineRule="exact"/>
        <w:ind w:firstLine="640" w:firstLineChars="200"/>
        <w:rPr>
          <w:rFonts w:hint="default" w:ascii="Times New Roman" w:hAnsi="Times New Roman" w:eastAsia="仿宋_GB2312" w:cs="Times New Roman"/>
          <w:bCs/>
          <w:color w:val="000000"/>
          <w:sz w:val="32"/>
          <w:szCs w:val="32"/>
        </w:rPr>
      </w:pPr>
      <w:r>
        <w:rPr>
          <w:rStyle w:val="15"/>
          <w:rFonts w:hint="default" w:ascii="Times New Roman" w:hAnsi="Times New Roman" w:eastAsia="仿宋_GB2312" w:cs="Times New Roman"/>
          <w:b w:val="0"/>
          <w:bCs/>
          <w:color w:val="000000"/>
          <w:sz w:val="32"/>
          <w:szCs w:val="32"/>
        </w:rPr>
        <w:t>6.社会保障和就业（类）临时救助（款）流浪乞讨人员救助支出（项）:支出决算为</w:t>
      </w:r>
      <w:r>
        <w:rPr>
          <w:rFonts w:hint="default" w:ascii="Times New Roman" w:hAnsi="Times New Roman" w:eastAsia="仿宋_GB2312" w:cs="Times New Roman"/>
          <w:color w:val="000000"/>
          <w:sz w:val="32"/>
          <w:szCs w:val="32"/>
        </w:rPr>
        <w:t>474.24</w:t>
      </w:r>
      <w:r>
        <w:rPr>
          <w:rStyle w:val="15"/>
          <w:rFonts w:hint="default" w:ascii="Times New Roman" w:hAnsi="Times New Roman" w:eastAsia="仿宋_GB2312" w:cs="Times New Roman"/>
          <w:b w:val="0"/>
          <w:bCs/>
          <w:color w:val="000000"/>
          <w:sz w:val="32"/>
          <w:szCs w:val="32"/>
        </w:rPr>
        <w:t>万元，完成预算100%，决算数等于预算数。</w:t>
      </w:r>
    </w:p>
    <w:p>
      <w:pPr>
        <w:spacing w:line="600" w:lineRule="exact"/>
        <w:ind w:firstLine="640" w:firstLineChars="200"/>
        <w:rPr>
          <w:rFonts w:hint="default" w:ascii="Times New Roman" w:hAnsi="Times New Roman" w:eastAsia="仿宋_GB2312" w:cs="Times New Roman"/>
          <w:bCs/>
          <w:color w:val="000000"/>
          <w:sz w:val="32"/>
          <w:szCs w:val="32"/>
        </w:rPr>
      </w:pPr>
      <w:r>
        <w:rPr>
          <w:rStyle w:val="15"/>
          <w:rFonts w:hint="default" w:ascii="Times New Roman" w:hAnsi="Times New Roman" w:eastAsia="仿宋_GB2312" w:cs="Times New Roman"/>
          <w:b w:val="0"/>
          <w:bCs/>
          <w:color w:val="000000"/>
          <w:sz w:val="32"/>
          <w:szCs w:val="32"/>
        </w:rPr>
        <w:t xml:space="preserve">7. </w:t>
      </w:r>
      <w:r>
        <w:rPr>
          <w:rFonts w:hint="default" w:ascii="Times New Roman" w:hAnsi="Times New Roman" w:eastAsia="仿宋_GB2312" w:cs="Times New Roman"/>
          <w:bCs/>
          <w:color w:val="000000"/>
          <w:sz w:val="32"/>
          <w:szCs w:val="32"/>
        </w:rPr>
        <w:t>住房保障支出</w:t>
      </w:r>
      <w:r>
        <w:rPr>
          <w:rStyle w:val="15"/>
          <w:rFonts w:hint="default" w:ascii="Times New Roman" w:hAnsi="Times New Roman" w:eastAsia="仿宋_GB2312" w:cs="Times New Roman"/>
          <w:b w:val="0"/>
          <w:bCs/>
          <w:color w:val="000000"/>
          <w:sz w:val="32"/>
          <w:szCs w:val="32"/>
        </w:rPr>
        <w:t>（类）住房改革支出（款）住房公积金（项）支出决算为</w:t>
      </w:r>
      <w:r>
        <w:rPr>
          <w:rFonts w:hint="default" w:ascii="Times New Roman" w:hAnsi="Times New Roman" w:eastAsia="仿宋_GB2312" w:cs="Times New Roman"/>
          <w:color w:val="000000"/>
          <w:sz w:val="32"/>
          <w:szCs w:val="32"/>
        </w:rPr>
        <w:t>19.84</w:t>
      </w:r>
      <w:r>
        <w:rPr>
          <w:rStyle w:val="15"/>
          <w:rFonts w:hint="default" w:ascii="Times New Roman" w:hAnsi="Times New Roman" w:eastAsia="仿宋_GB2312" w:cs="Times New Roman"/>
          <w:b w:val="0"/>
          <w:bCs/>
          <w:color w:val="000000"/>
          <w:sz w:val="32"/>
          <w:szCs w:val="32"/>
        </w:rPr>
        <w:t>万元，完成预算100%，决算数等于预算数。</w:t>
      </w:r>
    </w:p>
    <w:p>
      <w:pPr>
        <w:tabs>
          <w:tab w:val="right" w:pos="8306"/>
        </w:tabs>
        <w:spacing w:line="600" w:lineRule="exact"/>
        <w:ind w:firstLine="640"/>
        <w:outlineLvl w:val="1"/>
        <w:rPr>
          <w:rStyle w:val="18"/>
          <w:rFonts w:hint="default" w:ascii="Times New Roman" w:hAnsi="Times New Roman" w:cs="Times New Roman"/>
          <w:b w:val="0"/>
        </w:rPr>
      </w:pPr>
      <w:bookmarkStart w:id="35" w:name="_Toc15377214"/>
      <w:bookmarkStart w:id="36" w:name="_Toc15396608"/>
      <w:r>
        <w:rPr>
          <w:rFonts w:hint="default" w:ascii="Times New Roman" w:hAnsi="Times New Roman" w:eastAsia="黑体" w:cs="Times New Roman"/>
          <w:color w:val="000000"/>
          <w:sz w:val="32"/>
          <w:szCs w:val="32"/>
        </w:rPr>
        <w:t>六、</w:t>
      </w:r>
      <w:r>
        <w:rPr>
          <w:rFonts w:hint="default" w:ascii="Times New Roman" w:hAnsi="Times New Roman" w:eastAsia="黑体" w:cs="Times New Roman"/>
          <w:b/>
          <w:color w:val="000000"/>
          <w:sz w:val="32"/>
          <w:szCs w:val="32"/>
        </w:rPr>
        <w:t>一</w:t>
      </w:r>
      <w:r>
        <w:rPr>
          <w:rStyle w:val="18"/>
          <w:rFonts w:hint="default" w:ascii="Times New Roman" w:hAnsi="Times New Roman" w:eastAsia="黑体" w:cs="Times New Roman"/>
          <w:b w:val="0"/>
        </w:rPr>
        <w:t>般公共预算财政拨款基本支出决算情况说明</w:t>
      </w:r>
      <w:bookmarkEnd w:id="35"/>
      <w:bookmarkEnd w:id="36"/>
      <w:r>
        <w:rPr>
          <w:rStyle w:val="18"/>
          <w:rFonts w:hint="default" w:ascii="Times New Roman" w:hAnsi="Times New Roman" w:eastAsia="黑体" w:cs="Times New Roman"/>
          <w:b w:val="0"/>
        </w:rPr>
        <w:tab/>
      </w:r>
    </w:p>
    <w:p>
      <w:pPr>
        <w:spacing w:line="600" w:lineRule="exact"/>
        <w:ind w:firstLine="645"/>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2021年一般公共预算财政拨款基本支出309.99万元，其中：</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人员经费285.86万元，</w:t>
      </w:r>
      <w:r>
        <w:rPr>
          <w:rFonts w:hint="default" w:ascii="Times New Roman" w:hAnsi="Times New Roman" w:eastAsia="仿宋_GB2312" w:cs="Times New Roman"/>
          <w:sz w:val="32"/>
          <w:szCs w:val="32"/>
        </w:rPr>
        <w:t>主要包括：基本工资、津贴补贴、绩效工资、机关事业单位基本养老保险缴费、职工基本医疗保险缴费</w:t>
      </w:r>
      <w:r>
        <w:rPr>
          <w:rFonts w:hint="default" w:ascii="Times New Roman" w:hAnsi="Times New Roman" w:eastAsia="仿宋_GB2312" w:cs="Times New Roman"/>
          <w:sz w:val="32"/>
          <w:szCs w:val="32"/>
          <w:lang w:eastAsia="zh-CN"/>
        </w:rPr>
        <w:t>、公务员医疗补助缴费、</w:t>
      </w:r>
      <w:r>
        <w:rPr>
          <w:rFonts w:hint="default" w:ascii="Times New Roman" w:hAnsi="Times New Roman" w:eastAsia="仿宋_GB2312" w:cs="Times New Roman"/>
          <w:sz w:val="32"/>
          <w:szCs w:val="32"/>
        </w:rPr>
        <w:t>其他社会保障缴费、住房公积金、其他工资福利支出、抚恤金、</w:t>
      </w:r>
      <w:r>
        <w:rPr>
          <w:rFonts w:hint="default" w:ascii="Times New Roman" w:hAnsi="Times New Roman" w:eastAsia="仿宋_GB2312" w:cs="Times New Roman"/>
          <w:sz w:val="32"/>
          <w:szCs w:val="32"/>
          <w:lang w:eastAsia="zh-CN"/>
        </w:rPr>
        <w:t>生活补助、奖励金、</w:t>
      </w:r>
      <w:r>
        <w:rPr>
          <w:rFonts w:hint="default" w:ascii="Times New Roman" w:hAnsi="Times New Roman" w:eastAsia="仿宋_GB2312" w:cs="Times New Roman"/>
          <w:sz w:val="32"/>
          <w:szCs w:val="32"/>
        </w:rPr>
        <w:t>其他对个人和家庭的补助支出等。</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公用经费24.13万元，</w:t>
      </w:r>
      <w:r>
        <w:rPr>
          <w:rFonts w:hint="default" w:ascii="Times New Roman" w:hAnsi="Times New Roman" w:eastAsia="仿宋_GB2312" w:cs="Times New Roman"/>
          <w:sz w:val="32"/>
          <w:szCs w:val="32"/>
        </w:rPr>
        <w:t>主要包括：办公费、水费、邮电费、差旅费、维修（护）费、培训费、公务接待费、劳务费、工会经费、福利费、公务用车运行维护费、其他商品和服务支出等。</w:t>
      </w:r>
    </w:p>
    <w:p>
      <w:pPr>
        <w:spacing w:line="600" w:lineRule="exact"/>
        <w:ind w:firstLine="640"/>
        <w:outlineLvl w:val="1"/>
        <w:rPr>
          <w:rStyle w:val="18"/>
          <w:rFonts w:hint="default" w:ascii="Times New Roman" w:hAnsi="Times New Roman" w:eastAsia="黑体" w:cs="Times New Roman"/>
          <w:b w:val="0"/>
        </w:rPr>
      </w:pPr>
      <w:bookmarkStart w:id="37" w:name="_Toc15377215"/>
      <w:bookmarkStart w:id="38" w:name="_Toc15396609"/>
      <w:r>
        <w:rPr>
          <w:rFonts w:hint="default" w:ascii="Times New Roman" w:hAnsi="Times New Roman" w:eastAsia="黑体" w:cs="Times New Roman"/>
          <w:color w:val="000000"/>
          <w:sz w:val="32"/>
          <w:szCs w:val="32"/>
        </w:rPr>
        <w:t>七、</w:t>
      </w:r>
      <w:r>
        <w:rPr>
          <w:rStyle w:val="18"/>
          <w:rFonts w:hint="default" w:ascii="Times New Roman" w:hAnsi="Times New Roman" w:eastAsia="黑体" w:cs="Times New Roman"/>
          <w:b w:val="0"/>
        </w:rPr>
        <w:t>“三公”经费财政拨款支出决算情况说明</w:t>
      </w:r>
      <w:bookmarkEnd w:id="37"/>
      <w:bookmarkEnd w:id="38"/>
    </w:p>
    <w:p>
      <w:pPr>
        <w:pStyle w:val="2"/>
        <w:keepNext w:val="0"/>
        <w:keepLines w:val="0"/>
        <w:pageBreakBefore w:val="0"/>
        <w:widowControl w:val="0"/>
        <w:kinsoku/>
        <w:wordWrap/>
        <w:overflowPunct/>
        <w:topLinePunct w:val="0"/>
        <w:autoSpaceDE/>
        <w:autoSpaceDN/>
        <w:bidi w:val="0"/>
        <w:adjustRightInd w:val="0"/>
        <w:snapToGrid w:val="0"/>
        <w:spacing w:beforeLines="0" w:line="520" w:lineRule="exact"/>
        <w:ind w:firstLine="642" w:firstLineChars="200"/>
        <w:textAlignment w:val="auto"/>
        <w:outlineLvl w:val="2"/>
        <w:rPr>
          <w:rFonts w:hint="default" w:ascii="Times New Roman" w:hAnsi="Times New Roman" w:eastAsia="楷体_GB2312" w:cs="Times New Roman"/>
          <w:b/>
          <w:bCs w:val="0"/>
          <w:color w:val="000000"/>
          <w:sz w:val="32"/>
          <w:szCs w:val="32"/>
          <w:lang w:val="zh-CN" w:eastAsia="zh-CN"/>
        </w:rPr>
      </w:pPr>
      <w:bookmarkStart w:id="39" w:name="_Toc15377216"/>
      <w:r>
        <w:rPr>
          <w:rFonts w:hint="default" w:ascii="Times New Roman" w:hAnsi="Times New Roman" w:eastAsia="楷体_GB2312" w:cs="Times New Roman"/>
          <w:b/>
          <w:bCs w:val="0"/>
          <w:color w:val="000000"/>
          <w:sz w:val="32"/>
          <w:szCs w:val="32"/>
          <w:lang w:val="zh-CN" w:eastAsia="zh-CN"/>
        </w:rPr>
        <w:t>（一）“三公”经费财政拨款支出决算总体情况说明</w:t>
      </w:r>
      <w:bookmarkEnd w:id="39"/>
    </w:p>
    <w:p>
      <w:pPr>
        <w:spacing w:line="600" w:lineRule="exact"/>
        <w:ind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rPr>
        <w:t>2021年“三公”经费财政拨款支出决算为6.2万元，完成预算100%，</w:t>
      </w:r>
      <w:r>
        <w:rPr>
          <w:rStyle w:val="15"/>
          <w:rFonts w:hint="default" w:ascii="Times New Roman" w:hAnsi="Times New Roman" w:eastAsia="仿宋_GB2312" w:cs="Times New Roman"/>
          <w:b w:val="0"/>
          <w:bCs/>
          <w:color w:val="000000"/>
          <w:sz w:val="32"/>
          <w:szCs w:val="32"/>
        </w:rPr>
        <w:t>决算数等于预算数</w:t>
      </w:r>
      <w:r>
        <w:rPr>
          <w:rFonts w:hint="default" w:ascii="Times New Roman" w:hAnsi="Times New Roman" w:eastAsia="仿宋_GB2312" w:cs="Times New Roman"/>
          <w:color w:val="000000"/>
          <w:sz w:val="32"/>
          <w:szCs w:val="32"/>
        </w:rPr>
        <w:t>。</w:t>
      </w:r>
    </w:p>
    <w:p>
      <w:pPr>
        <w:pStyle w:val="2"/>
        <w:keepNext w:val="0"/>
        <w:keepLines w:val="0"/>
        <w:pageBreakBefore w:val="0"/>
        <w:widowControl w:val="0"/>
        <w:kinsoku/>
        <w:wordWrap/>
        <w:overflowPunct/>
        <w:topLinePunct w:val="0"/>
        <w:autoSpaceDE/>
        <w:autoSpaceDN/>
        <w:bidi w:val="0"/>
        <w:adjustRightInd w:val="0"/>
        <w:snapToGrid w:val="0"/>
        <w:spacing w:beforeLines="0" w:line="520" w:lineRule="exact"/>
        <w:ind w:firstLine="642" w:firstLineChars="200"/>
        <w:textAlignment w:val="auto"/>
        <w:outlineLvl w:val="2"/>
        <w:rPr>
          <w:rFonts w:hint="default" w:ascii="Times New Roman" w:hAnsi="Times New Roman" w:eastAsia="楷体_GB2312" w:cs="Times New Roman"/>
          <w:b/>
          <w:bCs w:val="0"/>
          <w:color w:val="000000"/>
          <w:sz w:val="32"/>
          <w:szCs w:val="32"/>
          <w:lang w:val="zh-CN" w:eastAsia="zh-CN"/>
        </w:rPr>
      </w:pPr>
      <w:bookmarkStart w:id="40" w:name="_Toc15377217"/>
      <w:r>
        <w:rPr>
          <w:rFonts w:hint="default" w:ascii="Times New Roman" w:hAnsi="Times New Roman" w:eastAsia="楷体_GB2312" w:cs="Times New Roman"/>
          <w:b/>
          <w:bCs w:val="0"/>
          <w:color w:val="000000"/>
          <w:sz w:val="32"/>
          <w:szCs w:val="32"/>
          <w:lang w:val="zh-CN" w:eastAsia="zh-CN"/>
        </w:rPr>
        <w:t>（二）“三公”经费财政拨款支出决算具体情况说明</w:t>
      </w:r>
      <w:bookmarkEnd w:id="40"/>
    </w:p>
    <w:p>
      <w:pPr>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2021年“三公”经费财政拨款支出决算中，因公出国（境）费支出决算0万元，占0%；公务用车购置及运行维护费支出决算4.84万元，占78.06%；公务接待费支出决算1.36万元，占21.94%。具体情况如下：</w:t>
      </w:r>
    </w:p>
    <w:p>
      <w:pPr>
        <w:rPr>
          <w:rFonts w:hint="default" w:ascii="Times New Roman" w:hAnsi="Times New Roman" w:cs="Times New Roman"/>
        </w:rPr>
      </w:pPr>
    </w:p>
    <w:p>
      <w:pPr>
        <w:pStyle w:val="2"/>
        <w:jc w:val="center"/>
        <w:rPr>
          <w:rFonts w:hint="default"/>
        </w:rPr>
      </w:pPr>
      <w:bookmarkStart w:id="67" w:name="_GoBack"/>
      <w:bookmarkEnd w:id="67"/>
      <w:r>
        <w:drawing>
          <wp:inline distT="0" distB="0" distL="114300" distR="114300">
            <wp:extent cx="4572000" cy="2743200"/>
            <wp:effectExtent l="4445" t="4445" r="1460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line="600" w:lineRule="exact"/>
        <w:ind w:firstLine="640" w:firstLineChars="20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图7：“三公”经费财政拨款支出结构</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b/>
          <w:bCs/>
          <w:color w:val="000000"/>
          <w:sz w:val="32"/>
          <w:szCs w:val="32"/>
        </w:rPr>
        <w:t>因公出国（境）经费支出</w:t>
      </w:r>
      <w:r>
        <w:rPr>
          <w:rFonts w:hint="default" w:ascii="Times New Roman" w:hAnsi="Times New Roman" w:eastAsia="仿宋_GB2312" w:cs="Times New Roman"/>
          <w:color w:val="000000"/>
          <w:sz w:val="32"/>
          <w:szCs w:val="32"/>
        </w:rPr>
        <w:t>0万元，完成预算100%。全年安排因公出国（境）团组0次，出国（境）0人。因公出国（境）支出决算与2020年决算数持平。</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b/>
          <w:bCs/>
          <w:color w:val="000000"/>
          <w:sz w:val="32"/>
          <w:szCs w:val="32"/>
        </w:rPr>
        <w:t>公务用车购置及运行维护费支出</w:t>
      </w:r>
      <w:r>
        <w:rPr>
          <w:rFonts w:hint="default" w:ascii="Times New Roman" w:hAnsi="Times New Roman" w:eastAsia="仿宋_GB2312" w:cs="Times New Roman"/>
          <w:color w:val="000000"/>
          <w:sz w:val="32"/>
          <w:szCs w:val="32"/>
        </w:rPr>
        <w:t>4.84万元，完成预算100%。公务用车购置及运行维护费支出决算比2020年增加</w:t>
      </w:r>
      <w:r>
        <w:rPr>
          <w:rFonts w:hint="default" w:ascii="Times New Roman" w:hAnsi="Times New Roman" w:eastAsia="仿宋_GB2312" w:cs="Times New Roman"/>
          <w:color w:val="000000"/>
          <w:sz w:val="32"/>
          <w:szCs w:val="32"/>
          <w:lang w:val="en-US" w:eastAsia="zh-CN"/>
        </w:rPr>
        <w:t>1.09</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val="en-US" w:eastAsia="zh-CN"/>
        </w:rPr>
        <w:t>增长29.07%</w:t>
      </w:r>
      <w:r>
        <w:rPr>
          <w:rFonts w:hint="default" w:ascii="Times New Roman" w:hAnsi="Times New Roman" w:eastAsia="仿宋_GB2312" w:cs="Times New Roman"/>
          <w:color w:val="000000"/>
          <w:sz w:val="32"/>
          <w:szCs w:val="32"/>
        </w:rPr>
        <w:t>。主要原因是有车辆报废，新购入车辆1辆，只支付购置税及附加，购车款当年未支付，在下一年初完成支付。</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其中：公务用车购置支出2.25万元。全年按规定更新购置公务用车1辆，其中：轿车0辆、金额0万元，越野车0辆、金额0万元，载客汽车1辆、金额0万元。截至2021年12月底，单位共有公务用车</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辆，其中：轿车0辆、越野车0辆、载客汽车</w:t>
      </w: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辆、特种专用车1辆。</w:t>
      </w:r>
    </w:p>
    <w:p>
      <w:pPr>
        <w:spacing w:line="600" w:lineRule="exact"/>
        <w:ind w:firstLine="64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公务用车运行维护费支出</w:t>
      </w:r>
      <w:r>
        <w:rPr>
          <w:rFonts w:hint="default" w:ascii="Times New Roman" w:hAnsi="Times New Roman" w:eastAsia="仿宋_GB2312" w:cs="Times New Roman"/>
          <w:color w:val="000000"/>
          <w:sz w:val="32"/>
          <w:szCs w:val="32"/>
        </w:rPr>
        <w:t>2.59万元。主要用于接送救助人员返乡支出等所需的公务用车燃料费、维修费、过路过桥费、保险费等支出。</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b/>
          <w:bCs/>
          <w:color w:val="000000"/>
          <w:sz w:val="32"/>
          <w:szCs w:val="32"/>
        </w:rPr>
        <w:t>公务接待费支出</w:t>
      </w:r>
      <w:r>
        <w:rPr>
          <w:rFonts w:hint="default" w:ascii="Times New Roman" w:hAnsi="Times New Roman" w:eastAsia="仿宋_GB2312" w:cs="Times New Roman"/>
          <w:color w:val="000000"/>
          <w:sz w:val="32"/>
          <w:szCs w:val="32"/>
        </w:rPr>
        <w:t>1.36万元，完成预算100%。公务接待费支出决算比2020年增加0.11万元，增长8.80%。主要原因是疫情形势缓和，接收救助人员返乡次数增加。</w:t>
      </w:r>
    </w:p>
    <w:p>
      <w:pPr>
        <w:spacing w:line="600" w:lineRule="exact"/>
        <w:ind w:firstLine="64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国内公务接待支出</w:t>
      </w:r>
      <w:r>
        <w:rPr>
          <w:rFonts w:hint="default" w:ascii="Times New Roman" w:hAnsi="Times New Roman" w:eastAsia="仿宋_GB2312" w:cs="Times New Roman"/>
          <w:color w:val="000000"/>
          <w:sz w:val="32"/>
          <w:szCs w:val="32"/>
        </w:rPr>
        <w:t>1.36万元，主要用于接待各市、州站护送受助人员来攀工作人员工作餐支出。国内公务接待29批次，137人次（不包括陪同人员），共计支出1.3</w:t>
      </w: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万元，具体内容包括：接待护送受助人员来我市的各救助站点工作人员支出1.36万元。</w:t>
      </w:r>
    </w:p>
    <w:p>
      <w:pPr>
        <w:spacing w:line="600" w:lineRule="exact"/>
        <w:ind w:firstLine="64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外事接待支出</w:t>
      </w:r>
      <w:r>
        <w:rPr>
          <w:rFonts w:hint="default" w:ascii="Times New Roman" w:hAnsi="Times New Roman" w:eastAsia="仿宋_GB2312" w:cs="Times New Roman"/>
          <w:color w:val="000000"/>
          <w:sz w:val="32"/>
          <w:szCs w:val="32"/>
        </w:rPr>
        <w:t>0万元，外事接待0批次0人，共计支出0万元。</w:t>
      </w:r>
      <w:bookmarkStart w:id="41" w:name="_Toc15396610"/>
      <w:bookmarkStart w:id="42" w:name="_Toc15377218"/>
    </w:p>
    <w:p>
      <w:pPr>
        <w:spacing w:line="600" w:lineRule="exact"/>
        <w:ind w:firstLine="640"/>
        <w:outlineLvl w:val="1"/>
        <w:rPr>
          <w:rStyle w:val="18"/>
          <w:rFonts w:hint="default" w:ascii="Times New Roman" w:hAnsi="Times New Roman" w:eastAsia="黑体" w:cs="Times New Roman"/>
          <w:b w:val="0"/>
          <w:bCs w:val="0"/>
        </w:rPr>
      </w:pPr>
      <w:r>
        <w:rPr>
          <w:rFonts w:hint="default" w:ascii="Times New Roman" w:hAnsi="Times New Roman" w:eastAsia="黑体" w:cs="Times New Roman"/>
          <w:b w:val="0"/>
          <w:bCs w:val="0"/>
          <w:color w:val="000000"/>
          <w:sz w:val="32"/>
          <w:szCs w:val="32"/>
        </w:rPr>
        <w:t>八、</w:t>
      </w:r>
      <w:r>
        <w:rPr>
          <w:rStyle w:val="18"/>
          <w:rFonts w:hint="default" w:ascii="Times New Roman" w:hAnsi="Times New Roman" w:eastAsia="黑体" w:cs="Times New Roman"/>
          <w:b w:val="0"/>
          <w:bCs w:val="0"/>
        </w:rPr>
        <w:t>政府性基金预算支出决算情况说明</w:t>
      </w:r>
      <w:bookmarkEnd w:id="41"/>
      <w:bookmarkEnd w:id="42"/>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2021年政府性基金预算拨款支出9.34万元。</w:t>
      </w:r>
    </w:p>
    <w:p>
      <w:pPr>
        <w:spacing w:line="600" w:lineRule="exact"/>
        <w:ind w:firstLine="640"/>
        <w:outlineLvl w:val="1"/>
        <w:rPr>
          <w:rFonts w:hint="default" w:ascii="Times New Roman" w:hAnsi="Times New Roman" w:eastAsia="黑体" w:cs="Times New Roman"/>
          <w:b w:val="0"/>
          <w:bCs w:val="0"/>
          <w:color w:val="000000"/>
          <w:sz w:val="32"/>
          <w:szCs w:val="32"/>
        </w:rPr>
      </w:pPr>
      <w:bookmarkStart w:id="43" w:name="_Toc15377219"/>
      <w:bookmarkStart w:id="44" w:name="_Toc15396611"/>
      <w:r>
        <w:rPr>
          <w:rFonts w:hint="default" w:ascii="Times New Roman" w:hAnsi="Times New Roman" w:eastAsia="黑体" w:cs="Times New Roman"/>
          <w:b w:val="0"/>
          <w:bCs w:val="0"/>
          <w:color w:val="000000"/>
          <w:sz w:val="32"/>
          <w:szCs w:val="32"/>
          <w:lang w:eastAsia="zh-CN"/>
        </w:rPr>
        <w:t>九、</w:t>
      </w:r>
      <w:r>
        <w:rPr>
          <w:rFonts w:hint="default" w:ascii="Times New Roman" w:hAnsi="Times New Roman" w:eastAsia="黑体" w:cs="Times New Roman"/>
          <w:b w:val="0"/>
          <w:bCs w:val="0"/>
          <w:color w:val="000000"/>
          <w:sz w:val="32"/>
          <w:szCs w:val="32"/>
        </w:rPr>
        <w:t>国有资本经营预算支出决算情况说明</w:t>
      </w:r>
      <w:bookmarkEnd w:id="43"/>
      <w:bookmarkEnd w:id="44"/>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2021年国有资本经营预算拨款支出0万元。</w:t>
      </w:r>
    </w:p>
    <w:p>
      <w:pPr>
        <w:spacing w:line="600" w:lineRule="exact"/>
        <w:ind w:firstLine="640"/>
        <w:outlineLvl w:val="1"/>
        <w:rPr>
          <w:rFonts w:hint="default" w:ascii="Times New Roman" w:hAnsi="Times New Roman" w:eastAsia="黑体" w:cs="Times New Roman"/>
          <w:b w:val="0"/>
          <w:bCs w:val="0"/>
          <w:color w:val="000000"/>
          <w:sz w:val="32"/>
          <w:szCs w:val="32"/>
          <w:lang w:eastAsia="zh-CN"/>
        </w:rPr>
      </w:pPr>
      <w:bookmarkStart w:id="45" w:name="_Toc15377221"/>
      <w:bookmarkStart w:id="46" w:name="_Toc15396612"/>
      <w:r>
        <w:rPr>
          <w:rFonts w:hint="default" w:ascii="Times New Roman" w:hAnsi="Times New Roman" w:eastAsia="黑体" w:cs="Times New Roman"/>
          <w:b w:val="0"/>
          <w:bCs w:val="0"/>
          <w:color w:val="000000"/>
          <w:sz w:val="32"/>
          <w:szCs w:val="32"/>
          <w:lang w:eastAsia="zh-CN"/>
        </w:rPr>
        <w:t>十、其他重要事项的情况说明</w:t>
      </w:r>
      <w:bookmarkEnd w:id="45"/>
      <w:bookmarkEnd w:id="46"/>
    </w:p>
    <w:p>
      <w:pPr>
        <w:pStyle w:val="2"/>
        <w:keepNext w:val="0"/>
        <w:keepLines w:val="0"/>
        <w:pageBreakBefore w:val="0"/>
        <w:widowControl w:val="0"/>
        <w:kinsoku/>
        <w:wordWrap/>
        <w:overflowPunct/>
        <w:topLinePunct w:val="0"/>
        <w:autoSpaceDE/>
        <w:autoSpaceDN/>
        <w:bidi w:val="0"/>
        <w:adjustRightInd w:val="0"/>
        <w:snapToGrid w:val="0"/>
        <w:spacing w:beforeLines="0" w:line="520" w:lineRule="exact"/>
        <w:ind w:firstLine="642" w:firstLineChars="200"/>
        <w:textAlignment w:val="auto"/>
        <w:outlineLvl w:val="2"/>
        <w:rPr>
          <w:rFonts w:hint="default" w:ascii="Times New Roman" w:hAnsi="Times New Roman" w:eastAsia="楷体_GB2312" w:cs="Times New Roman"/>
          <w:b/>
          <w:bCs w:val="0"/>
          <w:color w:val="000000"/>
          <w:sz w:val="32"/>
          <w:szCs w:val="32"/>
          <w:lang w:val="zh-CN" w:eastAsia="zh-CN"/>
        </w:rPr>
      </w:pPr>
      <w:bookmarkStart w:id="47" w:name="_Toc15377222"/>
      <w:r>
        <w:rPr>
          <w:rFonts w:hint="default" w:ascii="Times New Roman" w:hAnsi="Times New Roman" w:eastAsia="楷体_GB2312" w:cs="Times New Roman"/>
          <w:b/>
          <w:bCs w:val="0"/>
          <w:color w:val="000000"/>
          <w:sz w:val="32"/>
          <w:szCs w:val="32"/>
          <w:lang w:val="zh-CN" w:eastAsia="zh-CN"/>
        </w:rPr>
        <w:t>（一）机关运行经费支出情况</w:t>
      </w:r>
      <w:bookmarkEnd w:id="47"/>
    </w:p>
    <w:p>
      <w:pPr>
        <w:suppressAutoHyphens/>
        <w:bidi w:val="0"/>
        <w:spacing w:line="580" w:lineRule="exact"/>
        <w:ind w:firstLine="640"/>
        <w:rPr>
          <w:rFonts w:hint="default" w:ascii="Times New Roman" w:hAnsi="Times New Roman" w:eastAsia="黑体" w:cs="Times New Roman"/>
        </w:rPr>
      </w:pPr>
      <w:bookmarkStart w:id="48" w:name="_Toc15377223"/>
      <w:r>
        <w:rPr>
          <w:rFonts w:hint="eastAsia" w:ascii="Times New Roman" w:hAnsi="Times New Roman" w:cs="Times New Roman"/>
          <w:sz w:val="32"/>
          <w:szCs w:val="32"/>
          <w:highlight w:val="none"/>
          <w:lang w:eastAsia="zh-CN"/>
        </w:rPr>
        <w:t>市救助站</w:t>
      </w:r>
      <w:r>
        <w:rPr>
          <w:rFonts w:hint="eastAsia" w:ascii="Times New Roman" w:hAnsi="Times New Roman" w:eastAsia="仿宋_GB2312" w:cs="Times New Roman"/>
          <w:sz w:val="32"/>
          <w:szCs w:val="32"/>
          <w:highlight w:val="none"/>
        </w:rPr>
        <w:t>为事业单位，按规定未使用机关运行的相关科目。</w:t>
      </w:r>
    </w:p>
    <w:p>
      <w:pPr>
        <w:pStyle w:val="2"/>
        <w:keepNext w:val="0"/>
        <w:keepLines w:val="0"/>
        <w:pageBreakBefore w:val="0"/>
        <w:widowControl w:val="0"/>
        <w:kinsoku/>
        <w:wordWrap/>
        <w:overflowPunct/>
        <w:topLinePunct w:val="0"/>
        <w:autoSpaceDE/>
        <w:autoSpaceDN/>
        <w:bidi w:val="0"/>
        <w:adjustRightInd w:val="0"/>
        <w:snapToGrid w:val="0"/>
        <w:spacing w:beforeLines="0" w:line="520" w:lineRule="exact"/>
        <w:ind w:firstLine="642" w:firstLineChars="200"/>
        <w:textAlignment w:val="auto"/>
        <w:outlineLvl w:val="2"/>
        <w:rPr>
          <w:rFonts w:hint="default" w:ascii="Times New Roman" w:hAnsi="Times New Roman" w:eastAsia="楷体_GB2312" w:cs="Times New Roman"/>
          <w:b/>
          <w:bCs w:val="0"/>
          <w:color w:val="000000"/>
          <w:sz w:val="32"/>
          <w:szCs w:val="32"/>
          <w:lang w:val="zh-CN" w:eastAsia="zh-CN"/>
        </w:rPr>
      </w:pPr>
      <w:r>
        <w:rPr>
          <w:rFonts w:hint="default" w:ascii="Times New Roman" w:hAnsi="Times New Roman" w:eastAsia="楷体_GB2312" w:cs="Times New Roman"/>
          <w:b/>
          <w:bCs w:val="0"/>
          <w:color w:val="000000"/>
          <w:sz w:val="32"/>
          <w:szCs w:val="32"/>
          <w:lang w:val="zh-CN" w:eastAsia="zh-CN"/>
        </w:rPr>
        <w:t>（二）政府采购支出情况</w:t>
      </w:r>
      <w:bookmarkEnd w:id="48"/>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2021年，市救助站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pStyle w:val="2"/>
        <w:keepNext w:val="0"/>
        <w:keepLines w:val="0"/>
        <w:pageBreakBefore w:val="0"/>
        <w:widowControl w:val="0"/>
        <w:kinsoku/>
        <w:wordWrap/>
        <w:overflowPunct/>
        <w:topLinePunct w:val="0"/>
        <w:autoSpaceDE/>
        <w:autoSpaceDN/>
        <w:bidi w:val="0"/>
        <w:adjustRightInd w:val="0"/>
        <w:snapToGrid w:val="0"/>
        <w:spacing w:beforeLines="0" w:line="520" w:lineRule="exact"/>
        <w:ind w:firstLine="642" w:firstLineChars="200"/>
        <w:textAlignment w:val="auto"/>
        <w:outlineLvl w:val="2"/>
        <w:rPr>
          <w:rFonts w:hint="default" w:ascii="Times New Roman" w:hAnsi="Times New Roman" w:eastAsia="楷体_GB2312" w:cs="Times New Roman"/>
          <w:b/>
          <w:bCs w:val="0"/>
          <w:color w:val="000000"/>
          <w:sz w:val="32"/>
          <w:szCs w:val="32"/>
          <w:lang w:val="zh-CN" w:eastAsia="zh-CN"/>
        </w:rPr>
      </w:pPr>
      <w:bookmarkStart w:id="49" w:name="_Toc15377224"/>
      <w:r>
        <w:rPr>
          <w:rFonts w:hint="default" w:ascii="Times New Roman" w:hAnsi="Times New Roman" w:eastAsia="楷体_GB2312" w:cs="Times New Roman"/>
          <w:b/>
          <w:bCs w:val="0"/>
          <w:color w:val="000000"/>
          <w:sz w:val="32"/>
          <w:szCs w:val="32"/>
          <w:lang w:val="zh-CN" w:eastAsia="zh-CN"/>
        </w:rPr>
        <w:t>（三）国有资产占有使用情况</w:t>
      </w:r>
      <w:bookmarkEnd w:id="49"/>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截至2021年12月31日，市救助站共有车辆4辆，其中：主要领导干部用车0辆、机要通信用车0辆、应急保障用车</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辆、其他用车</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辆，特种专用技术用车</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辆，主要是用于接送受助人员返乡及单位正常运转公务用车。单价50万元以上通用设备0台（套），单价100万元以上专用设备0台（套）。</w:t>
      </w:r>
    </w:p>
    <w:p>
      <w:pPr>
        <w:pStyle w:val="2"/>
        <w:keepNext w:val="0"/>
        <w:keepLines w:val="0"/>
        <w:pageBreakBefore w:val="0"/>
        <w:widowControl w:val="0"/>
        <w:kinsoku/>
        <w:wordWrap/>
        <w:overflowPunct/>
        <w:topLinePunct w:val="0"/>
        <w:autoSpaceDE/>
        <w:autoSpaceDN/>
        <w:bidi w:val="0"/>
        <w:adjustRightInd w:val="0"/>
        <w:snapToGrid w:val="0"/>
        <w:spacing w:beforeLines="0" w:line="520" w:lineRule="exact"/>
        <w:ind w:firstLine="642" w:firstLineChars="200"/>
        <w:textAlignment w:val="auto"/>
        <w:outlineLvl w:val="2"/>
        <w:rPr>
          <w:rFonts w:hint="default" w:ascii="Times New Roman" w:hAnsi="Times New Roman" w:eastAsia="楷体_GB2312" w:cs="Times New Roman"/>
          <w:b/>
          <w:bCs w:val="0"/>
          <w:color w:val="000000"/>
          <w:sz w:val="32"/>
          <w:szCs w:val="32"/>
          <w:lang w:val="zh-CN" w:eastAsia="zh-CN"/>
        </w:rPr>
      </w:pPr>
      <w:r>
        <w:rPr>
          <w:rFonts w:hint="default" w:ascii="Times New Roman" w:hAnsi="Times New Roman" w:eastAsia="楷体_GB2312" w:cs="Times New Roman"/>
          <w:b/>
          <w:bCs w:val="0"/>
          <w:color w:val="000000"/>
          <w:sz w:val="32"/>
          <w:szCs w:val="32"/>
          <w:lang w:val="zh-CN" w:eastAsia="zh-CN"/>
        </w:rPr>
        <w:t>（四）预算绩效管理情况</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预算绩效管理要求，本单位在2021年度预算编制阶段，组织对困难群众救助补助资金、业务运行费、救助管理机构能力提升、未成年人救助保护机构设施设备购置和购买服务等4个项目开展了预算事前绩效评估，对4个项目编制了绩效目标，预算执行过程中，选取4个项目开展绩效监控，年终执行完毕后，对4个项目开展了绩效自评，2021年特定目标类部门预算项目绩效目标自评表见附件（第四部分）。</w:t>
      </w:r>
    </w:p>
    <w:p>
      <w:pPr>
        <w:spacing w:line="580" w:lineRule="exact"/>
        <w:ind w:firstLine="640" w:firstLineChars="200"/>
        <w:rPr>
          <w:rFonts w:hint="default" w:ascii="Times New Roman" w:hAnsi="Times New Roman" w:eastAsia="仿宋" w:cs="Times New Roman"/>
          <w:sz w:val="32"/>
          <w:szCs w:val="32"/>
        </w:rPr>
      </w:pPr>
    </w:p>
    <w:p>
      <w:pPr>
        <w:spacing w:line="580" w:lineRule="exact"/>
        <w:ind w:firstLine="640" w:firstLineChars="200"/>
        <w:rPr>
          <w:rFonts w:hint="default" w:ascii="Times New Roman" w:hAnsi="Times New Roman" w:eastAsia="仿宋" w:cs="Times New Roman"/>
          <w:sz w:val="32"/>
          <w:szCs w:val="32"/>
        </w:rPr>
      </w:pPr>
    </w:p>
    <w:p>
      <w:pPr>
        <w:spacing w:line="580" w:lineRule="exact"/>
        <w:ind w:firstLine="640" w:firstLineChars="200"/>
        <w:rPr>
          <w:rFonts w:hint="default" w:ascii="Times New Roman" w:hAnsi="Times New Roman" w:eastAsia="仿宋" w:cs="Times New Roman"/>
          <w:sz w:val="32"/>
          <w:szCs w:val="32"/>
        </w:rPr>
      </w:pPr>
    </w:p>
    <w:p>
      <w:pPr>
        <w:spacing w:line="580" w:lineRule="exact"/>
        <w:ind w:firstLine="640" w:firstLineChars="200"/>
        <w:rPr>
          <w:rFonts w:hint="default" w:ascii="Times New Roman" w:hAnsi="Times New Roman" w:eastAsia="仿宋" w:cs="Times New Roman"/>
          <w:sz w:val="32"/>
          <w:szCs w:val="32"/>
        </w:rPr>
      </w:pPr>
    </w:p>
    <w:p>
      <w:pPr>
        <w:numPr>
          <w:ilvl w:val="0"/>
          <w:numId w:val="0"/>
        </w:numPr>
        <w:spacing w:line="600" w:lineRule="exact"/>
        <w:ind w:leftChars="150"/>
        <w:jc w:val="center"/>
        <w:outlineLvl w:val="0"/>
        <w:rPr>
          <w:rStyle w:val="17"/>
          <w:rFonts w:hint="default" w:ascii="Times New Roman" w:hAnsi="Times New Roman" w:eastAsia="黑体" w:cs="Times New Roman"/>
          <w:b w:val="0"/>
        </w:rPr>
      </w:pPr>
      <w:bookmarkStart w:id="50" w:name="_Toc15377225"/>
      <w:bookmarkStart w:id="51" w:name="_Toc15396613"/>
      <w:r>
        <w:rPr>
          <w:rStyle w:val="17"/>
          <w:rFonts w:hint="eastAsia" w:eastAsia="黑体" w:cs="Times New Roman"/>
        </w:rPr>
        <w:t>第三部分</w:t>
      </w:r>
      <w:r>
        <w:rPr>
          <w:rStyle w:val="17"/>
          <w:rFonts w:hint="eastAsia" w:eastAsia="黑体" w:cs="Times New Roman"/>
          <w:lang w:val="en-US"/>
        </w:rPr>
        <w:t xml:space="preserve"> </w:t>
      </w:r>
      <w:r>
        <w:rPr>
          <w:rStyle w:val="17"/>
          <w:rFonts w:hint="default" w:ascii="Times New Roman" w:hAnsi="Times New Roman" w:eastAsia="黑体" w:cs="Times New Roman"/>
        </w:rPr>
        <w:t>名词解释</w:t>
      </w:r>
      <w:bookmarkEnd w:id="50"/>
      <w:bookmarkEnd w:id="51"/>
    </w:p>
    <w:p>
      <w:pPr>
        <w:spacing w:line="600" w:lineRule="exact"/>
        <w:jc w:val="left"/>
        <w:rPr>
          <w:rFonts w:hint="default" w:ascii="Times New Roman" w:hAnsi="Times New Roman" w:cs="Times New Roman"/>
          <w:b/>
          <w:color w:val="000000"/>
          <w:sz w:val="44"/>
          <w:szCs w:val="44"/>
        </w:rPr>
      </w:pPr>
    </w:p>
    <w:p>
      <w:pPr>
        <w:pStyle w:val="22"/>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1.财政拨款收入：指单位从同级财政部门取得的财政预算资金。</w:t>
      </w:r>
    </w:p>
    <w:p>
      <w:pPr>
        <w:pStyle w:val="22"/>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2.其他收入：指单位取得的除上述收入以外的各项收入。主要是利息收入等。</w:t>
      </w:r>
    </w:p>
    <w:p>
      <w:pPr>
        <w:pStyle w:val="22"/>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3.年初结转和结余：指以前年度尚未完成、结转到本年按有关规定继续使用的资金。</w:t>
      </w:r>
    </w:p>
    <w:p>
      <w:pPr>
        <w:pStyle w:val="22"/>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4.年末结转和结余：指单位按有关规定结转到下年或以后年度继续使用的资金。</w:t>
      </w:r>
    </w:p>
    <w:p>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5.社会保障和就业（类）临时救助（款）流浪乞讨人员救助支出（项</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指用于生活无着的流浪乞讨人员的救助支出和救助管理机构的运转支出。</w:t>
      </w:r>
    </w:p>
    <w:p>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6.社会保障和就业（类）行政事业单位养老支出（款）机关事业单位基本养老保险缴费支出（项）：反映机关事业单位实施养老保险制度由单位缴纳的基本养老保险费支出。</w:t>
      </w:r>
    </w:p>
    <w:p>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7.社会保障和就业（类）行政事业单位离退休（款）事业单位离退休（项）：反映实行归口管理的事业单位开支的离退休经费。</w:t>
      </w:r>
    </w:p>
    <w:p>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w:t>
      </w:r>
      <w:r>
        <w:rPr>
          <w:rFonts w:hint="default" w:ascii="Times New Roman" w:hAnsi="Times New Roman" w:eastAsia="仿宋_GB2312" w:cs="Times New Roman"/>
          <w:sz w:val="32"/>
          <w:szCs w:val="32"/>
        </w:rPr>
        <w:t>社会保障和就业（类）抚恤（款）死亡抚恤（项）</w:t>
      </w:r>
      <w:r>
        <w:rPr>
          <w:rFonts w:hint="default" w:ascii="Times New Roman" w:hAnsi="Times New Roman" w:eastAsia="仿宋_GB2312" w:cs="Times New Roman"/>
          <w:color w:val="000000"/>
          <w:sz w:val="32"/>
          <w:szCs w:val="32"/>
        </w:rPr>
        <w:t>：反映按规定用于烈士和牺牲、病故人员家属的一次性和定期抚恤金以及丧葬费补助。</w:t>
      </w:r>
    </w:p>
    <w:p>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9.住房保障（类）住房改革支出（款）住房公积金（项）：反映行政事业单位按人力资源和社会保障部、财政部规定的基本工资和津贴补贴以及规定比例为职工缴纳的住房公积金。</w:t>
      </w:r>
    </w:p>
    <w:p>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10.其他支出（类）彩票公益金安排的支出（款）用于社会福利的彩票公益金支出（项）反映用于社会福利和社会救助的彩票公益金支出。</w:t>
      </w:r>
    </w:p>
    <w:p>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11.基本支出：指为保障机构正常运转、完成日常工作任务而发生的人员支出和公用支出。</w:t>
      </w:r>
    </w:p>
    <w:p>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12.项目支出：指在基本支出之外为完成特定行政任务和事业发展目标所发生的支出。</w:t>
      </w:r>
    </w:p>
    <w:p>
      <w:pPr>
        <w:pStyle w:val="22"/>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widowControl/>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rPr>
        <w:br w:type="page"/>
      </w:r>
    </w:p>
    <w:p>
      <w:pPr>
        <w:spacing w:line="600" w:lineRule="exact"/>
        <w:jc w:val="center"/>
        <w:outlineLvl w:val="0"/>
        <w:rPr>
          <w:rFonts w:hint="default" w:ascii="Times New Roman" w:hAnsi="Times New Roman" w:eastAsia="黑体" w:cs="Times New Roman"/>
          <w:sz w:val="44"/>
          <w:szCs w:val="44"/>
        </w:rPr>
      </w:pPr>
      <w:bookmarkStart w:id="52" w:name="_Toc15396614"/>
      <w:bookmarkStart w:id="53" w:name="_Toc15377226"/>
      <w:r>
        <w:rPr>
          <w:rFonts w:hint="default" w:ascii="Times New Roman" w:hAnsi="Times New Roman" w:eastAsia="黑体" w:cs="Times New Roman"/>
          <w:color w:val="000000"/>
          <w:sz w:val="44"/>
          <w:szCs w:val="44"/>
        </w:rPr>
        <w:t>第</w:t>
      </w:r>
      <w:r>
        <w:rPr>
          <w:rStyle w:val="17"/>
          <w:rFonts w:hint="default" w:ascii="Times New Roman" w:hAnsi="Times New Roman" w:eastAsia="黑体" w:cs="Times New Roman"/>
          <w:b w:val="0"/>
        </w:rPr>
        <w:t>四部分 附件</w:t>
      </w:r>
      <w:bookmarkEnd w:id="52"/>
    </w:p>
    <w:tbl>
      <w:tblPr>
        <w:tblStyle w:val="13"/>
        <w:tblpPr w:leftFromText="180" w:rightFromText="180" w:vertAnchor="text" w:horzAnchor="page" w:tblpX="787" w:tblpY="660"/>
        <w:tblOverlap w:val="never"/>
        <w:tblW w:w="6246" w:type="pct"/>
        <w:tblInd w:w="0" w:type="dxa"/>
        <w:tblLayout w:type="autofit"/>
        <w:tblCellMar>
          <w:top w:w="0" w:type="dxa"/>
          <w:left w:w="108" w:type="dxa"/>
          <w:bottom w:w="0" w:type="dxa"/>
          <w:right w:w="108" w:type="dxa"/>
        </w:tblCellMar>
      </w:tblPr>
      <w:tblGrid>
        <w:gridCol w:w="659"/>
        <w:gridCol w:w="867"/>
        <w:gridCol w:w="232"/>
        <w:gridCol w:w="1469"/>
        <w:gridCol w:w="109"/>
        <w:gridCol w:w="2159"/>
        <w:gridCol w:w="1429"/>
        <w:gridCol w:w="696"/>
        <w:gridCol w:w="2794"/>
        <w:gridCol w:w="232"/>
      </w:tblGrid>
      <w:tr>
        <w:tblPrEx>
          <w:tblCellMar>
            <w:top w:w="0" w:type="dxa"/>
            <w:left w:w="108" w:type="dxa"/>
            <w:bottom w:w="0" w:type="dxa"/>
            <w:right w:w="108" w:type="dxa"/>
          </w:tblCellMar>
        </w:tblPrEx>
        <w:trPr>
          <w:trHeight w:val="675" w:hRule="atLeast"/>
        </w:trPr>
        <w:tc>
          <w:tcPr>
            <w:tcW w:w="4891" w:type="pct"/>
            <w:gridSpan w:val="9"/>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sz w:val="28"/>
                <w:szCs w:val="28"/>
              </w:rPr>
            </w:pPr>
            <w:r>
              <w:rPr>
                <w:rFonts w:hint="default" w:ascii="Times New Roman" w:hAnsi="Times New Roman" w:cs="Times New Roman"/>
                <w:b/>
                <w:sz w:val="28"/>
                <w:szCs w:val="28"/>
              </w:rPr>
              <w:t>2021年上级困难群众救助补助资金专项（项目）资金绩效自评表</w:t>
            </w:r>
          </w:p>
        </w:tc>
        <w:tc>
          <w:tcPr>
            <w:tcW w:w="109" w:type="pct"/>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kern w:val="0"/>
                <w:sz w:val="32"/>
                <w:szCs w:val="32"/>
              </w:rPr>
            </w:pPr>
          </w:p>
        </w:tc>
      </w:tr>
      <w:tr>
        <w:tblPrEx>
          <w:tblCellMar>
            <w:top w:w="0" w:type="dxa"/>
            <w:left w:w="108" w:type="dxa"/>
            <w:bottom w:w="0" w:type="dxa"/>
            <w:right w:w="108" w:type="dxa"/>
          </w:tblCellMar>
        </w:tblPrEx>
        <w:trPr>
          <w:gridAfter w:val="1"/>
          <w:wAfter w:w="109" w:type="pct"/>
          <w:trHeight w:val="254" w:hRule="atLeast"/>
        </w:trPr>
        <w:tc>
          <w:tcPr>
            <w:tcW w:w="8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主管部门及代码</w:t>
            </w:r>
          </w:p>
        </w:tc>
        <w:tc>
          <w:tcPr>
            <w:tcW w:w="17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sz w:val="20"/>
                <w:szCs w:val="20"/>
              </w:rPr>
              <w:t>攀枝花市民政局</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实施单位</w:t>
            </w:r>
          </w:p>
        </w:tc>
        <w:tc>
          <w:tcPr>
            <w:tcW w:w="16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sz w:val="20"/>
                <w:szCs w:val="20"/>
              </w:rPr>
              <w:t>攀枝花市救助站</w:t>
            </w:r>
          </w:p>
        </w:tc>
      </w:tr>
      <w:tr>
        <w:tblPrEx>
          <w:tblCellMar>
            <w:top w:w="0" w:type="dxa"/>
            <w:left w:w="108" w:type="dxa"/>
            <w:bottom w:w="0" w:type="dxa"/>
            <w:right w:w="108" w:type="dxa"/>
          </w:tblCellMar>
        </w:tblPrEx>
        <w:trPr>
          <w:gridAfter w:val="1"/>
          <w:wAfter w:w="109" w:type="pct"/>
          <w:trHeight w:val="341" w:hRule="atLeast"/>
        </w:trPr>
        <w:tc>
          <w:tcPr>
            <w:tcW w:w="82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项目预算</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执行情况</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（万元）</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预算数：</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sz w:val="20"/>
                <w:szCs w:val="20"/>
              </w:rPr>
              <w:t>190</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执行数：</w:t>
            </w:r>
          </w:p>
        </w:tc>
        <w:tc>
          <w:tcPr>
            <w:tcW w:w="16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sz w:val="20"/>
                <w:szCs w:val="20"/>
              </w:rPr>
              <w:t>190</w:t>
            </w:r>
          </w:p>
        </w:tc>
      </w:tr>
      <w:tr>
        <w:tblPrEx>
          <w:tblCellMar>
            <w:top w:w="0" w:type="dxa"/>
            <w:left w:w="108" w:type="dxa"/>
            <w:bottom w:w="0" w:type="dxa"/>
            <w:right w:w="108" w:type="dxa"/>
          </w:tblCellMar>
        </w:tblPrEx>
        <w:trPr>
          <w:gridAfter w:val="1"/>
          <w:wAfter w:w="109" w:type="pct"/>
          <w:trHeight w:val="555" w:hRule="atLeast"/>
        </w:trPr>
        <w:tc>
          <w:tcPr>
            <w:tcW w:w="82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其中：</w:t>
            </w:r>
          </w:p>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财政拨款</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sz w:val="20"/>
                <w:szCs w:val="20"/>
              </w:rPr>
              <w:t>190</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其中：</w:t>
            </w:r>
          </w:p>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财政拨款</w:t>
            </w:r>
          </w:p>
        </w:tc>
        <w:tc>
          <w:tcPr>
            <w:tcW w:w="16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sz w:val="20"/>
                <w:szCs w:val="20"/>
              </w:rPr>
              <w:t>190</w:t>
            </w:r>
          </w:p>
        </w:tc>
      </w:tr>
      <w:tr>
        <w:tblPrEx>
          <w:tblCellMar>
            <w:top w:w="0" w:type="dxa"/>
            <w:left w:w="108" w:type="dxa"/>
            <w:bottom w:w="0" w:type="dxa"/>
            <w:right w:w="108" w:type="dxa"/>
          </w:tblCellMar>
        </w:tblPrEx>
        <w:trPr>
          <w:gridAfter w:val="1"/>
          <w:wAfter w:w="109" w:type="pct"/>
          <w:trHeight w:val="341" w:hRule="atLeast"/>
        </w:trPr>
        <w:tc>
          <w:tcPr>
            <w:tcW w:w="82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其他资金</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sz w:val="20"/>
                <w:szCs w:val="20"/>
              </w:rPr>
              <w:t>0</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其他资金</w:t>
            </w:r>
          </w:p>
        </w:tc>
        <w:tc>
          <w:tcPr>
            <w:tcW w:w="16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sz w:val="20"/>
                <w:szCs w:val="20"/>
              </w:rPr>
              <w:t>0</w:t>
            </w:r>
          </w:p>
        </w:tc>
      </w:tr>
      <w:tr>
        <w:tblPrEx>
          <w:tblCellMar>
            <w:top w:w="0" w:type="dxa"/>
            <w:left w:w="108" w:type="dxa"/>
            <w:bottom w:w="0" w:type="dxa"/>
            <w:right w:w="108" w:type="dxa"/>
          </w:tblCellMar>
        </w:tblPrEx>
        <w:trPr>
          <w:gridAfter w:val="1"/>
          <w:wAfter w:w="109" w:type="pct"/>
          <w:trHeight w:val="217"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年度总体目标</w:t>
            </w:r>
          </w:p>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完成情况</w:t>
            </w:r>
          </w:p>
        </w:tc>
        <w:tc>
          <w:tcPr>
            <w:tcW w:w="2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预期目标</w:t>
            </w:r>
          </w:p>
        </w:tc>
        <w:tc>
          <w:tcPr>
            <w:tcW w:w="231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目标实际完成情况</w:t>
            </w:r>
          </w:p>
        </w:tc>
      </w:tr>
      <w:tr>
        <w:tblPrEx>
          <w:tblCellMar>
            <w:top w:w="0" w:type="dxa"/>
            <w:left w:w="108" w:type="dxa"/>
            <w:bottom w:w="0" w:type="dxa"/>
            <w:right w:w="108" w:type="dxa"/>
          </w:tblCellMar>
        </w:tblPrEx>
        <w:trPr>
          <w:gridAfter w:val="1"/>
          <w:wAfter w:w="109" w:type="pct"/>
          <w:trHeight w:val="79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2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hint="default" w:ascii="Times New Roman" w:hAnsi="Times New Roman" w:cs="Times New Roman"/>
                <w:sz w:val="20"/>
                <w:szCs w:val="20"/>
              </w:rPr>
            </w:pPr>
            <w:r>
              <w:rPr>
                <w:rFonts w:hint="default" w:ascii="Times New Roman" w:hAnsi="Times New Roman" w:cs="Times New Roman"/>
                <w:sz w:val="20"/>
                <w:szCs w:val="20"/>
              </w:rPr>
              <w:t>坚持依法、自愿、无偿救助原则，深入贯彻落实好救助管理和救助保护系列政策法规，进一步提高救助管理工作的标准化、规范化。坚持以人为本，负责全市对外救助、接送流浪乞讨人员、未成年人返乡，特殊人员的医疗救治、临时安置等工作，深化服务内涵。</w:t>
            </w:r>
          </w:p>
        </w:tc>
        <w:tc>
          <w:tcPr>
            <w:tcW w:w="231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hint="default" w:ascii="Times New Roman" w:hAnsi="Times New Roman" w:cs="Times New Roman"/>
                <w:sz w:val="20"/>
                <w:szCs w:val="20"/>
              </w:rPr>
            </w:pPr>
            <w:r>
              <w:rPr>
                <w:rFonts w:hint="default" w:ascii="Times New Roman" w:hAnsi="Times New Roman" w:cs="Times New Roman"/>
                <w:sz w:val="20"/>
                <w:szCs w:val="20"/>
              </w:rPr>
              <w:t>按照年度设定目标，为生活无着救助人员提供基本生活保障、给予生活照料、返乡救助服务、教育矫治、未成年人保护、对特殊人员提供疾病治疗 ，切实维护生活无着救助人员的基本权益，做好生活无着救助人员的兜底工作。全年救助473人次，送医35人次，提供返乡车票自主返乡338人次，护送返乡135人次。</w:t>
            </w:r>
          </w:p>
        </w:tc>
      </w:tr>
      <w:tr>
        <w:tblPrEx>
          <w:tblCellMar>
            <w:top w:w="0" w:type="dxa"/>
            <w:left w:w="108" w:type="dxa"/>
            <w:bottom w:w="0" w:type="dxa"/>
            <w:right w:w="108" w:type="dxa"/>
          </w:tblCellMar>
        </w:tblPrEx>
        <w:trPr>
          <w:gridAfter w:val="1"/>
          <w:wAfter w:w="109" w:type="pct"/>
          <w:trHeight w:val="620" w:hRule="atLeast"/>
        </w:trPr>
        <w:tc>
          <w:tcPr>
            <w:tcW w:w="310"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年度绩效指标完成情况</w:t>
            </w:r>
          </w:p>
        </w:tc>
        <w:tc>
          <w:tcPr>
            <w:tcW w:w="407" w:type="pct"/>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一级</w:t>
            </w:r>
          </w:p>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指标</w:t>
            </w:r>
          </w:p>
        </w:tc>
        <w:tc>
          <w:tcPr>
            <w:tcW w:w="7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二级</w:t>
            </w:r>
          </w:p>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指标</w:t>
            </w:r>
          </w:p>
        </w:tc>
        <w:tc>
          <w:tcPr>
            <w:tcW w:w="10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三级</w:t>
            </w:r>
          </w:p>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指标</w:t>
            </w:r>
          </w:p>
        </w:tc>
        <w:tc>
          <w:tcPr>
            <w:tcW w:w="9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预期指标值</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实际完成指标值</w:t>
            </w:r>
          </w:p>
        </w:tc>
      </w:tr>
      <w:tr>
        <w:tblPrEx>
          <w:tblCellMar>
            <w:top w:w="0" w:type="dxa"/>
            <w:left w:w="108" w:type="dxa"/>
            <w:bottom w:w="0" w:type="dxa"/>
            <w:right w:w="108" w:type="dxa"/>
          </w:tblCellMar>
        </w:tblPrEx>
        <w:trPr>
          <w:gridAfter w:val="1"/>
          <w:wAfter w:w="109" w:type="pct"/>
          <w:trHeight w:val="415" w:hRule="atLeast"/>
        </w:trPr>
        <w:tc>
          <w:tcPr>
            <w:tcW w:w="310"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kern w:val="0"/>
                <w:sz w:val="20"/>
                <w:szCs w:val="20"/>
              </w:rPr>
            </w:pPr>
            <w:r>
              <w:rPr>
                <w:rFonts w:hint="default" w:ascii="Times New Roman" w:hAnsi="Times New Roman" w:cs="Times New Roman"/>
                <w:kern w:val="0"/>
                <w:sz w:val="20"/>
                <w:szCs w:val="20"/>
              </w:rPr>
              <w:t>完成</w:t>
            </w:r>
          </w:p>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kern w:val="0"/>
                <w:sz w:val="20"/>
                <w:szCs w:val="20"/>
              </w:rPr>
              <w:t>指标</w:t>
            </w:r>
          </w:p>
        </w:tc>
        <w:tc>
          <w:tcPr>
            <w:tcW w:w="7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kern w:val="0"/>
                <w:sz w:val="20"/>
                <w:szCs w:val="20"/>
              </w:rPr>
              <w:t>数量指标</w:t>
            </w:r>
          </w:p>
        </w:tc>
        <w:tc>
          <w:tcPr>
            <w:tcW w:w="10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医疗救助；生活救助</w:t>
            </w:r>
          </w:p>
        </w:tc>
        <w:tc>
          <w:tcPr>
            <w:tcW w:w="9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sz w:val="20"/>
                <w:szCs w:val="20"/>
              </w:rPr>
              <w:t>每季3人次以上；为困难群众提供基本生活保障，解决临时需求</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sz w:val="20"/>
                <w:szCs w:val="20"/>
              </w:rPr>
              <w:t>完成率100%，全年送医救治35人；100%全年在站救助473人次，不包含医院住院人员</w:t>
            </w:r>
          </w:p>
        </w:tc>
      </w:tr>
      <w:tr>
        <w:tblPrEx>
          <w:tblCellMar>
            <w:top w:w="0" w:type="dxa"/>
            <w:left w:w="108" w:type="dxa"/>
            <w:bottom w:w="0" w:type="dxa"/>
            <w:right w:w="108" w:type="dxa"/>
          </w:tblCellMar>
        </w:tblPrEx>
        <w:trPr>
          <w:gridAfter w:val="1"/>
          <w:wAfter w:w="109" w:type="pct"/>
          <w:trHeight w:val="415" w:hRule="atLeast"/>
        </w:trPr>
        <w:tc>
          <w:tcPr>
            <w:tcW w:w="310"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7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kern w:val="0"/>
                <w:sz w:val="20"/>
                <w:szCs w:val="20"/>
              </w:rPr>
              <w:t>质量指标</w:t>
            </w:r>
          </w:p>
        </w:tc>
        <w:tc>
          <w:tcPr>
            <w:tcW w:w="10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临时救助水平</w:t>
            </w:r>
          </w:p>
        </w:tc>
        <w:tc>
          <w:tcPr>
            <w:tcW w:w="9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sz w:val="20"/>
                <w:szCs w:val="20"/>
              </w:rPr>
              <w:t>保障机构正常运行，完成民政兜底工作。</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sz w:val="20"/>
                <w:szCs w:val="20"/>
              </w:rPr>
              <w:t>完成率100%，救助受助人员救助满意度达90%以上</w:t>
            </w:r>
          </w:p>
        </w:tc>
      </w:tr>
      <w:tr>
        <w:tblPrEx>
          <w:tblCellMar>
            <w:top w:w="0" w:type="dxa"/>
            <w:left w:w="108" w:type="dxa"/>
            <w:bottom w:w="0" w:type="dxa"/>
            <w:right w:w="108" w:type="dxa"/>
          </w:tblCellMar>
        </w:tblPrEx>
        <w:trPr>
          <w:gridAfter w:val="1"/>
          <w:wAfter w:w="109" w:type="pct"/>
          <w:trHeight w:val="415" w:hRule="atLeast"/>
        </w:trPr>
        <w:tc>
          <w:tcPr>
            <w:tcW w:w="310"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7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kern w:val="0"/>
                <w:sz w:val="20"/>
                <w:szCs w:val="20"/>
              </w:rPr>
              <w:t>时效指标</w:t>
            </w:r>
          </w:p>
        </w:tc>
        <w:tc>
          <w:tcPr>
            <w:tcW w:w="10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sz w:val="20"/>
                <w:szCs w:val="20"/>
              </w:rPr>
              <w:t>困难群众基本生活救助保障制度；流浪乞讨人员当天登记救助率</w:t>
            </w:r>
          </w:p>
        </w:tc>
        <w:tc>
          <w:tcPr>
            <w:tcW w:w="9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sz w:val="20"/>
                <w:szCs w:val="20"/>
              </w:rPr>
              <w:t>均需≥90%</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sz w:val="20"/>
                <w:szCs w:val="20"/>
              </w:rPr>
              <w:t>完成率100%，实际完成≥90%；完成率100%，实际完成≥95%</w:t>
            </w:r>
          </w:p>
        </w:tc>
      </w:tr>
      <w:tr>
        <w:tblPrEx>
          <w:tblCellMar>
            <w:top w:w="0" w:type="dxa"/>
            <w:left w:w="108" w:type="dxa"/>
            <w:bottom w:w="0" w:type="dxa"/>
            <w:right w:w="108" w:type="dxa"/>
          </w:tblCellMar>
        </w:tblPrEx>
        <w:trPr>
          <w:gridAfter w:val="1"/>
          <w:wAfter w:w="109" w:type="pct"/>
          <w:trHeight w:val="480" w:hRule="atLeast"/>
        </w:trPr>
        <w:tc>
          <w:tcPr>
            <w:tcW w:w="310"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7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kern w:val="0"/>
                <w:sz w:val="20"/>
                <w:szCs w:val="20"/>
              </w:rPr>
              <w:t>成本指标</w:t>
            </w:r>
          </w:p>
        </w:tc>
        <w:tc>
          <w:tcPr>
            <w:tcW w:w="10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sz w:val="20"/>
                <w:szCs w:val="20"/>
              </w:rPr>
              <w:t>按照“应救必救”和“先救治，后救助”的原则，无偿救助</w:t>
            </w:r>
          </w:p>
        </w:tc>
        <w:tc>
          <w:tcPr>
            <w:tcW w:w="9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sz w:val="20"/>
                <w:szCs w:val="20"/>
              </w:rPr>
              <w:t>持续达90%</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sz w:val="20"/>
                <w:szCs w:val="20"/>
              </w:rPr>
              <w:t>完成率100%，实际完成≥95%</w:t>
            </w:r>
          </w:p>
        </w:tc>
      </w:tr>
      <w:tr>
        <w:tblPrEx>
          <w:tblCellMar>
            <w:top w:w="0" w:type="dxa"/>
            <w:left w:w="108" w:type="dxa"/>
            <w:bottom w:w="0" w:type="dxa"/>
            <w:right w:w="108" w:type="dxa"/>
          </w:tblCellMar>
        </w:tblPrEx>
        <w:trPr>
          <w:gridAfter w:val="1"/>
          <w:wAfter w:w="109" w:type="pct"/>
          <w:trHeight w:val="382" w:hRule="atLeast"/>
        </w:trPr>
        <w:tc>
          <w:tcPr>
            <w:tcW w:w="310"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kern w:val="0"/>
                <w:sz w:val="20"/>
                <w:szCs w:val="20"/>
              </w:rPr>
              <w:t>效益</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指标</w:t>
            </w:r>
          </w:p>
        </w:tc>
        <w:tc>
          <w:tcPr>
            <w:tcW w:w="7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kern w:val="0"/>
                <w:sz w:val="20"/>
                <w:szCs w:val="20"/>
              </w:rPr>
              <w:t>经济效益指标</w:t>
            </w:r>
          </w:p>
        </w:tc>
        <w:tc>
          <w:tcPr>
            <w:tcW w:w="10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p>
        </w:tc>
        <w:tc>
          <w:tcPr>
            <w:tcW w:w="9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p>
        </w:tc>
      </w:tr>
      <w:tr>
        <w:tblPrEx>
          <w:tblCellMar>
            <w:top w:w="0" w:type="dxa"/>
            <w:left w:w="108" w:type="dxa"/>
            <w:bottom w:w="0" w:type="dxa"/>
            <w:right w:w="108" w:type="dxa"/>
          </w:tblCellMar>
        </w:tblPrEx>
        <w:trPr>
          <w:gridAfter w:val="1"/>
          <w:wAfter w:w="109" w:type="pct"/>
          <w:trHeight w:val="480" w:hRule="atLeast"/>
        </w:trPr>
        <w:tc>
          <w:tcPr>
            <w:tcW w:w="310"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7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kern w:val="0"/>
                <w:sz w:val="20"/>
                <w:szCs w:val="20"/>
              </w:rPr>
              <w:t>社会效益指标</w:t>
            </w:r>
          </w:p>
        </w:tc>
        <w:tc>
          <w:tcPr>
            <w:tcW w:w="10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sz w:val="20"/>
                <w:szCs w:val="20"/>
              </w:rPr>
              <w:t>为走失、务工不着、家庭暴力受害者等离家在外的临时遇困人员提供救助服务率</w:t>
            </w:r>
          </w:p>
        </w:tc>
        <w:tc>
          <w:tcPr>
            <w:tcW w:w="9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sz w:val="20"/>
                <w:szCs w:val="20"/>
              </w:rPr>
              <w:t>≥90%</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sz w:val="20"/>
                <w:szCs w:val="20"/>
              </w:rPr>
              <w:t>完成率100%，实际完成≥90%</w:t>
            </w:r>
          </w:p>
        </w:tc>
      </w:tr>
      <w:tr>
        <w:tblPrEx>
          <w:tblCellMar>
            <w:top w:w="0" w:type="dxa"/>
            <w:left w:w="108" w:type="dxa"/>
            <w:bottom w:w="0" w:type="dxa"/>
            <w:right w:w="108" w:type="dxa"/>
          </w:tblCellMar>
        </w:tblPrEx>
        <w:trPr>
          <w:gridAfter w:val="1"/>
          <w:wAfter w:w="109" w:type="pct"/>
          <w:trHeight w:val="381" w:hRule="atLeast"/>
        </w:trPr>
        <w:tc>
          <w:tcPr>
            <w:tcW w:w="310"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7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383" w:leftChars="87" w:hanging="200" w:hangingChars="100"/>
              <w:jc w:val="center"/>
              <w:textAlignment w:val="bottom"/>
              <w:rPr>
                <w:rFonts w:hint="default" w:ascii="Times New Roman" w:hAnsi="Times New Roman" w:cs="Times New Roman"/>
                <w:sz w:val="20"/>
                <w:szCs w:val="20"/>
              </w:rPr>
            </w:pPr>
            <w:r>
              <w:rPr>
                <w:rFonts w:hint="default" w:ascii="Times New Roman" w:hAnsi="Times New Roman" w:cs="Times New Roman"/>
                <w:kern w:val="0"/>
                <w:sz w:val="20"/>
                <w:szCs w:val="20"/>
              </w:rPr>
              <w:t>生态效益指标</w:t>
            </w:r>
          </w:p>
        </w:tc>
        <w:tc>
          <w:tcPr>
            <w:tcW w:w="10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p>
        </w:tc>
        <w:tc>
          <w:tcPr>
            <w:tcW w:w="9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p>
        </w:tc>
      </w:tr>
      <w:tr>
        <w:tblPrEx>
          <w:tblCellMar>
            <w:top w:w="0" w:type="dxa"/>
            <w:left w:w="108" w:type="dxa"/>
            <w:bottom w:w="0" w:type="dxa"/>
            <w:right w:w="108" w:type="dxa"/>
          </w:tblCellMar>
        </w:tblPrEx>
        <w:trPr>
          <w:gridAfter w:val="1"/>
          <w:wAfter w:w="109" w:type="pct"/>
          <w:trHeight w:val="480" w:hRule="atLeast"/>
        </w:trPr>
        <w:tc>
          <w:tcPr>
            <w:tcW w:w="310"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7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kern w:val="0"/>
                <w:sz w:val="20"/>
                <w:szCs w:val="20"/>
              </w:rPr>
              <w:t>可持续影响指标</w:t>
            </w:r>
          </w:p>
        </w:tc>
        <w:tc>
          <w:tcPr>
            <w:tcW w:w="10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sz w:val="20"/>
                <w:szCs w:val="20"/>
              </w:rPr>
              <w:t>困难群众救助保障制度</w:t>
            </w:r>
          </w:p>
        </w:tc>
        <w:tc>
          <w:tcPr>
            <w:tcW w:w="9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sz w:val="20"/>
                <w:szCs w:val="20"/>
              </w:rPr>
              <w:t>进一步完善</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sz w:val="20"/>
                <w:szCs w:val="20"/>
              </w:rPr>
              <w:t>救助群众得到妥善安置</w:t>
            </w:r>
          </w:p>
        </w:tc>
      </w:tr>
      <w:tr>
        <w:tblPrEx>
          <w:tblCellMar>
            <w:top w:w="0" w:type="dxa"/>
            <w:left w:w="108" w:type="dxa"/>
            <w:bottom w:w="0" w:type="dxa"/>
            <w:right w:w="108" w:type="dxa"/>
          </w:tblCellMar>
        </w:tblPrEx>
        <w:trPr>
          <w:gridAfter w:val="1"/>
          <w:wAfter w:w="109" w:type="pct"/>
          <w:trHeight w:val="519" w:hRule="atLeast"/>
        </w:trPr>
        <w:tc>
          <w:tcPr>
            <w:tcW w:w="310" w:type="pct"/>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kern w:val="0"/>
                <w:sz w:val="20"/>
                <w:szCs w:val="20"/>
              </w:rPr>
              <w:t>满意</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度指标</w:t>
            </w:r>
          </w:p>
        </w:tc>
        <w:tc>
          <w:tcPr>
            <w:tcW w:w="7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kern w:val="0"/>
                <w:sz w:val="20"/>
                <w:szCs w:val="20"/>
              </w:rPr>
            </w:pPr>
            <w:r>
              <w:rPr>
                <w:rFonts w:hint="default" w:ascii="Times New Roman" w:hAnsi="Times New Roman" w:cs="Times New Roman"/>
                <w:kern w:val="0"/>
                <w:sz w:val="20"/>
                <w:szCs w:val="20"/>
              </w:rPr>
              <w:t>满意度</w:t>
            </w:r>
          </w:p>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kern w:val="0"/>
                <w:sz w:val="20"/>
                <w:szCs w:val="20"/>
              </w:rPr>
              <w:t>指标</w:t>
            </w:r>
          </w:p>
        </w:tc>
        <w:tc>
          <w:tcPr>
            <w:tcW w:w="10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sz w:val="20"/>
                <w:szCs w:val="20"/>
              </w:rPr>
              <w:t>服务对象满意度</w:t>
            </w:r>
          </w:p>
        </w:tc>
        <w:tc>
          <w:tcPr>
            <w:tcW w:w="9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sz w:val="20"/>
                <w:szCs w:val="20"/>
              </w:rPr>
              <w:t>救助对象满意度；政策知晓度≥95%</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sz w:val="20"/>
                <w:szCs w:val="20"/>
              </w:rPr>
              <w:t>100%</w:t>
            </w:r>
          </w:p>
        </w:tc>
      </w:tr>
    </w:tbl>
    <w:p>
      <w:pPr>
        <w:widowControl/>
        <w:jc w:val="left"/>
        <w:rPr>
          <w:rFonts w:hint="default" w:ascii="Times New Roman" w:hAnsi="Times New Roman" w:eastAsia="黑体" w:cs="Times New Roman"/>
          <w:color w:val="000000"/>
          <w:sz w:val="44"/>
          <w:szCs w:val="44"/>
        </w:rPr>
      </w:pPr>
      <w:bookmarkStart w:id="54" w:name="_Toc15396618"/>
    </w:p>
    <w:tbl>
      <w:tblPr>
        <w:tblStyle w:val="13"/>
        <w:tblpPr w:leftFromText="180" w:rightFromText="180" w:vertAnchor="text" w:horzAnchor="page" w:tblpX="787" w:tblpY="660"/>
        <w:tblOverlap w:val="never"/>
        <w:tblW w:w="6246" w:type="pct"/>
        <w:tblInd w:w="0" w:type="dxa"/>
        <w:tblLayout w:type="autofit"/>
        <w:tblCellMar>
          <w:top w:w="0" w:type="dxa"/>
          <w:left w:w="108" w:type="dxa"/>
          <w:bottom w:w="0" w:type="dxa"/>
          <w:right w:w="108" w:type="dxa"/>
        </w:tblCellMar>
      </w:tblPr>
      <w:tblGrid>
        <w:gridCol w:w="675"/>
        <w:gridCol w:w="1124"/>
        <w:gridCol w:w="1429"/>
        <w:gridCol w:w="185"/>
        <w:gridCol w:w="2506"/>
        <w:gridCol w:w="1984"/>
        <w:gridCol w:w="2743"/>
      </w:tblGrid>
      <w:tr>
        <w:tblPrEx>
          <w:tblCellMar>
            <w:top w:w="0" w:type="dxa"/>
            <w:left w:w="108" w:type="dxa"/>
            <w:bottom w:w="0" w:type="dxa"/>
            <w:right w:w="108" w:type="dxa"/>
          </w:tblCellMar>
        </w:tblPrEx>
        <w:trPr>
          <w:trHeight w:val="675" w:hRule="atLeast"/>
        </w:trPr>
        <w:tc>
          <w:tcPr>
            <w:tcW w:w="5000" w:type="pct"/>
            <w:gridSpan w:val="7"/>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sz w:val="28"/>
                <w:szCs w:val="28"/>
              </w:rPr>
            </w:pPr>
            <w:r>
              <w:rPr>
                <w:rFonts w:hint="default" w:ascii="Times New Roman" w:hAnsi="Times New Roman" w:cs="Times New Roman"/>
                <w:b/>
                <w:sz w:val="28"/>
                <w:szCs w:val="28"/>
              </w:rPr>
              <w:t>2021年业务运行费专项（项目）资金绩效自评表</w:t>
            </w:r>
          </w:p>
        </w:tc>
      </w:tr>
      <w:tr>
        <w:tblPrEx>
          <w:tblCellMar>
            <w:top w:w="0" w:type="dxa"/>
            <w:left w:w="108" w:type="dxa"/>
            <w:bottom w:w="0" w:type="dxa"/>
            <w:right w:w="108" w:type="dxa"/>
          </w:tblCellMar>
        </w:tblPrEx>
        <w:trPr>
          <w:trHeight w:val="254" w:hRule="atLeast"/>
        </w:trPr>
        <w:tc>
          <w:tcPr>
            <w:tcW w:w="8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主管部门及代码</w:t>
            </w:r>
          </w:p>
        </w:tc>
        <w:tc>
          <w:tcPr>
            <w:tcW w:w="193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sz w:val="20"/>
                <w:szCs w:val="20"/>
              </w:rPr>
              <w:t>攀枝花市民政局</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实施单位</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sz w:val="20"/>
                <w:szCs w:val="20"/>
              </w:rPr>
              <w:t>攀枝花市救助站</w:t>
            </w:r>
          </w:p>
        </w:tc>
      </w:tr>
      <w:tr>
        <w:tblPrEx>
          <w:tblCellMar>
            <w:top w:w="0" w:type="dxa"/>
            <w:left w:w="108" w:type="dxa"/>
            <w:bottom w:w="0" w:type="dxa"/>
            <w:right w:w="108" w:type="dxa"/>
          </w:tblCellMar>
        </w:tblPrEx>
        <w:trPr>
          <w:trHeight w:val="341" w:hRule="atLeast"/>
        </w:trPr>
        <w:tc>
          <w:tcPr>
            <w:tcW w:w="84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项目预算</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执行情况</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（万元）</w:t>
            </w:r>
          </w:p>
        </w:tc>
        <w:tc>
          <w:tcPr>
            <w:tcW w:w="7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预算数：</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sz w:val="20"/>
                <w:szCs w:val="20"/>
              </w:rPr>
              <w:t>2.7</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执行数：</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sz w:val="20"/>
                <w:szCs w:val="20"/>
              </w:rPr>
              <w:t>2.7</w:t>
            </w:r>
          </w:p>
        </w:tc>
      </w:tr>
      <w:tr>
        <w:trPr>
          <w:trHeight w:val="555" w:hRule="atLeast"/>
        </w:trPr>
        <w:tc>
          <w:tcPr>
            <w:tcW w:w="84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7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其中：</w:t>
            </w:r>
          </w:p>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财政拨款</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sz w:val="20"/>
                <w:szCs w:val="20"/>
              </w:rPr>
              <w:t>2.7</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其中：</w:t>
            </w:r>
          </w:p>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财政拨款</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sz w:val="20"/>
                <w:szCs w:val="20"/>
              </w:rPr>
              <w:t>2.7</w:t>
            </w:r>
          </w:p>
        </w:tc>
      </w:tr>
      <w:tr>
        <w:tblPrEx>
          <w:tblCellMar>
            <w:top w:w="0" w:type="dxa"/>
            <w:left w:w="108" w:type="dxa"/>
            <w:bottom w:w="0" w:type="dxa"/>
            <w:right w:w="108" w:type="dxa"/>
          </w:tblCellMar>
        </w:tblPrEx>
        <w:trPr>
          <w:trHeight w:val="341" w:hRule="atLeast"/>
        </w:trPr>
        <w:tc>
          <w:tcPr>
            <w:tcW w:w="84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7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其他资金</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sz w:val="20"/>
                <w:szCs w:val="20"/>
              </w:rPr>
              <w:t>0</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其他资金</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sz w:val="20"/>
                <w:szCs w:val="20"/>
              </w:rPr>
              <w:t>0</w:t>
            </w:r>
          </w:p>
        </w:tc>
      </w:tr>
      <w:tr>
        <w:tblPrEx>
          <w:tblCellMar>
            <w:top w:w="0" w:type="dxa"/>
            <w:left w:w="108" w:type="dxa"/>
            <w:bottom w:w="0" w:type="dxa"/>
            <w:right w:w="108" w:type="dxa"/>
          </w:tblCellMar>
        </w:tblPrEx>
        <w:trPr>
          <w:trHeight w:val="217" w:hRule="atLeast"/>
        </w:trPr>
        <w:tc>
          <w:tcPr>
            <w:tcW w:w="3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年度总体目标</w:t>
            </w:r>
          </w:p>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完成情况</w:t>
            </w:r>
          </w:p>
        </w:tc>
        <w:tc>
          <w:tcPr>
            <w:tcW w:w="24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预期目标</w:t>
            </w:r>
          </w:p>
        </w:tc>
        <w:tc>
          <w:tcPr>
            <w:tcW w:w="22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目标实际完成情况</w:t>
            </w:r>
          </w:p>
        </w:tc>
      </w:tr>
      <w:tr>
        <w:tblPrEx>
          <w:tblCellMar>
            <w:top w:w="0" w:type="dxa"/>
            <w:left w:w="108" w:type="dxa"/>
            <w:bottom w:w="0" w:type="dxa"/>
            <w:right w:w="108" w:type="dxa"/>
          </w:tblCellMar>
        </w:tblPrEx>
        <w:trPr>
          <w:trHeight w:val="797" w:hRule="atLeast"/>
        </w:trPr>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24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hint="default" w:ascii="Times New Roman" w:hAnsi="Times New Roman" w:cs="Times New Roman"/>
                <w:sz w:val="20"/>
                <w:szCs w:val="20"/>
              </w:rPr>
            </w:pPr>
            <w:r>
              <w:rPr>
                <w:rFonts w:hint="default" w:ascii="Times New Roman" w:hAnsi="Times New Roman" w:cs="Times New Roman"/>
                <w:sz w:val="20"/>
                <w:szCs w:val="20"/>
              </w:rPr>
              <w:t>救助管理机构实行24小时接待服务，做好站内安全管理。开展“应救尽救、应救必救”，为生活无着的流浪、乞讨人员等特殊困难群众提供临时食宿、监护照料、医疗救治、接领护送、跨省中转、寻亲查询、街面劝助等服务，充分体现党委、政府对困难群众的关心关爱，切实维护社会稳定。提升身份不明信息核对能力，及时维护电信网络系统；维护维修变压器、配电房及附属设施，确保站内安全，保障单位正常运转。</w:t>
            </w:r>
          </w:p>
        </w:tc>
        <w:tc>
          <w:tcPr>
            <w:tcW w:w="22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hint="default" w:ascii="Times New Roman" w:hAnsi="Times New Roman" w:cs="Times New Roman"/>
                <w:sz w:val="20"/>
                <w:szCs w:val="20"/>
              </w:rPr>
            </w:pPr>
            <w:r>
              <w:rPr>
                <w:rFonts w:hint="default" w:ascii="Times New Roman" w:hAnsi="Times New Roman" w:cs="Times New Roman"/>
                <w:sz w:val="20"/>
                <w:szCs w:val="20"/>
              </w:rPr>
              <w:t>按照年初目标任务情况，扎实抓好站内安全管理，维护社会稳定。维护好站内设施设备运行，为救助工作提供切实保障。</w:t>
            </w:r>
          </w:p>
        </w:tc>
      </w:tr>
      <w:tr>
        <w:trPr>
          <w:trHeight w:val="693" w:hRule="atLeast"/>
        </w:trPr>
        <w:tc>
          <w:tcPr>
            <w:tcW w:w="31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年度绩效指标完成情况</w:t>
            </w:r>
          </w:p>
        </w:tc>
        <w:tc>
          <w:tcPr>
            <w:tcW w:w="528" w:type="pct"/>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一级</w:t>
            </w:r>
          </w:p>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指标</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二级</w:t>
            </w:r>
          </w:p>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指标</w:t>
            </w:r>
          </w:p>
        </w:tc>
        <w:tc>
          <w:tcPr>
            <w:tcW w:w="12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三级</w:t>
            </w:r>
          </w:p>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指标</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预期指标值</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实际完成指标值</w:t>
            </w:r>
          </w:p>
        </w:tc>
      </w:tr>
      <w:tr>
        <w:tblPrEx>
          <w:tblCellMar>
            <w:top w:w="0" w:type="dxa"/>
            <w:left w:w="108" w:type="dxa"/>
            <w:bottom w:w="0" w:type="dxa"/>
            <w:right w:w="108" w:type="dxa"/>
          </w:tblCellMar>
        </w:tblPrEx>
        <w:trPr>
          <w:trHeight w:val="415" w:hRule="atLeast"/>
        </w:trPr>
        <w:tc>
          <w:tcPr>
            <w:tcW w:w="317"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kern w:val="0"/>
                <w:sz w:val="20"/>
                <w:szCs w:val="20"/>
              </w:rPr>
            </w:pPr>
            <w:r>
              <w:rPr>
                <w:rFonts w:hint="default" w:ascii="Times New Roman" w:hAnsi="Times New Roman" w:cs="Times New Roman"/>
                <w:kern w:val="0"/>
                <w:sz w:val="20"/>
                <w:szCs w:val="20"/>
              </w:rPr>
              <w:t>完成</w:t>
            </w:r>
          </w:p>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kern w:val="0"/>
                <w:sz w:val="20"/>
                <w:szCs w:val="20"/>
              </w:rPr>
              <w:t>指标</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kern w:val="0"/>
                <w:sz w:val="20"/>
                <w:szCs w:val="20"/>
              </w:rPr>
              <w:t>数量指标</w:t>
            </w:r>
          </w:p>
        </w:tc>
        <w:tc>
          <w:tcPr>
            <w:tcW w:w="12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安全值班及巡查工作天数</w:t>
            </w:r>
          </w:p>
          <w:p>
            <w:pPr>
              <w:widowControl/>
              <w:spacing w:line="320" w:lineRule="exact"/>
              <w:jc w:val="center"/>
              <w:textAlignment w:val="bottom"/>
              <w:rPr>
                <w:rFonts w:hint="default" w:ascii="Times New Roman" w:hAnsi="Times New Roman" w:cs="Times New Roman"/>
                <w:sz w:val="20"/>
                <w:szCs w:val="20"/>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sz w:val="20"/>
                <w:szCs w:val="20"/>
              </w:rPr>
              <w:t>365天值班、不定期安全巡查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sz w:val="20"/>
                <w:szCs w:val="20"/>
              </w:rPr>
              <w:t>完成率100%，24小时值班、不定时安全巡查</w:t>
            </w:r>
          </w:p>
        </w:tc>
      </w:tr>
      <w:tr>
        <w:tblPrEx>
          <w:tblCellMar>
            <w:top w:w="0" w:type="dxa"/>
            <w:left w:w="108" w:type="dxa"/>
            <w:bottom w:w="0" w:type="dxa"/>
            <w:right w:w="108" w:type="dxa"/>
          </w:tblCellMar>
        </w:tblPrEx>
        <w:trPr>
          <w:trHeight w:val="415" w:hRule="atLeast"/>
        </w:trPr>
        <w:tc>
          <w:tcPr>
            <w:tcW w:w="317"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kern w:val="0"/>
                <w:sz w:val="20"/>
                <w:szCs w:val="20"/>
              </w:rPr>
              <w:t>质量指标</w:t>
            </w:r>
          </w:p>
        </w:tc>
        <w:tc>
          <w:tcPr>
            <w:tcW w:w="12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安全管理零发生率做好站内安全管理及疫情防控需要</w:t>
            </w:r>
          </w:p>
          <w:p>
            <w:pPr>
              <w:widowControl/>
              <w:spacing w:line="320" w:lineRule="exact"/>
              <w:jc w:val="center"/>
              <w:textAlignment w:val="bottom"/>
              <w:rPr>
                <w:rFonts w:hint="default" w:ascii="Times New Roman" w:hAnsi="Times New Roman" w:cs="Times New Roman"/>
                <w:sz w:val="20"/>
                <w:szCs w:val="20"/>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安全管理零发生率</w:t>
            </w:r>
          </w:p>
          <w:p>
            <w:pPr>
              <w:widowControl/>
              <w:spacing w:line="320" w:lineRule="exact"/>
              <w:jc w:val="center"/>
              <w:textAlignment w:val="bottom"/>
              <w:rPr>
                <w:rFonts w:hint="default" w:ascii="Times New Roman" w:hAnsi="Times New Roman" w:cs="Times New Roman"/>
                <w:sz w:val="20"/>
                <w:szCs w:val="20"/>
              </w:rPr>
            </w:pP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sz w:val="20"/>
                <w:szCs w:val="20"/>
              </w:rPr>
              <w:t>完成率100%，</w:t>
            </w:r>
          </w:p>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全年无安全责任事故</w:t>
            </w:r>
          </w:p>
          <w:p>
            <w:pPr>
              <w:widowControl/>
              <w:spacing w:line="320" w:lineRule="exact"/>
              <w:jc w:val="center"/>
              <w:textAlignment w:val="bottom"/>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415" w:hRule="atLeast"/>
        </w:trPr>
        <w:tc>
          <w:tcPr>
            <w:tcW w:w="317"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kern w:val="0"/>
                <w:sz w:val="20"/>
                <w:szCs w:val="20"/>
              </w:rPr>
              <w:t>时效指标</w:t>
            </w:r>
          </w:p>
        </w:tc>
        <w:tc>
          <w:tcPr>
            <w:tcW w:w="12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全年值班安全无责任事故率</w:t>
            </w:r>
          </w:p>
          <w:p>
            <w:pPr>
              <w:widowControl/>
              <w:spacing w:line="320" w:lineRule="exact"/>
              <w:jc w:val="center"/>
              <w:textAlignment w:val="bottom"/>
              <w:rPr>
                <w:rFonts w:hint="default" w:ascii="Times New Roman" w:hAnsi="Times New Roman" w:cs="Times New Roman"/>
                <w:sz w:val="20"/>
                <w:szCs w:val="20"/>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全年无责任事故</w:t>
            </w:r>
          </w:p>
          <w:p>
            <w:pPr>
              <w:widowControl/>
              <w:spacing w:line="320" w:lineRule="exact"/>
              <w:jc w:val="center"/>
              <w:textAlignment w:val="bottom"/>
              <w:rPr>
                <w:rFonts w:hint="default" w:ascii="Times New Roman" w:hAnsi="Times New Roman" w:cs="Times New Roman"/>
                <w:sz w:val="20"/>
                <w:szCs w:val="20"/>
              </w:rPr>
            </w:pP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sz w:val="20"/>
                <w:szCs w:val="20"/>
              </w:rPr>
              <w:t>完成率100%，2021年全年无责任事故</w:t>
            </w:r>
          </w:p>
        </w:tc>
      </w:tr>
      <w:tr>
        <w:trPr>
          <w:trHeight w:val="480" w:hRule="atLeast"/>
        </w:trPr>
        <w:tc>
          <w:tcPr>
            <w:tcW w:w="317"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kern w:val="0"/>
                <w:sz w:val="20"/>
                <w:szCs w:val="20"/>
              </w:rPr>
              <w:t>成本指标</w:t>
            </w:r>
          </w:p>
        </w:tc>
        <w:tc>
          <w:tcPr>
            <w:tcW w:w="12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电话网络服务费支付、安全巡检、维护费</w:t>
            </w:r>
          </w:p>
          <w:p>
            <w:pPr>
              <w:widowControl/>
              <w:spacing w:line="320" w:lineRule="exact"/>
              <w:jc w:val="center"/>
              <w:textAlignment w:val="bottom"/>
              <w:rPr>
                <w:rFonts w:hint="default" w:ascii="Times New Roman" w:hAnsi="Times New Roman" w:cs="Times New Roman"/>
                <w:sz w:val="20"/>
                <w:szCs w:val="20"/>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sz w:val="20"/>
                <w:szCs w:val="20"/>
              </w:rPr>
              <w:t>均≥95%</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sz w:val="20"/>
                <w:szCs w:val="20"/>
              </w:rPr>
              <w:t>完成率100%，电话网络服务费支付12300元，</w:t>
            </w:r>
            <w:r>
              <w:rPr>
                <w:rFonts w:hint="default" w:ascii="Times New Roman" w:hAnsi="Times New Roman" w:cs="Times New Roman"/>
                <w:color w:val="000000"/>
                <w:sz w:val="20"/>
                <w:szCs w:val="20"/>
              </w:rPr>
              <w:t>安全巡检、维护费支付</w:t>
            </w:r>
            <w:r>
              <w:rPr>
                <w:rFonts w:hint="default" w:ascii="Times New Roman" w:hAnsi="Times New Roman" w:cs="Times New Roman"/>
                <w:sz w:val="20"/>
                <w:szCs w:val="20"/>
              </w:rPr>
              <w:t>5900元</w:t>
            </w:r>
          </w:p>
        </w:tc>
      </w:tr>
      <w:tr>
        <w:tblPrEx>
          <w:tblCellMar>
            <w:top w:w="0" w:type="dxa"/>
            <w:left w:w="108" w:type="dxa"/>
            <w:bottom w:w="0" w:type="dxa"/>
            <w:right w:w="108" w:type="dxa"/>
          </w:tblCellMar>
        </w:tblPrEx>
        <w:trPr>
          <w:trHeight w:val="480" w:hRule="atLeast"/>
        </w:trPr>
        <w:tc>
          <w:tcPr>
            <w:tcW w:w="317"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kern w:val="0"/>
                <w:sz w:val="20"/>
                <w:szCs w:val="20"/>
              </w:rPr>
              <w:t>效益</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指标</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kern w:val="0"/>
                <w:sz w:val="20"/>
                <w:szCs w:val="20"/>
              </w:rPr>
              <w:t>经济效益指标</w:t>
            </w:r>
          </w:p>
        </w:tc>
        <w:tc>
          <w:tcPr>
            <w:tcW w:w="12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480" w:hRule="atLeast"/>
        </w:trPr>
        <w:tc>
          <w:tcPr>
            <w:tcW w:w="317"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kern w:val="0"/>
                <w:sz w:val="20"/>
                <w:szCs w:val="20"/>
              </w:rPr>
              <w:t>社会效益指标</w:t>
            </w:r>
          </w:p>
        </w:tc>
        <w:tc>
          <w:tcPr>
            <w:tcW w:w="12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促进救助保护工作顺利开展</w:t>
            </w:r>
          </w:p>
          <w:p>
            <w:pPr>
              <w:widowControl/>
              <w:spacing w:line="320" w:lineRule="exact"/>
              <w:jc w:val="center"/>
              <w:textAlignment w:val="bottom"/>
              <w:rPr>
                <w:rFonts w:hint="default" w:ascii="Times New Roman" w:hAnsi="Times New Roman" w:cs="Times New Roman"/>
                <w:sz w:val="20"/>
                <w:szCs w:val="20"/>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保障日常工作正常开展，有效保证站内安全</w:t>
            </w:r>
          </w:p>
          <w:p>
            <w:pPr>
              <w:widowControl/>
              <w:spacing w:line="320" w:lineRule="exact"/>
              <w:jc w:val="center"/>
              <w:textAlignment w:val="bottom"/>
              <w:rPr>
                <w:rFonts w:hint="default" w:ascii="Times New Roman" w:hAnsi="Times New Roman" w:cs="Times New Roman"/>
                <w:sz w:val="20"/>
                <w:szCs w:val="20"/>
              </w:rPr>
            </w:pP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sz w:val="20"/>
                <w:szCs w:val="20"/>
              </w:rPr>
              <w:t>完成</w:t>
            </w:r>
          </w:p>
        </w:tc>
      </w:tr>
      <w:tr>
        <w:tblPrEx>
          <w:tblCellMar>
            <w:top w:w="0" w:type="dxa"/>
            <w:left w:w="108" w:type="dxa"/>
            <w:bottom w:w="0" w:type="dxa"/>
            <w:right w:w="108" w:type="dxa"/>
          </w:tblCellMar>
        </w:tblPrEx>
        <w:trPr>
          <w:trHeight w:val="577" w:hRule="atLeast"/>
        </w:trPr>
        <w:tc>
          <w:tcPr>
            <w:tcW w:w="317"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383" w:leftChars="87" w:hanging="200" w:hangingChars="100"/>
              <w:jc w:val="center"/>
              <w:textAlignment w:val="bottom"/>
              <w:rPr>
                <w:rFonts w:hint="default" w:ascii="Times New Roman" w:hAnsi="Times New Roman" w:cs="Times New Roman"/>
                <w:sz w:val="20"/>
                <w:szCs w:val="20"/>
              </w:rPr>
            </w:pPr>
            <w:r>
              <w:rPr>
                <w:rFonts w:hint="default" w:ascii="Times New Roman" w:hAnsi="Times New Roman" w:cs="Times New Roman"/>
                <w:kern w:val="0"/>
                <w:sz w:val="20"/>
                <w:szCs w:val="20"/>
              </w:rPr>
              <w:t>生态效益指标</w:t>
            </w:r>
          </w:p>
        </w:tc>
        <w:tc>
          <w:tcPr>
            <w:tcW w:w="12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p>
        </w:tc>
      </w:tr>
      <w:tr>
        <w:trPr>
          <w:trHeight w:val="480" w:hRule="atLeast"/>
        </w:trPr>
        <w:tc>
          <w:tcPr>
            <w:tcW w:w="317"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kern w:val="0"/>
                <w:sz w:val="20"/>
                <w:szCs w:val="20"/>
              </w:rPr>
              <w:t>可持续影响 指标</w:t>
            </w:r>
          </w:p>
        </w:tc>
        <w:tc>
          <w:tcPr>
            <w:tcW w:w="12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持续开展救助工作</w:t>
            </w:r>
          </w:p>
          <w:p>
            <w:pPr>
              <w:widowControl/>
              <w:spacing w:line="320" w:lineRule="exact"/>
              <w:jc w:val="center"/>
              <w:textAlignment w:val="bottom"/>
              <w:rPr>
                <w:rFonts w:hint="default" w:ascii="Times New Roman" w:hAnsi="Times New Roman" w:cs="Times New Roman"/>
                <w:sz w:val="20"/>
                <w:szCs w:val="20"/>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sz w:val="20"/>
                <w:szCs w:val="20"/>
              </w:rPr>
              <w:t>保障日常工作正常开展，有效保证站内安全</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sz w:val="20"/>
                <w:szCs w:val="20"/>
              </w:rPr>
              <w:t>完成</w:t>
            </w:r>
          </w:p>
        </w:tc>
      </w:tr>
      <w:tr>
        <w:tblPrEx>
          <w:tblCellMar>
            <w:top w:w="0" w:type="dxa"/>
            <w:left w:w="108" w:type="dxa"/>
            <w:bottom w:w="0" w:type="dxa"/>
            <w:right w:w="108" w:type="dxa"/>
          </w:tblCellMar>
        </w:tblPrEx>
        <w:trPr>
          <w:trHeight w:val="530" w:hRule="atLeast"/>
        </w:trPr>
        <w:tc>
          <w:tcPr>
            <w:tcW w:w="317" w:type="pct"/>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kern w:val="0"/>
                <w:sz w:val="20"/>
                <w:szCs w:val="20"/>
              </w:rPr>
              <w:t>满意</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度指标</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kern w:val="0"/>
                <w:sz w:val="20"/>
                <w:szCs w:val="20"/>
              </w:rPr>
            </w:pPr>
            <w:r>
              <w:rPr>
                <w:rFonts w:hint="default" w:ascii="Times New Roman" w:hAnsi="Times New Roman" w:cs="Times New Roman"/>
                <w:kern w:val="0"/>
                <w:sz w:val="20"/>
                <w:szCs w:val="20"/>
              </w:rPr>
              <w:t>满意度指标</w:t>
            </w:r>
          </w:p>
        </w:tc>
        <w:tc>
          <w:tcPr>
            <w:tcW w:w="12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sz w:val="20"/>
                <w:szCs w:val="20"/>
              </w:rPr>
              <w:t>服务对象满意度</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sz w:val="20"/>
                <w:szCs w:val="20"/>
              </w:rPr>
              <w:t>救助对象满意度、社会公众满意度≥90%</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sz w:val="20"/>
                <w:szCs w:val="20"/>
              </w:rPr>
              <w:t>完成</w:t>
            </w:r>
          </w:p>
        </w:tc>
      </w:tr>
    </w:tbl>
    <w:p>
      <w:pPr>
        <w:spacing w:line="600" w:lineRule="exact"/>
        <w:jc w:val="center"/>
        <w:outlineLvl w:val="0"/>
        <w:rPr>
          <w:rFonts w:hint="default" w:ascii="Times New Roman" w:hAnsi="Times New Roman" w:eastAsia="黑体" w:cs="Times New Roman"/>
          <w:color w:val="000000"/>
          <w:sz w:val="44"/>
          <w:szCs w:val="44"/>
        </w:rPr>
      </w:pPr>
    </w:p>
    <w:p>
      <w:pPr>
        <w:widowControl/>
        <w:jc w:val="left"/>
        <w:rPr>
          <w:rFonts w:hint="default" w:ascii="Times New Roman" w:hAnsi="Times New Roman" w:eastAsia="黑体" w:cs="Times New Roman"/>
          <w:color w:val="000000"/>
          <w:sz w:val="44"/>
          <w:szCs w:val="44"/>
        </w:rPr>
      </w:pPr>
    </w:p>
    <w:tbl>
      <w:tblPr>
        <w:tblStyle w:val="13"/>
        <w:tblpPr w:leftFromText="180" w:rightFromText="180" w:vertAnchor="text" w:horzAnchor="page" w:tblpX="787" w:tblpY="660"/>
        <w:tblOverlap w:val="never"/>
        <w:tblW w:w="6246" w:type="pct"/>
        <w:tblInd w:w="0" w:type="dxa"/>
        <w:tblLayout w:type="autofit"/>
        <w:tblCellMar>
          <w:top w:w="0" w:type="dxa"/>
          <w:left w:w="108" w:type="dxa"/>
          <w:bottom w:w="0" w:type="dxa"/>
          <w:right w:w="108" w:type="dxa"/>
        </w:tblCellMar>
      </w:tblPr>
      <w:tblGrid>
        <w:gridCol w:w="675"/>
        <w:gridCol w:w="888"/>
        <w:gridCol w:w="236"/>
        <w:gridCol w:w="1501"/>
        <w:gridCol w:w="111"/>
        <w:gridCol w:w="2208"/>
        <w:gridCol w:w="1461"/>
        <w:gridCol w:w="711"/>
        <w:gridCol w:w="2855"/>
      </w:tblGrid>
      <w:tr>
        <w:tblPrEx>
          <w:tblCellMar>
            <w:top w:w="0" w:type="dxa"/>
            <w:left w:w="108" w:type="dxa"/>
            <w:bottom w:w="0" w:type="dxa"/>
            <w:right w:w="108" w:type="dxa"/>
          </w:tblCellMar>
        </w:tblPrEx>
        <w:trPr>
          <w:trHeight w:val="675" w:hRule="atLeast"/>
        </w:trPr>
        <w:tc>
          <w:tcPr>
            <w:tcW w:w="5000" w:type="pct"/>
            <w:gridSpan w:val="9"/>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sz w:val="28"/>
                <w:szCs w:val="28"/>
              </w:rPr>
            </w:pPr>
            <w:r>
              <w:rPr>
                <w:rFonts w:hint="default" w:ascii="Times New Roman" w:hAnsi="Times New Roman" w:cs="Times New Roman"/>
                <w:b/>
                <w:sz w:val="28"/>
                <w:szCs w:val="28"/>
              </w:rPr>
              <w:t>2021年救助管理机构能力提升专项（项目）绩效自评表</w:t>
            </w:r>
          </w:p>
        </w:tc>
      </w:tr>
      <w:tr>
        <w:tblPrEx>
          <w:tblCellMar>
            <w:top w:w="0" w:type="dxa"/>
            <w:left w:w="108" w:type="dxa"/>
            <w:bottom w:w="0" w:type="dxa"/>
            <w:right w:w="108" w:type="dxa"/>
          </w:tblCellMar>
        </w:tblPrEx>
        <w:trPr>
          <w:trHeight w:val="254" w:hRule="atLeast"/>
        </w:trPr>
        <w:tc>
          <w:tcPr>
            <w:tcW w:w="8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主管部门及代码</w:t>
            </w:r>
          </w:p>
        </w:tc>
        <w:tc>
          <w:tcPr>
            <w:tcW w:w="179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sz w:val="20"/>
                <w:szCs w:val="20"/>
              </w:rPr>
              <w:t>攀枝花市民政局</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实施单位</w:t>
            </w:r>
          </w:p>
        </w:tc>
        <w:tc>
          <w:tcPr>
            <w:tcW w:w="1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sz w:val="20"/>
                <w:szCs w:val="20"/>
              </w:rPr>
              <w:t>攀枝花市救助站</w:t>
            </w:r>
          </w:p>
        </w:tc>
      </w:tr>
      <w:tr>
        <w:tblPrEx>
          <w:tblCellMar>
            <w:top w:w="0" w:type="dxa"/>
            <w:left w:w="108" w:type="dxa"/>
            <w:bottom w:w="0" w:type="dxa"/>
            <w:right w:w="108" w:type="dxa"/>
          </w:tblCellMar>
        </w:tblPrEx>
        <w:trPr>
          <w:trHeight w:val="341" w:hRule="atLeast"/>
        </w:trPr>
        <w:tc>
          <w:tcPr>
            <w:tcW w:w="845"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项目预算</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执行情况</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（万元）</w:t>
            </w: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预算数：</w:t>
            </w:r>
          </w:p>
        </w:tc>
        <w:tc>
          <w:tcPr>
            <w:tcW w:w="10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sz w:val="20"/>
                <w:szCs w:val="20"/>
              </w:rPr>
              <w:t>3.29</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执行数：</w:t>
            </w:r>
          </w:p>
        </w:tc>
        <w:tc>
          <w:tcPr>
            <w:tcW w:w="1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sz w:val="20"/>
                <w:szCs w:val="20"/>
              </w:rPr>
              <w:t>3.29</w:t>
            </w:r>
          </w:p>
        </w:tc>
      </w:tr>
      <w:tr>
        <w:tblPrEx>
          <w:tblCellMar>
            <w:top w:w="0" w:type="dxa"/>
            <w:left w:w="108" w:type="dxa"/>
            <w:bottom w:w="0" w:type="dxa"/>
            <w:right w:w="108" w:type="dxa"/>
          </w:tblCellMar>
        </w:tblPrEx>
        <w:trPr>
          <w:trHeight w:val="555" w:hRule="atLeast"/>
        </w:trPr>
        <w:tc>
          <w:tcPr>
            <w:tcW w:w="84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其中：</w:t>
            </w:r>
          </w:p>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财政拨款</w:t>
            </w:r>
          </w:p>
        </w:tc>
        <w:tc>
          <w:tcPr>
            <w:tcW w:w="10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sz w:val="20"/>
                <w:szCs w:val="20"/>
              </w:rPr>
              <w:t>3.29</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其中：</w:t>
            </w:r>
          </w:p>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财政拨款</w:t>
            </w:r>
          </w:p>
        </w:tc>
        <w:tc>
          <w:tcPr>
            <w:tcW w:w="1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sz w:val="20"/>
                <w:szCs w:val="20"/>
              </w:rPr>
              <w:t>3.29</w:t>
            </w:r>
          </w:p>
        </w:tc>
      </w:tr>
      <w:tr>
        <w:tblPrEx>
          <w:tblCellMar>
            <w:top w:w="0" w:type="dxa"/>
            <w:left w:w="108" w:type="dxa"/>
            <w:bottom w:w="0" w:type="dxa"/>
            <w:right w:w="108" w:type="dxa"/>
          </w:tblCellMar>
        </w:tblPrEx>
        <w:trPr>
          <w:trHeight w:val="341" w:hRule="atLeast"/>
        </w:trPr>
        <w:tc>
          <w:tcPr>
            <w:tcW w:w="84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其他资金</w:t>
            </w:r>
          </w:p>
        </w:tc>
        <w:tc>
          <w:tcPr>
            <w:tcW w:w="10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sz w:val="20"/>
                <w:szCs w:val="20"/>
              </w:rPr>
              <w:t>0</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其他资金</w:t>
            </w:r>
          </w:p>
        </w:tc>
        <w:tc>
          <w:tcPr>
            <w:tcW w:w="1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sz w:val="20"/>
                <w:szCs w:val="20"/>
              </w:rPr>
              <w:t>0</w:t>
            </w:r>
          </w:p>
        </w:tc>
      </w:tr>
      <w:tr>
        <w:tblPrEx>
          <w:tblCellMar>
            <w:top w:w="0" w:type="dxa"/>
            <w:left w:w="108" w:type="dxa"/>
            <w:bottom w:w="0" w:type="dxa"/>
            <w:right w:w="108" w:type="dxa"/>
          </w:tblCellMar>
        </w:tblPrEx>
        <w:trPr>
          <w:trHeight w:val="217" w:hRule="atLeast"/>
        </w:trPr>
        <w:tc>
          <w:tcPr>
            <w:tcW w:w="3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年度总体目标</w:t>
            </w:r>
          </w:p>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完成情况</w:t>
            </w:r>
          </w:p>
        </w:tc>
        <w:tc>
          <w:tcPr>
            <w:tcW w:w="23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预期目标</w:t>
            </w:r>
          </w:p>
        </w:tc>
        <w:tc>
          <w:tcPr>
            <w:tcW w:w="23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目标实际完成情况</w:t>
            </w:r>
          </w:p>
        </w:tc>
      </w:tr>
      <w:tr>
        <w:tblPrEx>
          <w:tblCellMar>
            <w:top w:w="0" w:type="dxa"/>
            <w:left w:w="108" w:type="dxa"/>
            <w:bottom w:w="0" w:type="dxa"/>
            <w:right w:w="108" w:type="dxa"/>
          </w:tblCellMar>
        </w:tblPrEx>
        <w:trPr>
          <w:trHeight w:val="797" w:hRule="atLeast"/>
        </w:trPr>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23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hint="default" w:ascii="Times New Roman" w:hAnsi="Times New Roman" w:cs="Times New Roman"/>
                <w:sz w:val="20"/>
                <w:szCs w:val="20"/>
              </w:rPr>
            </w:pPr>
            <w:r>
              <w:rPr>
                <w:rFonts w:hint="default" w:ascii="Times New Roman" w:hAnsi="Times New Roman" w:cs="Times New Roman"/>
                <w:sz w:val="20"/>
                <w:szCs w:val="20"/>
              </w:rPr>
              <w:t>实现救助管理能力的显著提升，配置较为完善的安全检查、厨房餐饮、卫生防疫、特殊人员护理、视频监控、消防安全等设备；根据受助群体特征和疫情防控等要求实行分类救助、分区照料、分区隔离；有承担长期滞留人员照料的床位数和硬件设施，站内照料成为工作常态；配备必要的设备，可以完成街面求助线索响应、特殊人员跨地域护送的工作任务。</w:t>
            </w:r>
          </w:p>
        </w:tc>
        <w:tc>
          <w:tcPr>
            <w:tcW w:w="23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hint="default" w:ascii="Times New Roman" w:hAnsi="Times New Roman" w:cs="Times New Roman"/>
                <w:sz w:val="20"/>
                <w:szCs w:val="20"/>
              </w:rPr>
            </w:pPr>
            <w:r>
              <w:rPr>
                <w:rFonts w:hint="default" w:ascii="Times New Roman" w:hAnsi="Times New Roman" w:cs="Times New Roman"/>
                <w:sz w:val="20"/>
                <w:szCs w:val="20"/>
              </w:rPr>
              <w:t>为深入贯彻落实党中央、国务院和省委、省政府及民政厅有关文件要求，切实补齐站内设施设备短板，改善站内救助服务条件，降低救助管理安全风险，巩固提升救助管理服务质量，采购流浪服务车一台用于接送受助人及街面劝导服务。</w:t>
            </w:r>
          </w:p>
        </w:tc>
      </w:tr>
      <w:tr>
        <w:tblPrEx>
          <w:tblCellMar>
            <w:top w:w="0" w:type="dxa"/>
            <w:left w:w="108" w:type="dxa"/>
            <w:bottom w:w="0" w:type="dxa"/>
            <w:right w:w="108" w:type="dxa"/>
          </w:tblCellMar>
        </w:tblPrEx>
        <w:trPr>
          <w:trHeight w:val="620" w:hRule="atLeast"/>
        </w:trPr>
        <w:tc>
          <w:tcPr>
            <w:tcW w:w="31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年度绩效指标完成情况</w:t>
            </w:r>
          </w:p>
        </w:tc>
        <w:tc>
          <w:tcPr>
            <w:tcW w:w="417" w:type="pct"/>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一级</w:t>
            </w:r>
          </w:p>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指标</w:t>
            </w:r>
          </w:p>
        </w:tc>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二级</w:t>
            </w:r>
          </w:p>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指标</w:t>
            </w:r>
          </w:p>
        </w:tc>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三级</w:t>
            </w:r>
          </w:p>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指标</w:t>
            </w:r>
          </w:p>
        </w:tc>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预期指标值</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实际完成指标值</w:t>
            </w:r>
          </w:p>
        </w:tc>
      </w:tr>
      <w:tr>
        <w:tblPrEx>
          <w:tblCellMar>
            <w:top w:w="0" w:type="dxa"/>
            <w:left w:w="108" w:type="dxa"/>
            <w:bottom w:w="0" w:type="dxa"/>
            <w:right w:w="108" w:type="dxa"/>
          </w:tblCellMar>
        </w:tblPrEx>
        <w:trPr>
          <w:trHeight w:val="415" w:hRule="atLeast"/>
        </w:trPr>
        <w:tc>
          <w:tcPr>
            <w:tcW w:w="317"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kern w:val="0"/>
                <w:sz w:val="20"/>
                <w:szCs w:val="20"/>
              </w:rPr>
            </w:pPr>
            <w:r>
              <w:rPr>
                <w:rFonts w:hint="default" w:ascii="Times New Roman" w:hAnsi="Times New Roman" w:cs="Times New Roman"/>
                <w:kern w:val="0"/>
                <w:sz w:val="20"/>
                <w:szCs w:val="20"/>
              </w:rPr>
              <w:t>完成</w:t>
            </w:r>
          </w:p>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kern w:val="0"/>
                <w:sz w:val="20"/>
                <w:szCs w:val="20"/>
              </w:rPr>
              <w:t>指标</w:t>
            </w:r>
          </w:p>
        </w:tc>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kern w:val="0"/>
                <w:sz w:val="20"/>
                <w:szCs w:val="20"/>
              </w:rPr>
              <w:t>数量指标</w:t>
            </w:r>
          </w:p>
        </w:tc>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流动服务车采购项目</w:t>
            </w:r>
          </w:p>
        </w:tc>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sz w:val="20"/>
                <w:szCs w:val="20"/>
              </w:rPr>
              <w:t>1台</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sz w:val="20"/>
                <w:szCs w:val="20"/>
              </w:rPr>
              <w:t>1台，车辆已采购，只支付了税费及上牌照费用，未支付车辆采购价款。</w:t>
            </w:r>
          </w:p>
        </w:tc>
      </w:tr>
      <w:tr>
        <w:tblPrEx>
          <w:tblCellMar>
            <w:top w:w="0" w:type="dxa"/>
            <w:left w:w="108" w:type="dxa"/>
            <w:bottom w:w="0" w:type="dxa"/>
            <w:right w:w="108" w:type="dxa"/>
          </w:tblCellMar>
        </w:tblPrEx>
        <w:trPr>
          <w:trHeight w:val="415" w:hRule="atLeast"/>
        </w:trPr>
        <w:tc>
          <w:tcPr>
            <w:tcW w:w="317"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kern w:val="0"/>
                <w:sz w:val="20"/>
                <w:szCs w:val="20"/>
              </w:rPr>
              <w:t>质量指标</w:t>
            </w:r>
          </w:p>
        </w:tc>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生活无着流浪乞讨人员自愿求助对象保障率</w:t>
            </w:r>
          </w:p>
        </w:tc>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sz w:val="20"/>
                <w:szCs w:val="20"/>
              </w:rPr>
              <w:t>100%</w:t>
            </w:r>
          </w:p>
        </w:tc>
      </w:tr>
      <w:tr>
        <w:tblPrEx>
          <w:tblCellMar>
            <w:top w:w="0" w:type="dxa"/>
            <w:left w:w="108" w:type="dxa"/>
            <w:bottom w:w="0" w:type="dxa"/>
            <w:right w:w="108" w:type="dxa"/>
          </w:tblCellMar>
        </w:tblPrEx>
        <w:trPr>
          <w:trHeight w:val="415" w:hRule="atLeast"/>
        </w:trPr>
        <w:tc>
          <w:tcPr>
            <w:tcW w:w="317"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kern w:val="0"/>
                <w:sz w:val="20"/>
                <w:szCs w:val="20"/>
              </w:rPr>
              <w:t>时效指标</w:t>
            </w:r>
          </w:p>
        </w:tc>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项目按方案如期完成率</w:t>
            </w:r>
          </w:p>
        </w:tc>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r>
              <w:rPr>
                <w:rStyle w:val="26"/>
                <w:rFonts w:hint="default" w:ascii="Times New Roman" w:hAnsi="Times New Roman" w:eastAsia="宋体" w:cs="Times New Roman"/>
                <w:sz w:val="20"/>
                <w:szCs w:val="20"/>
              </w:rPr>
              <w:t>021年度完成</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sz w:val="20"/>
                <w:szCs w:val="20"/>
              </w:rPr>
              <w:t>已完成</w:t>
            </w:r>
          </w:p>
        </w:tc>
      </w:tr>
      <w:tr>
        <w:tblPrEx>
          <w:tblCellMar>
            <w:top w:w="0" w:type="dxa"/>
            <w:left w:w="108" w:type="dxa"/>
            <w:bottom w:w="0" w:type="dxa"/>
            <w:right w:w="108" w:type="dxa"/>
          </w:tblCellMar>
        </w:tblPrEx>
        <w:trPr>
          <w:trHeight w:val="340" w:hRule="atLeast"/>
        </w:trPr>
        <w:tc>
          <w:tcPr>
            <w:tcW w:w="317"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kern w:val="0"/>
                <w:sz w:val="20"/>
                <w:szCs w:val="20"/>
              </w:rPr>
              <w:t>成本指标</w:t>
            </w:r>
          </w:p>
        </w:tc>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p>
        </w:tc>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382" w:hRule="atLeast"/>
        </w:trPr>
        <w:tc>
          <w:tcPr>
            <w:tcW w:w="317"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kern w:val="0"/>
                <w:sz w:val="20"/>
                <w:szCs w:val="20"/>
              </w:rPr>
              <w:t>效益</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指标</w:t>
            </w:r>
          </w:p>
        </w:tc>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kern w:val="0"/>
                <w:sz w:val="20"/>
                <w:szCs w:val="20"/>
              </w:rPr>
              <w:t>经济效益指标</w:t>
            </w:r>
          </w:p>
        </w:tc>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p>
        </w:tc>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480" w:hRule="atLeast"/>
        </w:trPr>
        <w:tc>
          <w:tcPr>
            <w:tcW w:w="317"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kern w:val="0"/>
                <w:sz w:val="20"/>
                <w:szCs w:val="20"/>
              </w:rPr>
              <w:t>社会效益指标</w:t>
            </w:r>
          </w:p>
        </w:tc>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对救助人员服务质量保障率</w:t>
            </w:r>
          </w:p>
        </w:tc>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sz w:val="20"/>
                <w:szCs w:val="20"/>
              </w:rPr>
              <w:t>≥90%</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sz w:val="20"/>
                <w:szCs w:val="20"/>
              </w:rPr>
              <w:t>完成率100%，实际完成≥95%</w:t>
            </w:r>
          </w:p>
        </w:tc>
      </w:tr>
      <w:tr>
        <w:tblPrEx>
          <w:tblCellMar>
            <w:top w:w="0" w:type="dxa"/>
            <w:left w:w="108" w:type="dxa"/>
            <w:bottom w:w="0" w:type="dxa"/>
            <w:right w:w="108" w:type="dxa"/>
          </w:tblCellMar>
        </w:tblPrEx>
        <w:trPr>
          <w:trHeight w:val="381" w:hRule="atLeast"/>
        </w:trPr>
        <w:tc>
          <w:tcPr>
            <w:tcW w:w="317"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383" w:leftChars="87" w:hanging="200" w:hangingChars="100"/>
              <w:jc w:val="center"/>
              <w:textAlignment w:val="bottom"/>
              <w:rPr>
                <w:rFonts w:hint="default" w:ascii="Times New Roman" w:hAnsi="Times New Roman" w:cs="Times New Roman"/>
                <w:sz w:val="20"/>
                <w:szCs w:val="20"/>
              </w:rPr>
            </w:pPr>
            <w:r>
              <w:rPr>
                <w:rFonts w:hint="default" w:ascii="Times New Roman" w:hAnsi="Times New Roman" w:cs="Times New Roman"/>
                <w:kern w:val="0"/>
                <w:sz w:val="20"/>
                <w:szCs w:val="20"/>
              </w:rPr>
              <w:t>生态效益指标</w:t>
            </w:r>
          </w:p>
        </w:tc>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p>
        </w:tc>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480" w:hRule="atLeast"/>
        </w:trPr>
        <w:tc>
          <w:tcPr>
            <w:tcW w:w="317"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kern w:val="0"/>
                <w:sz w:val="20"/>
                <w:szCs w:val="20"/>
              </w:rPr>
              <w:t>可持续影响指标</w:t>
            </w:r>
          </w:p>
        </w:tc>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sz w:val="20"/>
                <w:szCs w:val="20"/>
              </w:rPr>
              <w:t>为临时遇困人员提供救助服务率</w:t>
            </w:r>
          </w:p>
        </w:tc>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sz w:val="20"/>
                <w:szCs w:val="20"/>
              </w:rPr>
              <w:t>≥90%</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sz w:val="20"/>
                <w:szCs w:val="20"/>
              </w:rPr>
              <w:t>完成率100%，实际完成≥95%</w:t>
            </w:r>
          </w:p>
        </w:tc>
      </w:tr>
      <w:tr>
        <w:tblPrEx>
          <w:tblCellMar>
            <w:top w:w="0" w:type="dxa"/>
            <w:left w:w="108" w:type="dxa"/>
            <w:bottom w:w="0" w:type="dxa"/>
            <w:right w:w="108" w:type="dxa"/>
          </w:tblCellMar>
        </w:tblPrEx>
        <w:trPr>
          <w:trHeight w:val="519" w:hRule="atLeast"/>
        </w:trPr>
        <w:tc>
          <w:tcPr>
            <w:tcW w:w="317" w:type="pct"/>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kern w:val="0"/>
                <w:sz w:val="20"/>
                <w:szCs w:val="20"/>
              </w:rPr>
              <w:t>满意</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度指标</w:t>
            </w:r>
          </w:p>
        </w:tc>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kern w:val="0"/>
                <w:sz w:val="20"/>
                <w:szCs w:val="20"/>
              </w:rPr>
              <w:t>满意度指标</w:t>
            </w:r>
          </w:p>
        </w:tc>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生活无着的流浪乞讨救助对象满意度</w:t>
            </w:r>
          </w:p>
        </w:tc>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sz w:val="20"/>
                <w:szCs w:val="20"/>
              </w:rPr>
              <w:t>≥90%</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sz w:val="20"/>
                <w:szCs w:val="20"/>
              </w:rPr>
              <w:t>完成率100%，实际完成≥95%</w:t>
            </w:r>
          </w:p>
        </w:tc>
      </w:tr>
    </w:tbl>
    <w:p>
      <w:pPr>
        <w:widowControl/>
        <w:jc w:val="left"/>
        <w:rPr>
          <w:rFonts w:hint="default" w:ascii="Times New Roman" w:hAnsi="Times New Roman" w:eastAsia="黑体" w:cs="Times New Roman"/>
          <w:color w:val="000000"/>
          <w:sz w:val="44"/>
          <w:szCs w:val="44"/>
        </w:rPr>
      </w:pPr>
      <w:r>
        <w:rPr>
          <w:rFonts w:hint="default" w:ascii="Times New Roman" w:hAnsi="Times New Roman" w:eastAsia="黑体" w:cs="Times New Roman"/>
          <w:color w:val="000000"/>
          <w:sz w:val="44"/>
          <w:szCs w:val="44"/>
        </w:rPr>
        <w:br w:type="page"/>
      </w:r>
    </w:p>
    <w:tbl>
      <w:tblPr>
        <w:tblStyle w:val="13"/>
        <w:tblpPr w:leftFromText="180" w:rightFromText="180" w:vertAnchor="text" w:horzAnchor="page" w:tblpX="787" w:tblpY="660"/>
        <w:tblOverlap w:val="never"/>
        <w:tblW w:w="6246" w:type="pct"/>
        <w:tblInd w:w="0" w:type="dxa"/>
        <w:tblLayout w:type="autofit"/>
        <w:tblCellMar>
          <w:top w:w="0" w:type="dxa"/>
          <w:left w:w="108" w:type="dxa"/>
          <w:bottom w:w="0" w:type="dxa"/>
          <w:right w:w="108" w:type="dxa"/>
        </w:tblCellMar>
      </w:tblPr>
      <w:tblGrid>
        <w:gridCol w:w="675"/>
        <w:gridCol w:w="888"/>
        <w:gridCol w:w="236"/>
        <w:gridCol w:w="1501"/>
        <w:gridCol w:w="111"/>
        <w:gridCol w:w="2208"/>
        <w:gridCol w:w="1461"/>
        <w:gridCol w:w="711"/>
        <w:gridCol w:w="2855"/>
      </w:tblGrid>
      <w:tr>
        <w:tblPrEx>
          <w:tblCellMar>
            <w:top w:w="0" w:type="dxa"/>
            <w:left w:w="108" w:type="dxa"/>
            <w:bottom w:w="0" w:type="dxa"/>
            <w:right w:w="108" w:type="dxa"/>
          </w:tblCellMar>
        </w:tblPrEx>
        <w:trPr>
          <w:trHeight w:val="675" w:hRule="atLeast"/>
        </w:trPr>
        <w:tc>
          <w:tcPr>
            <w:tcW w:w="5000" w:type="pct"/>
            <w:gridSpan w:val="9"/>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sz w:val="28"/>
                <w:szCs w:val="28"/>
              </w:rPr>
            </w:pPr>
            <w:r>
              <w:rPr>
                <w:rFonts w:hint="default" w:ascii="Times New Roman" w:hAnsi="Times New Roman" w:cs="Times New Roman"/>
                <w:b/>
                <w:sz w:val="28"/>
                <w:szCs w:val="28"/>
              </w:rPr>
              <w:t>2021年未成年人救助保护机构设施设备购置和购买服务专项（项目）资金绩效自评表</w:t>
            </w:r>
          </w:p>
        </w:tc>
      </w:tr>
      <w:tr>
        <w:tblPrEx>
          <w:tblCellMar>
            <w:top w:w="0" w:type="dxa"/>
            <w:left w:w="108" w:type="dxa"/>
            <w:bottom w:w="0" w:type="dxa"/>
            <w:right w:w="108" w:type="dxa"/>
          </w:tblCellMar>
        </w:tblPrEx>
        <w:trPr>
          <w:trHeight w:val="254" w:hRule="atLeast"/>
        </w:trPr>
        <w:tc>
          <w:tcPr>
            <w:tcW w:w="8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主管部门及代码</w:t>
            </w:r>
          </w:p>
        </w:tc>
        <w:tc>
          <w:tcPr>
            <w:tcW w:w="179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sz w:val="20"/>
                <w:szCs w:val="20"/>
              </w:rPr>
              <w:t>攀枝花市民政局</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实施单位</w:t>
            </w:r>
          </w:p>
        </w:tc>
        <w:tc>
          <w:tcPr>
            <w:tcW w:w="1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sz w:val="20"/>
                <w:szCs w:val="20"/>
              </w:rPr>
              <w:t>攀枝花市救助站</w:t>
            </w:r>
          </w:p>
        </w:tc>
      </w:tr>
      <w:tr>
        <w:tblPrEx>
          <w:tblCellMar>
            <w:top w:w="0" w:type="dxa"/>
            <w:left w:w="108" w:type="dxa"/>
            <w:bottom w:w="0" w:type="dxa"/>
            <w:right w:w="108" w:type="dxa"/>
          </w:tblCellMar>
        </w:tblPrEx>
        <w:trPr>
          <w:trHeight w:val="341" w:hRule="atLeast"/>
        </w:trPr>
        <w:tc>
          <w:tcPr>
            <w:tcW w:w="845"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项目预算</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执行情况</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（万元）</w:t>
            </w: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预算数：</w:t>
            </w:r>
          </w:p>
        </w:tc>
        <w:tc>
          <w:tcPr>
            <w:tcW w:w="10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sz w:val="20"/>
                <w:szCs w:val="20"/>
              </w:rPr>
              <w:t>9.34</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执行数：</w:t>
            </w:r>
          </w:p>
        </w:tc>
        <w:tc>
          <w:tcPr>
            <w:tcW w:w="1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sz w:val="20"/>
                <w:szCs w:val="20"/>
              </w:rPr>
              <w:t>9.34</w:t>
            </w:r>
          </w:p>
        </w:tc>
      </w:tr>
      <w:tr>
        <w:trPr>
          <w:trHeight w:val="555" w:hRule="atLeast"/>
        </w:trPr>
        <w:tc>
          <w:tcPr>
            <w:tcW w:w="84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其中：</w:t>
            </w:r>
          </w:p>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财政拨款</w:t>
            </w:r>
          </w:p>
        </w:tc>
        <w:tc>
          <w:tcPr>
            <w:tcW w:w="10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sz w:val="20"/>
                <w:szCs w:val="20"/>
              </w:rPr>
              <w:t>9.34</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其中：</w:t>
            </w:r>
          </w:p>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财政拨款</w:t>
            </w:r>
          </w:p>
        </w:tc>
        <w:tc>
          <w:tcPr>
            <w:tcW w:w="1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sz w:val="20"/>
                <w:szCs w:val="20"/>
              </w:rPr>
              <w:t>9.34</w:t>
            </w:r>
          </w:p>
        </w:tc>
      </w:tr>
      <w:tr>
        <w:tblPrEx>
          <w:tblCellMar>
            <w:top w:w="0" w:type="dxa"/>
            <w:left w:w="108" w:type="dxa"/>
            <w:bottom w:w="0" w:type="dxa"/>
            <w:right w:w="108" w:type="dxa"/>
          </w:tblCellMar>
        </w:tblPrEx>
        <w:trPr>
          <w:trHeight w:val="341" w:hRule="atLeast"/>
        </w:trPr>
        <w:tc>
          <w:tcPr>
            <w:tcW w:w="84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其他资金</w:t>
            </w:r>
          </w:p>
        </w:tc>
        <w:tc>
          <w:tcPr>
            <w:tcW w:w="10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sz w:val="20"/>
                <w:szCs w:val="20"/>
              </w:rPr>
              <w:t>0</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其他资金</w:t>
            </w:r>
          </w:p>
        </w:tc>
        <w:tc>
          <w:tcPr>
            <w:tcW w:w="1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sz w:val="20"/>
                <w:szCs w:val="20"/>
              </w:rPr>
              <w:t>0</w:t>
            </w:r>
          </w:p>
        </w:tc>
      </w:tr>
      <w:tr>
        <w:tblPrEx>
          <w:tblCellMar>
            <w:top w:w="0" w:type="dxa"/>
            <w:left w:w="108" w:type="dxa"/>
            <w:bottom w:w="0" w:type="dxa"/>
            <w:right w:w="108" w:type="dxa"/>
          </w:tblCellMar>
        </w:tblPrEx>
        <w:trPr>
          <w:trHeight w:val="217" w:hRule="atLeast"/>
        </w:trPr>
        <w:tc>
          <w:tcPr>
            <w:tcW w:w="3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年度总体目标</w:t>
            </w:r>
          </w:p>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完成情况</w:t>
            </w:r>
          </w:p>
        </w:tc>
        <w:tc>
          <w:tcPr>
            <w:tcW w:w="23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预期目标</w:t>
            </w:r>
          </w:p>
        </w:tc>
        <w:tc>
          <w:tcPr>
            <w:tcW w:w="23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目标实际完成情况</w:t>
            </w:r>
          </w:p>
        </w:tc>
      </w:tr>
      <w:tr>
        <w:tblPrEx>
          <w:tblCellMar>
            <w:top w:w="0" w:type="dxa"/>
            <w:left w:w="108" w:type="dxa"/>
            <w:bottom w:w="0" w:type="dxa"/>
            <w:right w:w="108" w:type="dxa"/>
          </w:tblCellMar>
        </w:tblPrEx>
        <w:trPr>
          <w:trHeight w:val="797" w:hRule="atLeast"/>
        </w:trPr>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23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hint="default" w:ascii="Times New Roman" w:hAnsi="Times New Roman" w:cs="Times New Roman"/>
                <w:sz w:val="20"/>
                <w:szCs w:val="20"/>
              </w:rPr>
            </w:pPr>
            <w:r>
              <w:rPr>
                <w:rFonts w:hint="default" w:ascii="Times New Roman" w:hAnsi="Times New Roman" w:cs="Times New Roman"/>
                <w:sz w:val="20"/>
                <w:szCs w:val="20"/>
              </w:rPr>
              <w:t>坚持依法、自愿、无偿救助原则，深入贯彻落实好救助管理和救助保护系列政策法规，进一步提高救助管理工作的标准化、规范化。坚持以人为本，促进未成年人救助保护机构设施设备购置和购买服务建设 ，深化服务质量。</w:t>
            </w:r>
          </w:p>
        </w:tc>
        <w:tc>
          <w:tcPr>
            <w:tcW w:w="23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hint="default" w:ascii="Times New Roman" w:hAnsi="Times New Roman" w:cs="Times New Roman"/>
                <w:sz w:val="20"/>
                <w:szCs w:val="20"/>
              </w:rPr>
            </w:pPr>
            <w:r>
              <w:rPr>
                <w:rFonts w:hint="default" w:ascii="Times New Roman" w:hAnsi="Times New Roman" w:cs="Times New Roman"/>
                <w:sz w:val="20"/>
                <w:szCs w:val="20"/>
              </w:rPr>
              <w:t>按照福利彩票“扶老、助残、救孤、济困”的发行宗旨，加强救助管理机构设施设备更新购置管理，带动未成年人救助保护事业发展，促进社会服务体系发展。</w:t>
            </w:r>
          </w:p>
        </w:tc>
      </w:tr>
      <w:tr>
        <w:trPr>
          <w:trHeight w:val="620" w:hRule="atLeast"/>
        </w:trPr>
        <w:tc>
          <w:tcPr>
            <w:tcW w:w="31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年度绩效指标完成情况</w:t>
            </w:r>
          </w:p>
        </w:tc>
        <w:tc>
          <w:tcPr>
            <w:tcW w:w="417" w:type="pct"/>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一级</w:t>
            </w:r>
          </w:p>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指标</w:t>
            </w:r>
          </w:p>
        </w:tc>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二级</w:t>
            </w:r>
          </w:p>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指标</w:t>
            </w:r>
          </w:p>
        </w:tc>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三级</w:t>
            </w:r>
          </w:p>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指标</w:t>
            </w:r>
          </w:p>
        </w:tc>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预期指标值</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实际完成指标值</w:t>
            </w:r>
          </w:p>
        </w:tc>
      </w:tr>
      <w:tr>
        <w:tblPrEx>
          <w:tblCellMar>
            <w:top w:w="0" w:type="dxa"/>
            <w:left w:w="108" w:type="dxa"/>
            <w:bottom w:w="0" w:type="dxa"/>
            <w:right w:w="108" w:type="dxa"/>
          </w:tblCellMar>
        </w:tblPrEx>
        <w:trPr>
          <w:trHeight w:val="415" w:hRule="atLeast"/>
        </w:trPr>
        <w:tc>
          <w:tcPr>
            <w:tcW w:w="317"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kern w:val="0"/>
                <w:sz w:val="20"/>
                <w:szCs w:val="20"/>
              </w:rPr>
            </w:pPr>
            <w:r>
              <w:rPr>
                <w:rFonts w:hint="default" w:ascii="Times New Roman" w:hAnsi="Times New Roman" w:cs="Times New Roman"/>
                <w:kern w:val="0"/>
                <w:sz w:val="20"/>
                <w:szCs w:val="20"/>
              </w:rPr>
              <w:t>完成</w:t>
            </w:r>
          </w:p>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kern w:val="0"/>
                <w:sz w:val="20"/>
                <w:szCs w:val="20"/>
              </w:rPr>
              <w:t>指标</w:t>
            </w:r>
          </w:p>
        </w:tc>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kern w:val="0"/>
                <w:sz w:val="20"/>
                <w:szCs w:val="20"/>
              </w:rPr>
              <w:t>数量指标</w:t>
            </w:r>
          </w:p>
        </w:tc>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流浪未成年人救助保护中心关爱保护能力提升项目</w:t>
            </w:r>
          </w:p>
        </w:tc>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9.34万元全部支出</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r>
      <w:tr>
        <w:tblPrEx>
          <w:tblCellMar>
            <w:top w:w="0" w:type="dxa"/>
            <w:left w:w="108" w:type="dxa"/>
            <w:bottom w:w="0" w:type="dxa"/>
            <w:right w:w="108" w:type="dxa"/>
          </w:tblCellMar>
        </w:tblPrEx>
        <w:trPr>
          <w:trHeight w:val="415" w:hRule="atLeast"/>
        </w:trPr>
        <w:tc>
          <w:tcPr>
            <w:tcW w:w="317"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kern w:val="0"/>
                <w:sz w:val="20"/>
                <w:szCs w:val="20"/>
              </w:rPr>
              <w:t>质量指标</w:t>
            </w:r>
          </w:p>
        </w:tc>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经费使用合规率、采购验收合格率</w:t>
            </w:r>
          </w:p>
        </w:tc>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sz w:val="20"/>
                <w:szCs w:val="20"/>
              </w:rPr>
              <w:t>100%</w:t>
            </w:r>
          </w:p>
        </w:tc>
      </w:tr>
      <w:tr>
        <w:tblPrEx>
          <w:tblCellMar>
            <w:top w:w="0" w:type="dxa"/>
            <w:left w:w="108" w:type="dxa"/>
            <w:bottom w:w="0" w:type="dxa"/>
            <w:right w:w="108" w:type="dxa"/>
          </w:tblCellMar>
        </w:tblPrEx>
        <w:trPr>
          <w:trHeight w:val="415" w:hRule="atLeast"/>
        </w:trPr>
        <w:tc>
          <w:tcPr>
            <w:tcW w:w="317"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kern w:val="0"/>
                <w:sz w:val="20"/>
                <w:szCs w:val="20"/>
              </w:rPr>
              <w:t>时效指标</w:t>
            </w:r>
          </w:p>
        </w:tc>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项目完成时效率 </w:t>
            </w:r>
          </w:p>
        </w:tc>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sz w:val="20"/>
                <w:szCs w:val="20"/>
              </w:rPr>
              <w:t>100%</w:t>
            </w:r>
          </w:p>
        </w:tc>
      </w:tr>
      <w:tr>
        <w:trPr>
          <w:trHeight w:val="480" w:hRule="atLeast"/>
        </w:trPr>
        <w:tc>
          <w:tcPr>
            <w:tcW w:w="317"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kern w:val="0"/>
                <w:sz w:val="20"/>
                <w:szCs w:val="20"/>
              </w:rPr>
              <w:t>成本指标</w:t>
            </w:r>
          </w:p>
        </w:tc>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sz w:val="20"/>
                <w:szCs w:val="20"/>
              </w:rPr>
              <w:t>未成年人救助保护机构设施设备购置服务</w:t>
            </w:r>
          </w:p>
        </w:tc>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color w:val="000000"/>
                <w:sz w:val="20"/>
                <w:szCs w:val="20"/>
              </w:rPr>
              <w:t>9.34</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color w:val="000000"/>
                <w:sz w:val="20"/>
                <w:szCs w:val="20"/>
              </w:rPr>
              <w:t>9.34</w:t>
            </w:r>
          </w:p>
        </w:tc>
      </w:tr>
      <w:tr>
        <w:tblPrEx>
          <w:tblCellMar>
            <w:top w:w="0" w:type="dxa"/>
            <w:left w:w="108" w:type="dxa"/>
            <w:bottom w:w="0" w:type="dxa"/>
            <w:right w:w="108" w:type="dxa"/>
          </w:tblCellMar>
        </w:tblPrEx>
        <w:trPr>
          <w:trHeight w:val="382" w:hRule="atLeast"/>
        </w:trPr>
        <w:tc>
          <w:tcPr>
            <w:tcW w:w="317"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kern w:val="0"/>
                <w:sz w:val="20"/>
                <w:szCs w:val="20"/>
              </w:rPr>
              <w:t>效益</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指标</w:t>
            </w:r>
          </w:p>
        </w:tc>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kern w:val="0"/>
                <w:sz w:val="20"/>
                <w:szCs w:val="20"/>
              </w:rPr>
              <w:t>经济效益指标</w:t>
            </w:r>
          </w:p>
        </w:tc>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p>
        </w:tc>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480" w:hRule="atLeast"/>
        </w:trPr>
        <w:tc>
          <w:tcPr>
            <w:tcW w:w="317"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kern w:val="0"/>
                <w:sz w:val="20"/>
                <w:szCs w:val="20"/>
              </w:rPr>
              <w:t>社会效益指标</w:t>
            </w:r>
          </w:p>
        </w:tc>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促进社会服务体系发展</w:t>
            </w:r>
          </w:p>
        </w:tc>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效果明显</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sz w:val="20"/>
                <w:szCs w:val="20"/>
              </w:rPr>
              <w:t>100%</w:t>
            </w:r>
          </w:p>
        </w:tc>
      </w:tr>
      <w:tr>
        <w:tblPrEx>
          <w:tblCellMar>
            <w:top w:w="0" w:type="dxa"/>
            <w:left w:w="108" w:type="dxa"/>
            <w:bottom w:w="0" w:type="dxa"/>
            <w:right w:w="108" w:type="dxa"/>
          </w:tblCellMar>
        </w:tblPrEx>
        <w:trPr>
          <w:trHeight w:val="381" w:hRule="atLeast"/>
        </w:trPr>
        <w:tc>
          <w:tcPr>
            <w:tcW w:w="317"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383" w:leftChars="87" w:hanging="200" w:hangingChars="100"/>
              <w:jc w:val="center"/>
              <w:textAlignment w:val="bottom"/>
              <w:rPr>
                <w:rFonts w:hint="default" w:ascii="Times New Roman" w:hAnsi="Times New Roman" w:cs="Times New Roman"/>
                <w:sz w:val="20"/>
                <w:szCs w:val="20"/>
              </w:rPr>
            </w:pPr>
            <w:r>
              <w:rPr>
                <w:rFonts w:hint="default" w:ascii="Times New Roman" w:hAnsi="Times New Roman" w:cs="Times New Roman"/>
                <w:kern w:val="0"/>
                <w:sz w:val="20"/>
                <w:szCs w:val="20"/>
              </w:rPr>
              <w:t>生态效益指标</w:t>
            </w:r>
          </w:p>
        </w:tc>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p>
        </w:tc>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p>
        </w:tc>
      </w:tr>
      <w:tr>
        <w:trPr>
          <w:trHeight w:val="480" w:hRule="atLeast"/>
        </w:trPr>
        <w:tc>
          <w:tcPr>
            <w:tcW w:w="317"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kern w:val="0"/>
                <w:sz w:val="20"/>
                <w:szCs w:val="20"/>
              </w:rPr>
              <w:t>可持续影响指标</w:t>
            </w:r>
          </w:p>
        </w:tc>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福彩公益金影响力</w:t>
            </w:r>
          </w:p>
        </w:tc>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sz w:val="20"/>
                <w:szCs w:val="20"/>
              </w:rPr>
              <w:t>显著增强</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sz w:val="20"/>
                <w:szCs w:val="20"/>
              </w:rPr>
              <w:t>100%</w:t>
            </w:r>
          </w:p>
        </w:tc>
      </w:tr>
      <w:tr>
        <w:tblPrEx>
          <w:tblCellMar>
            <w:top w:w="0" w:type="dxa"/>
            <w:left w:w="108" w:type="dxa"/>
            <w:bottom w:w="0" w:type="dxa"/>
            <w:right w:w="108" w:type="dxa"/>
          </w:tblCellMar>
        </w:tblPrEx>
        <w:trPr>
          <w:trHeight w:val="519" w:hRule="atLeast"/>
        </w:trPr>
        <w:tc>
          <w:tcPr>
            <w:tcW w:w="317" w:type="pct"/>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0"/>
                <w:szCs w:val="20"/>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kern w:val="0"/>
                <w:sz w:val="20"/>
                <w:szCs w:val="20"/>
              </w:rPr>
              <w:t>满意</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度指标</w:t>
            </w:r>
          </w:p>
        </w:tc>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kern w:val="0"/>
                <w:sz w:val="20"/>
                <w:szCs w:val="20"/>
              </w:rPr>
              <w:t>满意度指标</w:t>
            </w:r>
          </w:p>
        </w:tc>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被救助保护困境儿童、政府主管部门、社会公众满意度</w:t>
            </w:r>
          </w:p>
        </w:tc>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sz w:val="20"/>
                <w:szCs w:val="20"/>
              </w:rPr>
              <w:t>≥80%</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sz w:val="20"/>
                <w:szCs w:val="20"/>
              </w:rPr>
            </w:pPr>
            <w:r>
              <w:rPr>
                <w:rFonts w:hint="default" w:ascii="Times New Roman" w:hAnsi="Times New Roman" w:cs="Times New Roman"/>
                <w:sz w:val="20"/>
                <w:szCs w:val="20"/>
              </w:rPr>
              <w:t>完成率100%，实际完成≥90%</w:t>
            </w:r>
          </w:p>
        </w:tc>
      </w:tr>
    </w:tbl>
    <w:p>
      <w:pPr>
        <w:spacing w:line="600" w:lineRule="exact"/>
        <w:jc w:val="center"/>
        <w:outlineLvl w:val="0"/>
        <w:rPr>
          <w:rFonts w:hint="default" w:ascii="Times New Roman" w:hAnsi="Times New Roman" w:cs="Times New Roman"/>
          <w:color w:val="000000"/>
          <w:sz w:val="20"/>
          <w:szCs w:val="20"/>
        </w:rPr>
      </w:pPr>
    </w:p>
    <w:p>
      <w:pPr>
        <w:widowControl/>
        <w:jc w:val="lef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br w:type="page"/>
      </w:r>
    </w:p>
    <w:p>
      <w:pPr>
        <w:spacing w:line="600" w:lineRule="exact"/>
        <w:jc w:val="center"/>
        <w:outlineLvl w:val="0"/>
        <w:rPr>
          <w:rFonts w:hint="default" w:ascii="Times New Roman" w:hAnsi="Times New Roman" w:eastAsia="黑体" w:cs="Times New Roman"/>
          <w:b/>
          <w:bCs/>
          <w:kern w:val="44"/>
          <w:sz w:val="44"/>
          <w:szCs w:val="44"/>
        </w:rPr>
      </w:pPr>
      <w:r>
        <w:rPr>
          <w:rFonts w:hint="default" w:ascii="Times New Roman" w:hAnsi="Times New Roman" w:eastAsia="黑体" w:cs="Times New Roman"/>
          <w:color w:val="000000"/>
          <w:sz w:val="44"/>
          <w:szCs w:val="44"/>
        </w:rPr>
        <w:t>第</w:t>
      </w:r>
      <w:r>
        <w:rPr>
          <w:rStyle w:val="17"/>
          <w:rFonts w:hint="default" w:ascii="Times New Roman" w:hAnsi="Times New Roman" w:eastAsia="黑体" w:cs="Times New Roman"/>
          <w:b w:val="0"/>
        </w:rPr>
        <w:t>五部分附表</w:t>
      </w:r>
      <w:bookmarkEnd w:id="53"/>
      <w:bookmarkEnd w:id="54"/>
    </w:p>
    <w:p>
      <w:pPr>
        <w:pStyle w:val="4"/>
        <w:rPr>
          <w:rFonts w:hint="eastAsia" w:ascii="仿宋_GB2312" w:hAnsi="仿宋_GB2312" w:eastAsia="仿宋_GB2312" w:cs="仿宋_GB2312"/>
          <w:b w:val="0"/>
        </w:rPr>
      </w:pPr>
      <w:r>
        <w:rPr>
          <w:rFonts w:hint="eastAsia" w:ascii="仿宋_GB2312" w:hAnsi="仿宋_GB2312" w:eastAsia="仿宋_GB2312" w:cs="仿宋_GB2312"/>
          <w:b w:val="0"/>
        </w:rPr>
        <w:t>一、收</w:t>
      </w:r>
      <w:r>
        <w:rPr>
          <w:rStyle w:val="18"/>
          <w:rFonts w:hint="eastAsia" w:ascii="仿宋_GB2312" w:hAnsi="仿宋_GB2312" w:eastAsia="仿宋_GB2312" w:cs="仿宋_GB2312"/>
          <w:b w:val="0"/>
          <w:bCs/>
        </w:rPr>
        <w:t>入支出决算总表</w:t>
      </w:r>
    </w:p>
    <w:p>
      <w:pPr>
        <w:pStyle w:val="4"/>
        <w:rPr>
          <w:rFonts w:hint="eastAsia" w:ascii="仿宋_GB2312" w:hAnsi="仿宋_GB2312" w:eastAsia="仿宋_GB2312" w:cs="仿宋_GB2312"/>
          <w:b w:val="0"/>
        </w:rPr>
      </w:pPr>
      <w:bookmarkStart w:id="55" w:name="_Toc15396620"/>
      <w:r>
        <w:rPr>
          <w:rFonts w:hint="eastAsia" w:ascii="仿宋_GB2312" w:hAnsi="仿宋_GB2312" w:eastAsia="仿宋_GB2312" w:cs="仿宋_GB2312"/>
          <w:b w:val="0"/>
        </w:rPr>
        <w:t>二、收</w:t>
      </w:r>
      <w:r>
        <w:rPr>
          <w:rStyle w:val="18"/>
          <w:rFonts w:hint="eastAsia" w:ascii="仿宋_GB2312" w:hAnsi="仿宋_GB2312" w:eastAsia="仿宋_GB2312" w:cs="仿宋_GB2312"/>
          <w:b w:val="0"/>
          <w:bCs/>
        </w:rPr>
        <w:t>入决算表</w:t>
      </w:r>
      <w:bookmarkEnd w:id="55"/>
    </w:p>
    <w:p>
      <w:pPr>
        <w:pStyle w:val="4"/>
        <w:rPr>
          <w:rFonts w:hint="eastAsia" w:ascii="仿宋_GB2312" w:hAnsi="仿宋_GB2312" w:eastAsia="仿宋_GB2312" w:cs="仿宋_GB2312"/>
          <w:b w:val="0"/>
        </w:rPr>
      </w:pPr>
      <w:bookmarkStart w:id="56" w:name="_Toc15396621"/>
      <w:r>
        <w:rPr>
          <w:rStyle w:val="18"/>
          <w:rFonts w:hint="eastAsia" w:ascii="仿宋_GB2312" w:hAnsi="仿宋_GB2312" w:eastAsia="仿宋_GB2312" w:cs="仿宋_GB2312"/>
          <w:b w:val="0"/>
          <w:bCs/>
        </w:rPr>
        <w:t>三、</w:t>
      </w:r>
      <w:r>
        <w:rPr>
          <w:rFonts w:hint="eastAsia" w:ascii="仿宋_GB2312" w:hAnsi="仿宋_GB2312" w:eastAsia="仿宋_GB2312" w:cs="仿宋_GB2312"/>
          <w:b w:val="0"/>
        </w:rPr>
        <w:t>支</w:t>
      </w:r>
      <w:r>
        <w:rPr>
          <w:rStyle w:val="18"/>
          <w:rFonts w:hint="eastAsia" w:ascii="仿宋_GB2312" w:hAnsi="仿宋_GB2312" w:eastAsia="仿宋_GB2312" w:cs="仿宋_GB2312"/>
          <w:b w:val="0"/>
          <w:bCs/>
        </w:rPr>
        <w:t>出决算表</w:t>
      </w:r>
      <w:bookmarkEnd w:id="56"/>
    </w:p>
    <w:p>
      <w:pPr>
        <w:pStyle w:val="4"/>
        <w:rPr>
          <w:rFonts w:hint="eastAsia" w:ascii="仿宋_GB2312" w:hAnsi="仿宋_GB2312" w:eastAsia="仿宋_GB2312" w:cs="仿宋_GB2312"/>
          <w:b w:val="0"/>
        </w:rPr>
      </w:pPr>
      <w:bookmarkStart w:id="57" w:name="_Toc15396622"/>
      <w:r>
        <w:rPr>
          <w:rStyle w:val="18"/>
          <w:rFonts w:hint="eastAsia" w:ascii="仿宋_GB2312" w:hAnsi="仿宋_GB2312" w:eastAsia="仿宋_GB2312" w:cs="仿宋_GB2312"/>
          <w:b w:val="0"/>
          <w:bCs/>
        </w:rPr>
        <w:t>四、</w:t>
      </w:r>
      <w:r>
        <w:rPr>
          <w:rFonts w:hint="eastAsia" w:ascii="仿宋_GB2312" w:hAnsi="仿宋_GB2312" w:eastAsia="仿宋_GB2312" w:cs="仿宋_GB2312"/>
          <w:b w:val="0"/>
        </w:rPr>
        <w:t>财</w:t>
      </w:r>
      <w:r>
        <w:rPr>
          <w:rStyle w:val="18"/>
          <w:rFonts w:hint="eastAsia" w:ascii="仿宋_GB2312" w:hAnsi="仿宋_GB2312" w:eastAsia="仿宋_GB2312" w:cs="仿宋_GB2312"/>
          <w:b w:val="0"/>
          <w:bCs/>
        </w:rPr>
        <w:t>政拨款收入支出决算总表</w:t>
      </w:r>
      <w:bookmarkEnd w:id="57"/>
    </w:p>
    <w:p>
      <w:pPr>
        <w:pStyle w:val="4"/>
        <w:rPr>
          <w:rStyle w:val="18"/>
          <w:rFonts w:hint="eastAsia" w:ascii="仿宋_GB2312" w:hAnsi="仿宋_GB2312" w:eastAsia="仿宋_GB2312" w:cs="仿宋_GB2312"/>
          <w:b w:val="0"/>
          <w:bCs w:val="0"/>
        </w:rPr>
      </w:pPr>
      <w:bookmarkStart w:id="58" w:name="_Toc15396623"/>
      <w:r>
        <w:rPr>
          <w:rStyle w:val="18"/>
          <w:rFonts w:hint="eastAsia" w:ascii="仿宋_GB2312" w:hAnsi="仿宋_GB2312" w:eastAsia="仿宋_GB2312" w:cs="仿宋_GB2312"/>
          <w:b w:val="0"/>
          <w:bCs/>
        </w:rPr>
        <w:t>五、</w:t>
      </w:r>
      <w:r>
        <w:rPr>
          <w:rFonts w:hint="eastAsia" w:ascii="仿宋_GB2312" w:hAnsi="仿宋_GB2312" w:eastAsia="仿宋_GB2312" w:cs="仿宋_GB2312"/>
          <w:b w:val="0"/>
        </w:rPr>
        <w:t>财</w:t>
      </w:r>
      <w:r>
        <w:rPr>
          <w:rStyle w:val="18"/>
          <w:rFonts w:hint="eastAsia" w:ascii="仿宋_GB2312" w:hAnsi="仿宋_GB2312" w:eastAsia="仿宋_GB2312" w:cs="仿宋_GB2312"/>
          <w:b w:val="0"/>
          <w:bCs/>
        </w:rPr>
        <w:t>政拨款支出决算明细表</w:t>
      </w:r>
      <w:bookmarkEnd w:id="58"/>
      <w:bookmarkStart w:id="59" w:name="_Toc15396624"/>
    </w:p>
    <w:p>
      <w:pPr>
        <w:pStyle w:val="4"/>
        <w:rPr>
          <w:rFonts w:hint="eastAsia" w:ascii="仿宋_GB2312" w:hAnsi="仿宋_GB2312" w:eastAsia="仿宋_GB2312" w:cs="仿宋_GB2312"/>
          <w:b w:val="0"/>
        </w:rPr>
      </w:pPr>
      <w:r>
        <w:rPr>
          <w:rStyle w:val="18"/>
          <w:rFonts w:hint="eastAsia" w:ascii="仿宋_GB2312" w:hAnsi="仿宋_GB2312" w:eastAsia="仿宋_GB2312" w:cs="仿宋_GB2312"/>
          <w:b w:val="0"/>
          <w:bCs/>
        </w:rPr>
        <w:t>六、</w:t>
      </w:r>
      <w:r>
        <w:rPr>
          <w:rFonts w:hint="eastAsia" w:ascii="仿宋_GB2312" w:hAnsi="仿宋_GB2312" w:eastAsia="仿宋_GB2312" w:cs="仿宋_GB2312"/>
          <w:b w:val="0"/>
        </w:rPr>
        <w:t>一</w:t>
      </w:r>
      <w:r>
        <w:rPr>
          <w:rStyle w:val="18"/>
          <w:rFonts w:hint="eastAsia" w:ascii="仿宋_GB2312" w:hAnsi="仿宋_GB2312" w:eastAsia="仿宋_GB2312" w:cs="仿宋_GB2312"/>
          <w:b w:val="0"/>
          <w:bCs/>
        </w:rPr>
        <w:t>般公共预算财政拨款支出决算表</w:t>
      </w:r>
      <w:bookmarkEnd w:id="59"/>
    </w:p>
    <w:p>
      <w:pPr>
        <w:pStyle w:val="4"/>
        <w:rPr>
          <w:rFonts w:hint="eastAsia" w:ascii="仿宋_GB2312" w:hAnsi="仿宋_GB2312" w:eastAsia="仿宋_GB2312" w:cs="仿宋_GB2312"/>
          <w:b w:val="0"/>
        </w:rPr>
      </w:pPr>
      <w:bookmarkStart w:id="60" w:name="_Toc15396625"/>
      <w:r>
        <w:rPr>
          <w:rStyle w:val="18"/>
          <w:rFonts w:hint="eastAsia" w:ascii="仿宋_GB2312" w:hAnsi="仿宋_GB2312" w:eastAsia="仿宋_GB2312" w:cs="仿宋_GB2312"/>
          <w:b w:val="0"/>
          <w:bCs/>
        </w:rPr>
        <w:t>七、</w:t>
      </w:r>
      <w:r>
        <w:rPr>
          <w:rFonts w:hint="eastAsia" w:ascii="仿宋_GB2312" w:hAnsi="仿宋_GB2312" w:eastAsia="仿宋_GB2312" w:cs="仿宋_GB2312"/>
          <w:b w:val="0"/>
        </w:rPr>
        <w:t>一</w:t>
      </w:r>
      <w:r>
        <w:rPr>
          <w:rStyle w:val="18"/>
          <w:rFonts w:hint="eastAsia" w:ascii="仿宋_GB2312" w:hAnsi="仿宋_GB2312" w:eastAsia="仿宋_GB2312" w:cs="仿宋_GB2312"/>
          <w:b w:val="0"/>
          <w:bCs/>
        </w:rPr>
        <w:t>般公共预算财政拨款支出决算明细表</w:t>
      </w:r>
      <w:bookmarkEnd w:id="60"/>
    </w:p>
    <w:p>
      <w:pPr>
        <w:pStyle w:val="4"/>
        <w:rPr>
          <w:rFonts w:hint="eastAsia" w:ascii="仿宋_GB2312" w:hAnsi="仿宋_GB2312" w:eastAsia="仿宋_GB2312" w:cs="仿宋_GB2312"/>
          <w:b w:val="0"/>
        </w:rPr>
      </w:pPr>
      <w:bookmarkStart w:id="61" w:name="_Toc15396626"/>
      <w:r>
        <w:rPr>
          <w:rStyle w:val="18"/>
          <w:rFonts w:hint="eastAsia" w:ascii="仿宋_GB2312" w:hAnsi="仿宋_GB2312" w:eastAsia="仿宋_GB2312" w:cs="仿宋_GB2312"/>
          <w:b w:val="0"/>
          <w:bCs/>
        </w:rPr>
        <w:t>八、</w:t>
      </w:r>
      <w:r>
        <w:rPr>
          <w:rFonts w:hint="eastAsia" w:ascii="仿宋_GB2312" w:hAnsi="仿宋_GB2312" w:eastAsia="仿宋_GB2312" w:cs="仿宋_GB2312"/>
          <w:b w:val="0"/>
        </w:rPr>
        <w:t>一</w:t>
      </w:r>
      <w:r>
        <w:rPr>
          <w:rStyle w:val="18"/>
          <w:rFonts w:hint="eastAsia" w:ascii="仿宋_GB2312" w:hAnsi="仿宋_GB2312" w:eastAsia="仿宋_GB2312" w:cs="仿宋_GB2312"/>
          <w:b w:val="0"/>
          <w:bCs/>
        </w:rPr>
        <w:t>般公共预算财政拨款基本支出决算表</w:t>
      </w:r>
      <w:bookmarkEnd w:id="61"/>
    </w:p>
    <w:p>
      <w:pPr>
        <w:pStyle w:val="4"/>
        <w:rPr>
          <w:rFonts w:hint="eastAsia" w:ascii="仿宋_GB2312" w:hAnsi="仿宋_GB2312" w:eastAsia="仿宋_GB2312" w:cs="仿宋_GB2312"/>
          <w:b w:val="0"/>
        </w:rPr>
      </w:pPr>
      <w:bookmarkStart w:id="62" w:name="_Toc15396627"/>
      <w:r>
        <w:rPr>
          <w:rStyle w:val="18"/>
          <w:rFonts w:hint="eastAsia" w:ascii="仿宋_GB2312" w:hAnsi="仿宋_GB2312" w:eastAsia="仿宋_GB2312" w:cs="仿宋_GB2312"/>
          <w:b w:val="0"/>
          <w:bCs/>
        </w:rPr>
        <w:t>九、</w:t>
      </w:r>
      <w:r>
        <w:rPr>
          <w:rFonts w:hint="eastAsia" w:ascii="仿宋_GB2312" w:hAnsi="仿宋_GB2312" w:eastAsia="仿宋_GB2312" w:cs="仿宋_GB2312"/>
          <w:b w:val="0"/>
        </w:rPr>
        <w:t>一</w:t>
      </w:r>
      <w:r>
        <w:rPr>
          <w:rStyle w:val="18"/>
          <w:rFonts w:hint="eastAsia" w:ascii="仿宋_GB2312" w:hAnsi="仿宋_GB2312" w:eastAsia="仿宋_GB2312" w:cs="仿宋_GB2312"/>
          <w:b w:val="0"/>
          <w:bCs/>
        </w:rPr>
        <w:t>般公共预算财政拨款项目支出决算表</w:t>
      </w:r>
      <w:bookmarkEnd w:id="62"/>
    </w:p>
    <w:p>
      <w:pPr>
        <w:pStyle w:val="4"/>
        <w:rPr>
          <w:rFonts w:hint="eastAsia" w:ascii="仿宋_GB2312" w:hAnsi="仿宋_GB2312" w:eastAsia="仿宋_GB2312" w:cs="仿宋_GB2312"/>
          <w:b w:val="0"/>
        </w:rPr>
      </w:pPr>
      <w:bookmarkStart w:id="63" w:name="_Toc15396628"/>
      <w:r>
        <w:rPr>
          <w:rStyle w:val="18"/>
          <w:rFonts w:hint="eastAsia" w:ascii="仿宋_GB2312" w:hAnsi="仿宋_GB2312" w:eastAsia="仿宋_GB2312" w:cs="仿宋_GB2312"/>
          <w:b w:val="0"/>
          <w:bCs/>
        </w:rPr>
        <w:t>十、</w:t>
      </w:r>
      <w:r>
        <w:rPr>
          <w:rFonts w:hint="eastAsia" w:ascii="仿宋_GB2312" w:hAnsi="仿宋_GB2312" w:eastAsia="仿宋_GB2312" w:cs="仿宋_GB2312"/>
          <w:b w:val="0"/>
        </w:rPr>
        <w:t>一</w:t>
      </w:r>
      <w:r>
        <w:rPr>
          <w:rStyle w:val="18"/>
          <w:rFonts w:hint="eastAsia" w:ascii="仿宋_GB2312" w:hAnsi="仿宋_GB2312" w:eastAsia="仿宋_GB2312" w:cs="仿宋_GB2312"/>
          <w:b w:val="0"/>
          <w:bCs/>
        </w:rPr>
        <w:t>般公共预算财政拨款“三公”经费支出决算表</w:t>
      </w:r>
      <w:bookmarkEnd w:id="63"/>
    </w:p>
    <w:p>
      <w:pPr>
        <w:pStyle w:val="4"/>
        <w:rPr>
          <w:rFonts w:hint="eastAsia" w:ascii="仿宋_GB2312" w:hAnsi="仿宋_GB2312" w:eastAsia="仿宋_GB2312" w:cs="仿宋_GB2312"/>
          <w:b w:val="0"/>
        </w:rPr>
      </w:pPr>
      <w:bookmarkStart w:id="64" w:name="_Toc15396629"/>
      <w:r>
        <w:rPr>
          <w:rStyle w:val="18"/>
          <w:rFonts w:hint="eastAsia" w:ascii="仿宋_GB2312" w:hAnsi="仿宋_GB2312" w:eastAsia="仿宋_GB2312" w:cs="仿宋_GB2312"/>
          <w:b w:val="0"/>
          <w:bCs/>
        </w:rPr>
        <w:t>十一、</w:t>
      </w:r>
      <w:r>
        <w:rPr>
          <w:rFonts w:hint="eastAsia" w:ascii="仿宋_GB2312" w:hAnsi="仿宋_GB2312" w:eastAsia="仿宋_GB2312" w:cs="仿宋_GB2312"/>
          <w:b w:val="0"/>
        </w:rPr>
        <w:t>政</w:t>
      </w:r>
      <w:r>
        <w:rPr>
          <w:rStyle w:val="18"/>
          <w:rFonts w:hint="eastAsia" w:ascii="仿宋_GB2312" w:hAnsi="仿宋_GB2312" w:eastAsia="仿宋_GB2312" w:cs="仿宋_GB2312"/>
          <w:b w:val="0"/>
          <w:bCs/>
        </w:rPr>
        <w:t>府性基金预算财政拨款收入支出决算表</w:t>
      </w:r>
      <w:bookmarkEnd w:id="64"/>
    </w:p>
    <w:p>
      <w:pPr>
        <w:rPr>
          <w:rFonts w:hint="eastAsia" w:ascii="仿宋_GB2312" w:hAnsi="仿宋_GB2312" w:eastAsia="仿宋_GB2312" w:cs="仿宋_GB2312"/>
          <w:b w:val="0"/>
        </w:rPr>
      </w:pPr>
      <w:bookmarkStart w:id="65" w:name="_Toc15396630"/>
      <w:r>
        <w:rPr>
          <w:rStyle w:val="18"/>
          <w:rFonts w:hint="eastAsia" w:ascii="仿宋_GB2312" w:hAnsi="仿宋_GB2312" w:eastAsia="仿宋_GB2312" w:cs="仿宋_GB2312"/>
          <w:b w:val="0"/>
          <w:bCs/>
        </w:rPr>
        <w:t>十二、</w:t>
      </w:r>
      <w:r>
        <w:rPr>
          <w:rFonts w:hint="eastAsia" w:ascii="仿宋_GB2312" w:hAnsi="仿宋_GB2312" w:eastAsia="仿宋_GB2312" w:cs="仿宋_GB2312"/>
          <w:b w:val="0"/>
          <w:sz w:val="32"/>
          <w:szCs w:val="32"/>
        </w:rPr>
        <w:t>政</w:t>
      </w:r>
      <w:r>
        <w:rPr>
          <w:rStyle w:val="18"/>
          <w:rFonts w:hint="eastAsia" w:ascii="仿宋_GB2312" w:hAnsi="仿宋_GB2312" w:eastAsia="仿宋_GB2312" w:cs="仿宋_GB2312"/>
          <w:b w:val="0"/>
          <w:bCs/>
        </w:rPr>
        <w:t>府性基金预算财政拨款“三公”经费支出决算表</w:t>
      </w:r>
      <w:bookmarkEnd w:id="65"/>
      <w:r>
        <w:rPr>
          <w:rStyle w:val="29"/>
          <w:rFonts w:hint="eastAsia" w:ascii="仿宋_GB2312" w:hAnsi="仿宋_GB2312" w:eastAsia="仿宋_GB2312" w:cs="仿宋_GB2312"/>
          <w:b w:val="0"/>
          <w:bCs w:val="0"/>
        </w:rPr>
        <w:t>（此表无数据）</w:t>
      </w:r>
    </w:p>
    <w:p>
      <w:pPr>
        <w:rPr>
          <w:rFonts w:hint="eastAsia" w:ascii="仿宋_GB2312" w:hAnsi="仿宋_GB2312" w:eastAsia="仿宋_GB2312" w:cs="仿宋_GB2312"/>
          <w:b/>
          <w:sz w:val="32"/>
          <w:szCs w:val="32"/>
        </w:rPr>
      </w:pPr>
      <w:bookmarkStart w:id="66" w:name="_Toc15396631"/>
      <w:r>
        <w:rPr>
          <w:rStyle w:val="18"/>
          <w:rFonts w:hint="eastAsia" w:ascii="仿宋_GB2312" w:hAnsi="仿宋_GB2312" w:eastAsia="仿宋_GB2312" w:cs="仿宋_GB2312"/>
          <w:b w:val="0"/>
          <w:bCs/>
        </w:rPr>
        <w:t>十三、</w:t>
      </w:r>
      <w:r>
        <w:rPr>
          <w:rFonts w:hint="eastAsia" w:ascii="仿宋_GB2312" w:hAnsi="仿宋_GB2312" w:eastAsia="仿宋_GB2312" w:cs="仿宋_GB2312"/>
          <w:b w:val="0"/>
          <w:sz w:val="32"/>
          <w:szCs w:val="32"/>
        </w:rPr>
        <w:t>国</w:t>
      </w:r>
      <w:r>
        <w:rPr>
          <w:rStyle w:val="18"/>
          <w:rFonts w:hint="eastAsia" w:ascii="仿宋_GB2312" w:hAnsi="仿宋_GB2312" w:eastAsia="仿宋_GB2312" w:cs="仿宋_GB2312"/>
          <w:b w:val="0"/>
          <w:bCs/>
        </w:rPr>
        <w:t>有资本经营预算财政拨款收入支出决算表</w:t>
      </w:r>
      <w:bookmarkEnd w:id="66"/>
      <w:r>
        <w:rPr>
          <w:rStyle w:val="29"/>
          <w:rFonts w:hint="eastAsia" w:ascii="仿宋_GB2312" w:hAnsi="仿宋_GB2312" w:eastAsia="仿宋_GB2312" w:cs="仿宋_GB2312"/>
          <w:b w:val="0"/>
          <w:bCs w:val="0"/>
        </w:rPr>
        <w:t>（此表无数据）</w:t>
      </w:r>
    </w:p>
    <w:p>
      <w:pPr>
        <w:pStyle w:val="4"/>
        <w:rPr>
          <w:rStyle w:val="18"/>
          <w:rFonts w:hint="eastAsia" w:ascii="仿宋_GB2312" w:hAnsi="仿宋_GB2312" w:eastAsia="仿宋_GB2312" w:cs="仿宋_GB2312"/>
          <w:b w:val="0"/>
          <w:bCs/>
        </w:rPr>
      </w:pPr>
    </w:p>
    <w:p>
      <w:pPr>
        <w:rPr>
          <w:rFonts w:hint="eastAsia" w:ascii="仿宋_GB2312" w:hAnsi="仿宋_GB2312" w:eastAsia="仿宋_GB2312" w:cs="仿宋_GB2312"/>
          <w:b/>
          <w:sz w:val="32"/>
          <w:szCs w:val="32"/>
        </w:rPr>
      </w:pPr>
      <w:r>
        <w:rPr>
          <w:rStyle w:val="18"/>
          <w:rFonts w:hint="eastAsia" w:ascii="仿宋_GB2312" w:hAnsi="仿宋_GB2312" w:eastAsia="仿宋_GB2312" w:cs="仿宋_GB2312"/>
          <w:b w:val="0"/>
          <w:bCs/>
        </w:rPr>
        <w:t>十四、国有资本经营预算财政拨款支出决算表</w:t>
      </w:r>
      <w:r>
        <w:rPr>
          <w:rStyle w:val="29"/>
          <w:rFonts w:hint="eastAsia" w:ascii="仿宋_GB2312" w:hAnsi="仿宋_GB2312" w:eastAsia="仿宋_GB2312" w:cs="仿宋_GB2312"/>
          <w:b w:val="0"/>
          <w:bCs w:val="0"/>
        </w:rPr>
        <w:t>（此表无数据）</w:t>
      </w:r>
    </w:p>
    <w:p>
      <w:pPr>
        <w:rPr>
          <w:rFonts w:hint="eastAsia" w:ascii="仿宋_GB2312" w:hAnsi="仿宋_GB2312" w:eastAsia="仿宋_GB2312" w:cs="仿宋_GB2312"/>
        </w:rPr>
      </w:pPr>
    </w:p>
    <w:sectPr>
      <w:headerReference r:id="rId8" w:type="default"/>
      <w:footerReference r:id="rId9" w:type="default"/>
      <w:footerReference r:id="rId10" w:type="even"/>
      <w:pgSz w:w="11906" w:h="16838"/>
      <w:pgMar w:top="1440" w:right="1800" w:bottom="1440" w:left="1800"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28"/>
      </w:rPr>
      <w:pict>
        <v:shape id="_x0000_s3077" o:spid="_x0000_s3077" o:spt="202" type="#_x0000_t202" style="position:absolute;left:0pt;margin-top:0pt;height:144pt;width:144pt;mso-position-horizontal:lef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p>
            </w:txbxContent>
          </v:textbox>
        </v:shape>
      </w:pict>
    </w:r>
    <w:r>
      <w:rPr>
        <w:sz w:val="28"/>
      </w:rPr>
      <w:pict>
        <v:shape id="_x0000_s3075" o:spid="_x0000_s307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pPr>
              </w:p>
            </w:txbxContent>
          </v:textbox>
        </v:shape>
      </w:pict>
    </w:r>
    <w:sdt>
      <w:sdtPr>
        <w:rPr>
          <w:rFonts w:hint="eastAsia" w:ascii="宋体" w:hAnsi="宋体" w:eastAsia="宋体" w:cs="宋体"/>
          <w:sz w:val="28"/>
          <w:szCs w:val="28"/>
        </w:rPr>
        <w:id w:val="-1534881178"/>
        <w:docPartObj>
          <w:docPartGallery w:val="autotext"/>
        </w:docPartObj>
      </w:sdtPr>
      <w:sdtEndPr>
        <w:rPr>
          <w:rFonts w:hint="eastAsia" w:ascii="宋体" w:hAnsi="宋体" w:eastAsia="宋体" w:cs="宋体"/>
          <w:sz w:val="28"/>
          <w:szCs w:val="28"/>
        </w:rPr>
      </w:sdtEndPr>
      <w:sdtContent/>
    </w:sdt>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3076" o:spid="_x0000_s307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pPr>
                <w: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28"/>
      </w:rPr>
      <w:pict>
        <v:shape id="_x0000_s3078" o:spid="_x0000_s3078"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- 3 -</w:t>
                </w:r>
                <w:r>
                  <w:rPr>
                    <w:rFonts w:hint="eastAsia" w:ascii="宋体" w:hAnsi="宋体" w:cs="宋体"/>
                    <w:sz w:val="28"/>
                    <w:szCs w:val="28"/>
                  </w:rPr>
                  <w:fldChar w:fldCharType="end"/>
                </w:r>
              </w:p>
            </w:txbxContent>
          </v:textbox>
        </v:shape>
      </w:pict>
    </w:r>
    <w:r>
      <w:rPr>
        <w:sz w:val="28"/>
      </w:rPr>
      <w:pict>
        <v:shape id="_x0000_s3079" o:spid="_x0000_s307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pPr>
              </w:p>
            </w:txbxContent>
          </v:textbox>
        </v:shape>
      </w:pict>
    </w:r>
    <w:sdt>
      <w:sdtPr>
        <w:rPr>
          <w:rFonts w:hint="eastAsia" w:ascii="宋体" w:hAnsi="宋体" w:eastAsia="宋体" w:cs="宋体"/>
          <w:sz w:val="28"/>
          <w:szCs w:val="28"/>
        </w:rPr>
        <w:id w:val="-1534881178"/>
        <w:docPartObj>
          <w:docPartGallery w:val="autotext"/>
        </w:docPartObj>
      </w:sdtPr>
      <w:sdtEndPr>
        <w:rPr>
          <w:rFonts w:hint="eastAsia" w:ascii="宋体" w:hAnsi="宋体" w:eastAsia="宋体" w:cs="宋体"/>
          <w:sz w:val="28"/>
          <w:szCs w:val="28"/>
        </w:rPr>
      </w:sdtEndPr>
      <w:sdtContent/>
    </w:sdt>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3080" o:spid="_x0000_s3080"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- 2 -</w:t>
                </w:r>
                <w:r>
                  <w:rPr>
                    <w:rFonts w:hint="eastAsia" w:ascii="宋体" w:hAnsi="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ulTrailSpace/>
    <w:doNotExpandShiftReturn/>
    <w:adjustLineHeightInTable/>
    <w:useFELayout/>
    <w:compatSetting w:name="compatibilityMode" w:uri="http://schemas.microsoft.com/office/word" w:val="12"/>
  </w:compat>
  <w:docVars>
    <w:docVar w:name="commondata" w:val="eyJoZGlkIjoiMDY3MDcxNzM1MGIwYjhlNzQzYzAxNDJhNDVjM2UyNWIifQ=="/>
  </w:docVars>
  <w:rsids>
    <w:rsidRoot w:val="007F18BB"/>
    <w:rsid w:val="000209D2"/>
    <w:rsid w:val="0002776A"/>
    <w:rsid w:val="000801F8"/>
    <w:rsid w:val="000957AD"/>
    <w:rsid w:val="000C25E7"/>
    <w:rsid w:val="00102007"/>
    <w:rsid w:val="00196FDB"/>
    <w:rsid w:val="001B7CB2"/>
    <w:rsid w:val="002064D0"/>
    <w:rsid w:val="002207D9"/>
    <w:rsid w:val="00244F3A"/>
    <w:rsid w:val="00277836"/>
    <w:rsid w:val="002809E2"/>
    <w:rsid w:val="00281486"/>
    <w:rsid w:val="002E0FA5"/>
    <w:rsid w:val="002E21F7"/>
    <w:rsid w:val="00313757"/>
    <w:rsid w:val="003316B9"/>
    <w:rsid w:val="00335A34"/>
    <w:rsid w:val="003644AF"/>
    <w:rsid w:val="00364BB2"/>
    <w:rsid w:val="00371B4D"/>
    <w:rsid w:val="003B7FAA"/>
    <w:rsid w:val="003C24BA"/>
    <w:rsid w:val="004109F1"/>
    <w:rsid w:val="00434E1F"/>
    <w:rsid w:val="0046640D"/>
    <w:rsid w:val="00470D25"/>
    <w:rsid w:val="004F7074"/>
    <w:rsid w:val="00541D63"/>
    <w:rsid w:val="0059687D"/>
    <w:rsid w:val="00626CDB"/>
    <w:rsid w:val="00651C8F"/>
    <w:rsid w:val="00697291"/>
    <w:rsid w:val="006C391A"/>
    <w:rsid w:val="0073050A"/>
    <w:rsid w:val="00744D6B"/>
    <w:rsid w:val="00747A82"/>
    <w:rsid w:val="007C1385"/>
    <w:rsid w:val="007C3155"/>
    <w:rsid w:val="007C659F"/>
    <w:rsid w:val="007F18BB"/>
    <w:rsid w:val="008073DF"/>
    <w:rsid w:val="00813065"/>
    <w:rsid w:val="008149D7"/>
    <w:rsid w:val="008244D4"/>
    <w:rsid w:val="008407E6"/>
    <w:rsid w:val="0086689B"/>
    <w:rsid w:val="008814E8"/>
    <w:rsid w:val="00891518"/>
    <w:rsid w:val="00896951"/>
    <w:rsid w:val="008B0D68"/>
    <w:rsid w:val="008E4F6F"/>
    <w:rsid w:val="00924C50"/>
    <w:rsid w:val="00940856"/>
    <w:rsid w:val="00956D47"/>
    <w:rsid w:val="0098296F"/>
    <w:rsid w:val="009C1308"/>
    <w:rsid w:val="009C414C"/>
    <w:rsid w:val="009C5F31"/>
    <w:rsid w:val="009F51FF"/>
    <w:rsid w:val="00A12079"/>
    <w:rsid w:val="00A701A3"/>
    <w:rsid w:val="00B05DC1"/>
    <w:rsid w:val="00B310FA"/>
    <w:rsid w:val="00B83715"/>
    <w:rsid w:val="00B83EBB"/>
    <w:rsid w:val="00C15895"/>
    <w:rsid w:val="00C46394"/>
    <w:rsid w:val="00C47303"/>
    <w:rsid w:val="00C82465"/>
    <w:rsid w:val="00C97331"/>
    <w:rsid w:val="00CB243F"/>
    <w:rsid w:val="00CC62FA"/>
    <w:rsid w:val="00CD56E9"/>
    <w:rsid w:val="00D179C1"/>
    <w:rsid w:val="00D32C3A"/>
    <w:rsid w:val="00D33FF6"/>
    <w:rsid w:val="00D51503"/>
    <w:rsid w:val="00D6594E"/>
    <w:rsid w:val="00DA47C2"/>
    <w:rsid w:val="00DC6FDF"/>
    <w:rsid w:val="00E27E00"/>
    <w:rsid w:val="00EB623B"/>
    <w:rsid w:val="00EC2827"/>
    <w:rsid w:val="00F271D2"/>
    <w:rsid w:val="00F334BE"/>
    <w:rsid w:val="00F61343"/>
    <w:rsid w:val="00F6727B"/>
    <w:rsid w:val="00FA0626"/>
    <w:rsid w:val="01EA5991"/>
    <w:rsid w:val="0243130D"/>
    <w:rsid w:val="04837F3B"/>
    <w:rsid w:val="05BC25AA"/>
    <w:rsid w:val="06542FF0"/>
    <w:rsid w:val="06785005"/>
    <w:rsid w:val="06FF2CB4"/>
    <w:rsid w:val="0C7C5810"/>
    <w:rsid w:val="0EE5154B"/>
    <w:rsid w:val="11850426"/>
    <w:rsid w:val="155F11AF"/>
    <w:rsid w:val="16B0643D"/>
    <w:rsid w:val="17D92953"/>
    <w:rsid w:val="19280E30"/>
    <w:rsid w:val="198A6011"/>
    <w:rsid w:val="1BA157BD"/>
    <w:rsid w:val="1CE75528"/>
    <w:rsid w:val="1CFD1120"/>
    <w:rsid w:val="1DEC54EC"/>
    <w:rsid w:val="245931AF"/>
    <w:rsid w:val="269C5F46"/>
    <w:rsid w:val="302F6C64"/>
    <w:rsid w:val="33CC13C4"/>
    <w:rsid w:val="38C03CD9"/>
    <w:rsid w:val="395309F0"/>
    <w:rsid w:val="39757AF5"/>
    <w:rsid w:val="3DF7166F"/>
    <w:rsid w:val="42E227C8"/>
    <w:rsid w:val="45A9293B"/>
    <w:rsid w:val="46170428"/>
    <w:rsid w:val="474B29D4"/>
    <w:rsid w:val="49F83D09"/>
    <w:rsid w:val="4AEC0102"/>
    <w:rsid w:val="4B3C4B0D"/>
    <w:rsid w:val="4BB55637"/>
    <w:rsid w:val="4BEA6BAD"/>
    <w:rsid w:val="53D35CCF"/>
    <w:rsid w:val="58EF311A"/>
    <w:rsid w:val="5DA37CB6"/>
    <w:rsid w:val="5E15681A"/>
    <w:rsid w:val="5FFB0462"/>
    <w:rsid w:val="61B20A29"/>
    <w:rsid w:val="622F0CF9"/>
    <w:rsid w:val="62E85128"/>
    <w:rsid w:val="636C0F4B"/>
    <w:rsid w:val="63A252D2"/>
    <w:rsid w:val="65AA182B"/>
    <w:rsid w:val="69070B82"/>
    <w:rsid w:val="6AF06796"/>
    <w:rsid w:val="70A46B2D"/>
    <w:rsid w:val="726460D2"/>
    <w:rsid w:val="75741AFD"/>
    <w:rsid w:val="76984881"/>
    <w:rsid w:val="7A200D19"/>
    <w:rsid w:val="7AB7285F"/>
    <w:rsid w:val="7B865DB3"/>
    <w:rsid w:val="7C7A15B7"/>
    <w:rsid w:val="BFFE1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9"/>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Lines="30"/>
    </w:pPr>
    <w:rPr>
      <w:rFonts w:ascii="仿宋_GB2312" w:eastAsia="仿宋_GB2312"/>
      <w:kern w:val="0"/>
      <w:sz w:val="24"/>
      <w:szCs w:val="20"/>
      <w:lang w:val="zh-CN"/>
    </w:rPr>
  </w:style>
  <w:style w:type="paragraph" w:styleId="6">
    <w:name w:val="toc 3"/>
    <w:basedOn w:val="1"/>
    <w:next w:val="1"/>
    <w:qFormat/>
    <w:uiPriority w:val="39"/>
    <w:pPr>
      <w:tabs>
        <w:tab w:val="right" w:leader="dot" w:pos="8296"/>
      </w:tabs>
      <w:ind w:left="400" w:leftChars="400"/>
    </w:pPr>
  </w:style>
  <w:style w:type="paragraph" w:styleId="7">
    <w:name w:val="Plain Text"/>
    <w:basedOn w:val="1"/>
    <w:qFormat/>
    <w:uiPriority w:val="0"/>
    <w:rPr>
      <w:rFonts w:ascii="宋体"/>
    </w:r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dot" w:pos="8296"/>
      </w:tabs>
      <w:spacing w:before="93"/>
      <w:jc w:val="center"/>
    </w:pPr>
    <w:rPr>
      <w:rFonts w:ascii="仿宋" w:eastAsia="仿宋"/>
      <w:sz w:val="28"/>
      <w:szCs w:val="28"/>
    </w:rPr>
  </w:style>
  <w:style w:type="paragraph" w:styleId="12">
    <w:name w:val="toc 2"/>
    <w:basedOn w:val="1"/>
    <w:next w:val="1"/>
    <w:qFormat/>
    <w:uiPriority w:val="39"/>
    <w:pPr>
      <w:tabs>
        <w:tab w:val="right" w:leader="dot" w:pos="8296"/>
      </w:tabs>
      <w:ind w:left="200" w:leftChars="200"/>
    </w:pPr>
  </w:style>
  <w:style w:type="character" w:styleId="15">
    <w:name w:val="Strong"/>
    <w:qFormat/>
    <w:uiPriority w:val="0"/>
    <w:rPr>
      <w:rFonts w:cs="Times New Roman"/>
      <w:b/>
    </w:rPr>
  </w:style>
  <w:style w:type="character" w:styleId="16">
    <w:name w:val="Hyperlink"/>
    <w:basedOn w:val="14"/>
    <w:qFormat/>
    <w:uiPriority w:val="99"/>
    <w:rPr>
      <w:rFonts w:cs="Times New Roman"/>
      <w:color w:val="0000FF"/>
      <w:u w:val="single"/>
    </w:rPr>
  </w:style>
  <w:style w:type="character" w:customStyle="1" w:styleId="17">
    <w:name w:val="标题 1 字符"/>
    <w:basedOn w:val="14"/>
    <w:link w:val="3"/>
    <w:qFormat/>
    <w:uiPriority w:val="0"/>
    <w:rPr>
      <w:rFonts w:ascii="Times New Roman" w:hAnsi="Times New Roman" w:eastAsia="宋体" w:cs="Times New Roman"/>
      <w:b/>
      <w:bCs/>
      <w:kern w:val="44"/>
      <w:sz w:val="44"/>
      <w:szCs w:val="44"/>
      <w:lang w:val="en-US" w:eastAsia="zh-CN" w:bidi="ar-SA"/>
    </w:rPr>
  </w:style>
  <w:style w:type="character" w:customStyle="1" w:styleId="18">
    <w:name w:val="标题 2 字符"/>
    <w:basedOn w:val="14"/>
    <w:link w:val="4"/>
    <w:qFormat/>
    <w:uiPriority w:val="9"/>
    <w:rPr>
      <w:rFonts w:ascii="Cambria" w:hAnsi="Cambria" w:eastAsia="宋体" w:cs="Times New Roman"/>
      <w:b/>
      <w:bCs/>
      <w:kern w:val="2"/>
      <w:sz w:val="32"/>
      <w:szCs w:val="32"/>
      <w:lang w:val="en-US" w:eastAsia="zh-CN" w:bidi="ar-SA"/>
    </w:rPr>
  </w:style>
  <w:style w:type="character" w:customStyle="1" w:styleId="19">
    <w:name w:val="Body Text Char"/>
    <w:qFormat/>
    <w:uiPriority w:val="0"/>
    <w:rPr>
      <w:rFonts w:ascii="Times New Roman" w:hAnsi="Times New Roman" w:cs="Times New Roman"/>
      <w:sz w:val="24"/>
      <w:szCs w:val="24"/>
    </w:rPr>
  </w:style>
  <w:style w:type="character" w:customStyle="1" w:styleId="20">
    <w:name w:val="Footer Char"/>
    <w:qFormat/>
    <w:uiPriority w:val="0"/>
    <w:rPr>
      <w:rFonts w:ascii="Times New Roman" w:hAnsi="Times New Roman" w:cs="Times New Roman"/>
      <w:sz w:val="18"/>
      <w:szCs w:val="18"/>
    </w:rPr>
  </w:style>
  <w:style w:type="character" w:customStyle="1" w:styleId="21">
    <w:name w:val="Header Char"/>
    <w:qFormat/>
    <w:uiPriority w:val="0"/>
    <w:rPr>
      <w:rFonts w:ascii="Times New Roman" w:hAnsi="Times New Roman" w:cs="Times New Roman"/>
      <w:sz w:val="18"/>
      <w:szCs w:val="18"/>
    </w:rPr>
  </w:style>
  <w:style w:type="paragraph" w:customStyle="1" w:styleId="22">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3">
    <w:name w:val="列出段落1"/>
    <w:basedOn w:val="1"/>
    <w:qFormat/>
    <w:uiPriority w:val="0"/>
    <w:pPr>
      <w:ind w:firstLine="200" w:firstLineChars="200"/>
    </w:pPr>
  </w:style>
  <w:style w:type="paragraph" w:customStyle="1" w:styleId="24">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5">
    <w:name w:val="TOC Heading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26">
    <w:name w:val="font11"/>
    <w:basedOn w:val="14"/>
    <w:qFormat/>
    <w:uiPriority w:val="0"/>
    <w:rPr>
      <w:rFonts w:ascii="仿宋_GB2312" w:eastAsia="仿宋_GB2312" w:cs="仿宋_GB2312"/>
      <w:color w:val="000000"/>
      <w:sz w:val="24"/>
      <w:szCs w:val="24"/>
      <w:u w:val="none"/>
    </w:rPr>
  </w:style>
  <w:style w:type="character" w:customStyle="1" w:styleId="27">
    <w:name w:val="15"/>
    <w:basedOn w:val="14"/>
    <w:qFormat/>
    <w:uiPriority w:val="0"/>
    <w:rPr>
      <w:rFonts w:hint="default" w:ascii="Calibri" w:hAnsi="Calibri" w:cs="Times New Roman"/>
      <w:b/>
    </w:rPr>
  </w:style>
  <w:style w:type="character" w:customStyle="1" w:styleId="28">
    <w:name w:val="页眉 字符"/>
    <w:basedOn w:val="14"/>
    <w:link w:val="10"/>
    <w:qFormat/>
    <w:uiPriority w:val="99"/>
    <w:rPr>
      <w:kern w:val="2"/>
      <w:sz w:val="18"/>
      <w:szCs w:val="18"/>
    </w:rPr>
  </w:style>
  <w:style w:type="character" w:customStyle="1" w:styleId="29">
    <w:name w:val="标题 2 Char"/>
    <w:basedOn w:val="14"/>
    <w:link w:val="4"/>
    <w:qFormat/>
    <w:locked/>
    <w:uiPriority w:val="0"/>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6.xml"/><Relationship Id="rId17" Type="http://schemas.openxmlformats.org/officeDocument/2006/relationships/chart" Target="charts/chart5.xml"/><Relationship Id="rId16" Type="http://schemas.openxmlformats.org/officeDocument/2006/relationships/chart" Target="charts/chart4.xml"/><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image" Target="media/image1.GIF"/><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home/user/&#26700;&#38754;/WPS&#34920;&#26684;&#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rgbClr val="000000"/>
                </a:solidFill>
                <a:latin typeface="Times New Roman" panose="02020603050405020304"/>
                <a:ea typeface="宋体" panose="02010600030101010101" charset="-122"/>
                <a:cs typeface="Arial" panose="020B0604020202020204" pitchFamily="2"/>
              </a:defRPr>
            </a:pPr>
            <a:r>
              <a:rPr lang="zh-CN"/>
              <a:t>202</a:t>
            </a:r>
            <a:r>
              <a:rPr lang="en-US" altLang="zh-CN"/>
              <a:t>1</a:t>
            </a:r>
            <a:r>
              <a:rPr lang="zh-CN"/>
              <a:t>年收入</a:t>
            </a:r>
            <a:r>
              <a:rPr lang="zh-CN" altLang="en-US"/>
              <a:t>决算构成</a:t>
            </a:r>
            <a:endParaRPr lang="zh-CN"/>
          </a:p>
        </c:rich>
      </c:tx>
      <c:layout/>
      <c:overlay val="false"/>
      <c:spPr>
        <a:ln>
          <a:noFill/>
        </a:ln>
      </c:spPr>
    </c:title>
    <c:autoTitleDeleted val="false"/>
    <c:plotArea>
      <c:layout/>
      <c:pieChart>
        <c:varyColors val="true"/>
        <c:ser>
          <c:idx val="0"/>
          <c:order val="0"/>
          <c:tx>
            <c:strRef>
              <c:f>'Sheet1 (2)'!$B$1</c:f>
              <c:strCache>
                <c:ptCount val="1"/>
                <c:pt idx="0">
                  <c:v>2020年收入合计</c:v>
                </c:pt>
              </c:strCache>
            </c:strRef>
          </c:tx>
          <c:explosion val="0"/>
          <c:dPt>
            <c:idx val="0"/>
            <c:bubble3D val="false"/>
            <c:spPr>
              <a:solidFill>
                <a:srgbClr val="4F81BD"/>
              </a:solidFill>
            </c:spPr>
          </c:dPt>
          <c:dLbls>
            <c:numFmt formatCode="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 (2)'!$A$2:$A$2</c:f>
              <c:strCache>
                <c:ptCount val="1"/>
                <c:pt idx="0">
                  <c:v>一般公共预算</c:v>
                </c:pt>
              </c:strCache>
            </c:strRef>
          </c:cat>
          <c:val>
            <c:numRef>
              <c:f>'Sheet1 (2)'!$B$2:$B$2</c:f>
              <c:numCache>
                <c:formatCode>General</c:formatCode>
                <c:ptCount val="1"/>
                <c:pt idx="0">
                  <c:v>501.25</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t"/>
      <c:layout/>
      <c:overlay val="false"/>
      <c:spPr>
        <a:noFill/>
        <a:ln>
          <a:noFill/>
        </a:ln>
      </c:spPr>
      <c:txPr>
        <a:bodyPr rot="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p>
      </c:txPr>
    </c:legend>
    <c:plotVisOnly val="true"/>
    <c:dispBlanksAs val="zero"/>
    <c:showDLblsOverMax val="false"/>
  </c:chart>
  <c:txPr>
    <a:bodyPr/>
    <a:lstStyle/>
    <a:p>
      <a:pPr>
        <a:defRPr lang="zh-CN" sz="1000" b="0" i="0" u="none" strike="noStrike" baseline="0">
          <a:solidFill>
            <a:srgbClr val="000000"/>
          </a:solidFill>
          <a:latin typeface="Times New Roman" panose="02020603050405020304"/>
          <a:ea typeface="宋体" panose="02010600030101010101" charset="-122"/>
          <a:cs typeface="Arial" panose="020B0604020202020204" pitchFamily="2"/>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200" b="0" i="0" u="none" strike="noStrike" kern="1200" baseline="0">
                <a:solidFill>
                  <a:srgbClr val="000000"/>
                </a:solidFill>
                <a:latin typeface="Times New Roman" panose="02020603050405020304"/>
                <a:ea typeface="宋体" panose="02010600030101010101" charset="-122"/>
                <a:cs typeface="Arial" panose="020B0604020202020204" pitchFamily="2"/>
              </a:defRPr>
            </a:pPr>
            <a:r>
              <a:rPr lang="en-US" altLang="zh-CN"/>
              <a:t>2021</a:t>
            </a:r>
            <a:r>
              <a:rPr lang="zh-CN" altLang="en-US"/>
              <a:t>年支出决算结构图</a:t>
            </a:r>
            <a:endParaRPr lang="zh-CN" altLang="en-US"/>
          </a:p>
        </c:rich>
      </c:tx>
      <c:layout>
        <c:manualLayout>
          <c:xMode val="edge"/>
          <c:yMode val="edge"/>
          <c:x val="0.306395440873833"/>
          <c:y val="0.0359604435121366"/>
        </c:manualLayout>
      </c:layout>
      <c:overlay val="false"/>
    </c:title>
    <c:autoTitleDeleted val="false"/>
    <c:plotArea>
      <c:layout/>
      <c:pieChart>
        <c:varyColors val="true"/>
        <c:ser>
          <c:idx val="0"/>
          <c:order val="0"/>
          <c:tx>
            <c:strRef>
              <c:f>'Sheet1 (3)'!$B$1</c:f>
              <c:strCache>
                <c:ptCount val="1"/>
                <c:pt idx="0">
                  <c:v>2020年支出合计</c:v>
                </c:pt>
              </c:strCache>
            </c:strRef>
          </c:tx>
          <c:spPr>
            <a:solidFill>
              <a:srgbClr val="4F81BD"/>
            </a:solidFill>
          </c:spPr>
          <c:explosion val="0"/>
          <c:dPt>
            <c:idx val="0"/>
            <c:bubble3D val="false"/>
            <c:spPr>
              <a:solidFill>
                <a:srgbClr val="4F81BD"/>
              </a:solidFill>
            </c:spPr>
          </c:dPt>
          <c:dPt>
            <c:idx val="1"/>
            <c:bubble3D val="false"/>
            <c:spPr>
              <a:solidFill>
                <a:srgbClr val="C0504D"/>
              </a:solidFill>
            </c:spPr>
          </c:dPt>
          <c:dLbls>
            <c:numFmt formatCode="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p>
            </c:txPr>
            <c:dLblPos val="ctr"/>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 (3)'!$A$2:$A$3</c:f>
              <c:strCache>
                <c:ptCount val="2"/>
                <c:pt idx="0">
                  <c:v>基本支出</c:v>
                </c:pt>
                <c:pt idx="1">
                  <c:v>项目支出</c:v>
                </c:pt>
              </c:strCache>
            </c:strRef>
          </c:cat>
          <c:val>
            <c:numRef>
              <c:f>'Sheet1 (3)'!$B$2:$B$3</c:f>
              <c:numCache>
                <c:formatCode>General</c:formatCode>
                <c:ptCount val="2"/>
                <c:pt idx="0">
                  <c:v>309.99</c:v>
                </c:pt>
                <c:pt idx="1">
                  <c:v>230.01</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t"/>
      <c:layout/>
      <c:overlay val="false"/>
      <c:spPr>
        <a:noFill/>
        <a:ln>
          <a:noFill/>
        </a:ln>
      </c:spPr>
      <c:txPr>
        <a:bodyPr rot="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p>
      </c:txPr>
    </c:legend>
    <c:plotVisOnly val="true"/>
    <c:dispBlanksAs val="zero"/>
    <c:showDLblsOverMax val="false"/>
  </c:chart>
  <c:txPr>
    <a:bodyPr/>
    <a:lstStyle/>
    <a:p>
      <a:pPr>
        <a:defRPr lang="zh-CN" sz="1000" b="0" i="0" u="none" strike="noStrike" baseline="0">
          <a:solidFill>
            <a:srgbClr val="000000"/>
          </a:solidFill>
          <a:latin typeface="Times New Roman" panose="02020603050405020304"/>
          <a:ea typeface="宋体" panose="02010600030101010101" charset="-122"/>
          <a:cs typeface="Arial" panose="020B0604020202020204" pitchFamily="2"/>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lgn="ctr">
              <a:defRPr lang="zh-CN" sz="1400" b="0" i="0" u="none" strike="noStrike" kern="1200" spc="0" baseline="0">
                <a:solidFill>
                  <a:schemeClr val="tx1">
                    <a:lumMod val="65000"/>
                    <a:lumOff val="35000"/>
                  </a:schemeClr>
                </a:solidFill>
                <a:latin typeface="+mn-lt"/>
                <a:ea typeface="+mn-ea"/>
                <a:cs typeface="+mn-cs"/>
              </a:defRPr>
            </a:pPr>
            <a:r>
              <a:rPr lang="en-US" altLang="zh-CN" sz="1200" b="1">
                <a:latin typeface="+mn-ea"/>
                <a:ea typeface="+mn-ea"/>
              </a:rPr>
              <a:t>2021</a:t>
            </a:r>
            <a:r>
              <a:rPr lang="zh-CN" altLang="en-US" sz="1200" b="1">
                <a:latin typeface="+mn-ea"/>
                <a:ea typeface="+mn-ea"/>
              </a:rPr>
              <a:t>年财政拨款收、支决算总计变动情况表</a:t>
            </a:r>
            <a:endParaRPr lang="en-US" altLang="zh-CN" sz="1200" b="1">
              <a:latin typeface="+mn-ea"/>
              <a:ea typeface="+mn-ea"/>
            </a:endParaRPr>
          </a:p>
          <a:p>
            <a:pPr algn="ctr">
              <a:defRPr lang="zh-CN" sz="1400" b="0" i="0" u="none" strike="noStrike" kern="1200" spc="0" baseline="0">
                <a:solidFill>
                  <a:schemeClr val="tx1">
                    <a:lumMod val="65000"/>
                    <a:lumOff val="35000"/>
                  </a:schemeClr>
                </a:solidFill>
                <a:latin typeface="+mn-lt"/>
                <a:ea typeface="+mn-ea"/>
                <a:cs typeface="+mn-cs"/>
              </a:defRPr>
            </a:pPr>
            <a:r>
              <a:rPr lang="zh-CN" altLang="en-US" sz="1200" b="1">
                <a:latin typeface="+mn-ea"/>
                <a:ea typeface="+mn-ea"/>
              </a:rPr>
              <a:t>（单位：万元）</a:t>
            </a:r>
            <a:endParaRPr lang="zh-CN" altLang="en-US" sz="1200" b="1">
              <a:latin typeface="+mn-ea"/>
              <a:ea typeface="+mn-ea"/>
            </a:endParaRPr>
          </a:p>
        </c:rich>
      </c:tx>
      <c:layout>
        <c:manualLayout>
          <c:xMode val="edge"/>
          <c:yMode val="edge"/>
          <c:x val="0.163934426229508"/>
          <c:y val="0.0284899694555724"/>
        </c:manualLayout>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2020年财政拨款收、支</c:v>
                </c:pt>
              </c:strCache>
            </c:strRef>
          </c:tx>
          <c:spPr>
            <a:solidFill>
              <a:schemeClr val="accent1"/>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Sheet1!$B$2</c:f>
              <c:numCache>
                <c:formatCode>General</c:formatCode>
                <c:ptCount val="1"/>
                <c:pt idx="0">
                  <c:v>1033.25</c:v>
                </c:pt>
              </c:numCache>
            </c:numRef>
          </c:val>
        </c:ser>
        <c:ser>
          <c:idx val="1"/>
          <c:order val="1"/>
          <c:tx>
            <c:strRef>
              <c:f>Sheet1!$C$1</c:f>
              <c:strCache>
                <c:ptCount val="1"/>
                <c:pt idx="0">
                  <c:v>2021年财政拨款收、支</c:v>
                </c:pt>
              </c:strCache>
            </c:strRef>
          </c:tx>
          <c:spPr>
            <a:solidFill>
              <a:schemeClr val="accent2"/>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Sheet1!$C$2</c:f>
              <c:numCache>
                <c:formatCode>General</c:formatCode>
                <c:ptCount val="1"/>
                <c:pt idx="0">
                  <c:v>1041.25</c:v>
                </c:pt>
              </c:numCache>
            </c:numRef>
          </c:val>
        </c:ser>
        <c:dLbls>
          <c:showLegendKey val="false"/>
          <c:showVal val="false"/>
          <c:showCatName val="false"/>
          <c:showSerName val="false"/>
          <c:showPercent val="false"/>
          <c:showBubbleSize val="false"/>
        </c:dLbls>
        <c:gapWidth val="219"/>
        <c:overlap val="-27"/>
        <c:axId val="940415279"/>
        <c:axId val="940408207"/>
      </c:barChart>
      <c:catAx>
        <c:axId val="940415279"/>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40408207"/>
        <c:crosses val="autoZero"/>
        <c:auto val="true"/>
        <c:lblAlgn val="ctr"/>
        <c:lblOffset val="100"/>
        <c:noMultiLvlLbl val="false"/>
      </c:catAx>
      <c:valAx>
        <c:axId val="940408207"/>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40415279"/>
        <c:crosses val="autoZero"/>
        <c:crossBetween val="between"/>
      </c:valAx>
      <c:spPr>
        <a:noFill/>
        <a:ln>
          <a:noFill/>
        </a:ln>
        <a:effectLst/>
      </c:spPr>
    </c:plotArea>
    <c:legend>
      <c:legendPos val="b"/>
      <c:layout>
        <c:manualLayout>
          <c:xMode val="edge"/>
          <c:yMode val="edge"/>
          <c:x val="0.193831420602885"/>
          <c:y val="0.930340069720387"/>
          <c:w val="0.578626588122427"/>
          <c:h val="0.0696599302796129"/>
        </c:manualLayout>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lgn="ctr">
              <a:defRPr lang="zh-CN" sz="1200" b="0" i="0" u="none" strike="noStrike" kern="1200" baseline="0">
                <a:solidFill>
                  <a:srgbClr val="000000"/>
                </a:solidFill>
                <a:latin typeface="Times New Roman" panose="02020603050405020304"/>
                <a:ea typeface="宋体" panose="02010600030101010101" charset="-122"/>
                <a:cs typeface="Arial" panose="020B0604020202020204" pitchFamily="2"/>
              </a:defRPr>
            </a:pPr>
            <a:endParaRPr lang="en-US" altLang="zh-CN" sz="1050"/>
          </a:p>
          <a:p>
            <a:pPr algn="ctr">
              <a:defRPr lang="zh-CN" sz="1200" b="0" i="0" u="none" strike="noStrike" kern="1200" baseline="0">
                <a:solidFill>
                  <a:srgbClr val="000000"/>
                </a:solidFill>
                <a:latin typeface="Times New Roman" panose="02020603050405020304"/>
                <a:ea typeface="宋体" panose="02010600030101010101" charset="-122"/>
                <a:cs typeface="Arial" panose="020B0604020202020204" pitchFamily="2"/>
              </a:defRPr>
            </a:pPr>
            <a:r>
              <a:rPr lang="zh-CN" sz="1050"/>
              <a:t>一般公共预算财政拨款支出决算变动情况</a:t>
            </a:r>
            <a:endParaRPr lang="en-US" altLang="zh-CN" sz="1050"/>
          </a:p>
          <a:p>
            <a:pPr algn="ctr">
              <a:defRPr lang="zh-CN" sz="1200" b="0" i="0" u="none" strike="noStrike" kern="1200" baseline="0">
                <a:solidFill>
                  <a:srgbClr val="000000"/>
                </a:solidFill>
                <a:latin typeface="Times New Roman" panose="02020603050405020304"/>
                <a:ea typeface="宋体" panose="02010600030101010101" charset="-122"/>
                <a:cs typeface="Arial" panose="020B0604020202020204" pitchFamily="2"/>
              </a:defRPr>
            </a:pPr>
            <a:r>
              <a:rPr lang="zh-CN" sz="1050"/>
              <a:t>（单位：万元）</a:t>
            </a:r>
            <a:endParaRPr lang="zh-CN" sz="1050"/>
          </a:p>
        </c:rich>
      </c:tx>
      <c:layout>
        <c:manualLayout>
          <c:xMode val="edge"/>
          <c:yMode val="edge"/>
          <c:x val="0.301868595539482"/>
          <c:y val="0"/>
        </c:manualLayout>
      </c:layout>
      <c:overlay val="true"/>
    </c:title>
    <c:autoTitleDeleted val="false"/>
    <c:plotArea>
      <c:layout>
        <c:manualLayout>
          <c:layoutTarget val="inner"/>
          <c:xMode val="edge"/>
          <c:yMode val="edge"/>
          <c:x val="0.139770946353225"/>
          <c:y val="0.223529411764706"/>
          <c:w val="0.76145272980118"/>
          <c:h val="0.66678431372549"/>
        </c:manualLayout>
      </c:layout>
      <c:barChart>
        <c:barDir val="col"/>
        <c:grouping val="clustered"/>
        <c:varyColors val="false"/>
        <c:ser>
          <c:idx val="0"/>
          <c:order val="0"/>
          <c:tx>
            <c:strRef>
              <c:f>'Sheet1 (5)'!$B$1</c:f>
              <c:strCache>
                <c:ptCount val="1"/>
                <c:pt idx="0">
                  <c:v>2020年</c:v>
                </c:pt>
              </c:strCache>
            </c:strRef>
          </c:tx>
          <c:spPr>
            <a:solidFill>
              <a:srgbClr val="4F81BD"/>
            </a:solidFill>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 (5)'!$A$2:$A$3</c:f>
              <c:strCache>
                <c:ptCount val="2"/>
                <c:pt idx="0">
                  <c:v>2020年</c:v>
                </c:pt>
                <c:pt idx="1">
                  <c:v>2021年</c:v>
                </c:pt>
              </c:strCache>
            </c:strRef>
          </c:cat>
          <c:val>
            <c:numRef>
              <c:f>'Sheet1 (5)'!$B$2:$B$3</c:f>
              <c:numCache>
                <c:formatCode>General</c:formatCode>
                <c:ptCount val="2"/>
                <c:pt idx="0">
                  <c:v>472.15</c:v>
                </c:pt>
              </c:numCache>
            </c:numRef>
          </c:val>
        </c:ser>
        <c:ser>
          <c:idx val="1"/>
          <c:order val="1"/>
          <c:tx>
            <c:strRef>
              <c:f>'Sheet1 (5)'!$C$1</c:f>
              <c:strCache>
                <c:ptCount val="1"/>
                <c:pt idx="0">
                  <c:v>2021年</c:v>
                </c:pt>
              </c:strCache>
            </c:strRef>
          </c:tx>
          <c:spPr>
            <a:solidFill>
              <a:srgbClr val="C0504D"/>
            </a:solidFill>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 (5)'!$A$2:$A$3</c:f>
              <c:strCache>
                <c:ptCount val="2"/>
                <c:pt idx="0">
                  <c:v>2020年</c:v>
                </c:pt>
                <c:pt idx="1">
                  <c:v>2021年</c:v>
                </c:pt>
              </c:strCache>
            </c:strRef>
          </c:cat>
          <c:val>
            <c:numRef>
              <c:f>'Sheet1 (5)'!$C$2:$C$3</c:f>
              <c:numCache>
                <c:formatCode>General</c:formatCode>
                <c:ptCount val="2"/>
                <c:pt idx="1">
                  <c:v>530.66</c:v>
                </c:pt>
              </c:numCache>
            </c:numRef>
          </c:val>
        </c:ser>
        <c:dLbls>
          <c:showLegendKey val="false"/>
          <c:showVal val="true"/>
          <c:showCatName val="false"/>
          <c:showSerName val="false"/>
          <c:showPercent val="false"/>
          <c:showBubbleSize val="false"/>
        </c:dLbls>
        <c:gapWidth val="150"/>
        <c:axId val="271406592"/>
        <c:axId val="271433728"/>
      </c:barChart>
      <c:catAx>
        <c:axId val="271406592"/>
        <c:scaling>
          <c:orientation val="minMax"/>
        </c:scaling>
        <c:delete val="false"/>
        <c:axPos val="b"/>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p>
        </c:txPr>
        <c:crossAx val="271433728"/>
        <c:crosses val="autoZero"/>
        <c:auto val="true"/>
        <c:lblAlgn val="ctr"/>
        <c:lblOffset val="100"/>
        <c:noMultiLvlLbl val="false"/>
      </c:catAx>
      <c:valAx>
        <c:axId val="271433728"/>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p>
        </c:txPr>
        <c:crossAx val="271406592"/>
        <c:crossesAt val="1"/>
        <c:crossBetween val="between"/>
      </c:valAx>
      <c:spPr>
        <a:solidFill>
          <a:srgbClr val="FFFFFF"/>
        </a:solidFill>
      </c:spPr>
    </c:plotArea>
    <c:legend>
      <c:legendPos val="r"/>
      <c:layout/>
      <c:overlay val="false"/>
      <c:spPr>
        <a:noFill/>
        <a:ln>
          <a:noFill/>
        </a:ln>
      </c:spPr>
      <c:txPr>
        <a:bodyPr rot="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p>
      </c:txPr>
    </c:legend>
    <c:plotVisOnly val="true"/>
    <c:dispBlanksAs val="gap"/>
    <c:showDLblsOverMax val="false"/>
  </c:chart>
  <c:txPr>
    <a:bodyPr/>
    <a:lstStyle/>
    <a:p>
      <a:pPr>
        <a:defRPr lang="zh-CN" sz="1000" b="0" i="0" u="none" strike="noStrike" baseline="0">
          <a:solidFill>
            <a:srgbClr val="000000"/>
          </a:solidFill>
          <a:latin typeface="Times New Roman" panose="02020603050405020304"/>
          <a:ea typeface="宋体" panose="02010600030101010101" charset="-122"/>
          <a:cs typeface="Arial" panose="020B0604020202020204" pitchFamily="2"/>
        </a:defRPr>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200" b="0" i="0" u="none" strike="noStrike" kern="1200" baseline="0">
              <a:solidFill>
                <a:srgbClr val="000000"/>
              </a:solidFill>
              <a:latin typeface="Times New Roman" panose="02020603050405020304"/>
              <a:ea typeface="宋体" panose="02010600030101010101" charset="-122"/>
              <a:cs typeface="Arial" panose="020B0604020202020204" pitchFamily="2"/>
            </a:defRPr>
          </a:pPr>
        </a:p>
      </c:txPr>
    </c:title>
    <c:autoTitleDeleted val="false"/>
    <c:plotArea>
      <c:layout/>
      <c:pieChart>
        <c:varyColors val="true"/>
        <c:ser>
          <c:idx val="0"/>
          <c:order val="0"/>
          <c:tx>
            <c:strRef>
              <c:f>'Sheet1 (6)'!$B$1</c:f>
              <c:strCache>
                <c:ptCount val="1"/>
                <c:pt idx="0">
                  <c:v>一般公共预算财政拨款支出</c:v>
                </c:pt>
              </c:strCache>
            </c:strRef>
          </c:tx>
          <c:spPr>
            <a:solidFill>
              <a:srgbClr val="4F81BD"/>
            </a:solidFill>
          </c:spPr>
          <c:explosion val="0"/>
          <c:dPt>
            <c:idx val="0"/>
            <c:bubble3D val="false"/>
            <c:spPr>
              <a:solidFill>
                <a:srgbClr val="4F81BD"/>
              </a:solidFill>
            </c:spPr>
          </c:dPt>
          <c:dPt>
            <c:idx val="1"/>
            <c:bubble3D val="false"/>
            <c:spPr>
              <a:solidFill>
                <a:srgbClr val="C0504D"/>
              </a:solidFill>
            </c:spPr>
          </c:dPt>
          <c:dPt>
            <c:idx val="2"/>
            <c:bubble3D val="false"/>
            <c:spPr>
              <a:solidFill>
                <a:srgbClr val="9BBB59"/>
              </a:solidFill>
            </c:spPr>
          </c:dPt>
          <c:dLbls>
            <c:dLbl>
              <c:idx val="2"/>
              <c:delete val="true"/>
            </c:dLbl>
            <c:numFmt formatCode="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 (6)'!$A$2:$A$4</c:f>
              <c:strCache>
                <c:ptCount val="2"/>
                <c:pt idx="0">
                  <c:v>社会保障和就业</c:v>
                </c:pt>
                <c:pt idx="1">
                  <c:v>住房保障支出</c:v>
                </c:pt>
              </c:strCache>
            </c:strRef>
          </c:cat>
          <c:val>
            <c:numRef>
              <c:f>'Sheet1 (6)'!$B$2:$B$4</c:f>
              <c:numCache>
                <c:formatCode>General</c:formatCode>
                <c:ptCount val="3"/>
                <c:pt idx="0">
                  <c:v>510.82</c:v>
                </c:pt>
                <c:pt idx="1">
                  <c:v>19.84</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t"/>
      <c:legendEntry>
        <c:idx val="2"/>
        <c:delete val="true"/>
      </c:legendEntry>
      <c:layout/>
      <c:overlay val="false"/>
      <c:spPr>
        <a:noFill/>
        <a:ln>
          <a:noFill/>
        </a:ln>
      </c:spPr>
      <c:txPr>
        <a:bodyPr rot="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p>
      </c:txPr>
    </c:legend>
    <c:plotVisOnly val="true"/>
    <c:dispBlanksAs val="zero"/>
    <c:showDLblsOverMax val="false"/>
  </c:chart>
  <c:txPr>
    <a:bodyPr/>
    <a:lstStyle/>
    <a:p>
      <a:pPr>
        <a:defRPr lang="zh-CN" sz="1000" b="0" i="0" u="none" strike="noStrike" baseline="0">
          <a:solidFill>
            <a:srgbClr val="000000"/>
          </a:solidFill>
          <a:latin typeface="Times New Roman" panose="02020603050405020304"/>
          <a:ea typeface="宋体" panose="02010600030101010101" charset="-122"/>
          <a:cs typeface="Arial" panose="020B0604020202020204" pitchFamily="2"/>
        </a:defRPr>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年“三公”经费财政拨款决算支出</a:t>
            </a:r>
            <a:endParaRPr altLang="en-US"/>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[WPS表格工作表.xlsx]Sheet1!$A$1:$A$2</c:f>
              <c:strCache>
                <c:ptCount val="2"/>
                <c:pt idx="0">
                  <c:v>公务车运行维护费</c:v>
                </c:pt>
                <c:pt idx="1">
                  <c:v>公务接待费</c:v>
                </c:pt>
              </c:strCache>
            </c:strRef>
          </c:cat>
          <c:val>
            <c:numRef>
              <c:f>[WPS表格工作表.xlsx]Sheet1!$B$1:$B$2</c:f>
              <c:numCache>
                <c:formatCode>0%</c:formatCode>
                <c:ptCount val="2"/>
                <c:pt idx="0">
                  <c:v>0.78</c:v>
                </c:pt>
                <c:pt idx="1">
                  <c:v>0.22</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7" textRotate="1"/>
    <customShpInfo spid="_x0000_s3075" textRotate="1"/>
    <customShpInfo spid="_x0000_s3076" textRotate="1"/>
    <customShpInfo spid="_x0000_s3078" textRotate="1"/>
    <customShpInfo spid="_x0000_s3079" textRotate="1"/>
    <customShpInfo spid="_x0000_s308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25</Pages>
  <Words>9366</Words>
  <Characters>10046</Characters>
  <Lines>87</Lines>
  <Paragraphs>24</Paragraphs>
  <TotalTime>0</TotalTime>
  <ScaleCrop>false</ScaleCrop>
  <LinksUpToDate>false</LinksUpToDate>
  <CharactersWithSpaces>10099</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2022-08-30T17:50:00Z</dcterms:created>
  <dc:creator>test</dc:creator>
  <cp:lastModifiedBy>user</cp:lastModifiedBy>
  <cp:lastPrinted>2021-10-12T19:38:00Z</cp:lastPrinted>
  <dcterms:modified xsi:type="dcterms:W3CDTF">2024-12-19T09:29:03Z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861496CF32C9443383A6E15D9723C5C9</vt:lpwstr>
  </property>
</Properties>
</file>