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方正小标宋简体"/>
          <w:szCs w:val="21"/>
        </w:rPr>
      </w:pPr>
      <w:bookmarkStart w:id="0" w:name="_Toc15306267"/>
    </w:p>
    <w:p>
      <w:pPr>
        <w:spacing w:line="600" w:lineRule="exact"/>
        <w:jc w:val="center"/>
        <w:rPr>
          <w:rFonts w:eastAsia="方正小标宋简体"/>
          <w:sz w:val="72"/>
          <w:szCs w:val="72"/>
        </w:rPr>
      </w:pPr>
    </w:p>
    <w:p>
      <w:pPr>
        <w:spacing w:line="600" w:lineRule="exact"/>
        <w:jc w:val="center"/>
        <w:rPr>
          <w:rFonts w:eastAsia="方正小标宋简体"/>
          <w:sz w:val="72"/>
          <w:szCs w:val="72"/>
        </w:rPr>
      </w:pPr>
    </w:p>
    <w:p>
      <w:pPr>
        <w:adjustRightInd w:val="0"/>
        <w:snapToGrid w:val="0"/>
        <w:spacing w:line="360" w:lineRule="auto"/>
        <w:jc w:val="center"/>
        <w:outlineLvl w:val="0"/>
        <w:rPr>
          <w:rFonts w:eastAsia="方正小标宋简体"/>
          <w:sz w:val="72"/>
          <w:szCs w:val="72"/>
        </w:rPr>
      </w:pPr>
      <w:bookmarkStart w:id="1" w:name="_Toc15377425"/>
      <w:bookmarkStart w:id="2" w:name="_Toc25587"/>
      <w:bookmarkStart w:id="3" w:name="_Toc15378441"/>
      <w:bookmarkStart w:id="4" w:name="_Toc15396475"/>
      <w:bookmarkStart w:id="5" w:name="_Toc15377193"/>
      <w:bookmarkStart w:id="6" w:name="_Toc15396597"/>
      <w:r>
        <w:rPr>
          <w:rFonts w:eastAsia="方正小标宋简体"/>
          <w:sz w:val="72"/>
          <w:szCs w:val="72"/>
        </w:rPr>
        <w:t>2022年度</w:t>
      </w:r>
      <w:bookmarkEnd w:id="1"/>
      <w:bookmarkEnd w:id="2"/>
      <w:bookmarkEnd w:id="3"/>
      <w:bookmarkEnd w:id="4"/>
      <w:bookmarkEnd w:id="5"/>
      <w:bookmarkEnd w:id="6"/>
    </w:p>
    <w:p>
      <w:pPr>
        <w:adjustRightInd w:val="0"/>
        <w:snapToGrid w:val="0"/>
        <w:spacing w:line="360" w:lineRule="auto"/>
        <w:jc w:val="center"/>
        <w:outlineLvl w:val="0"/>
        <w:rPr>
          <w:rFonts w:eastAsia="方正小标宋简体"/>
          <w:sz w:val="72"/>
          <w:szCs w:val="72"/>
        </w:rPr>
      </w:pPr>
      <w:bookmarkStart w:id="7" w:name="_Toc15377426"/>
      <w:bookmarkStart w:id="8" w:name="_Toc8466"/>
      <w:bookmarkStart w:id="9" w:name="_Toc15396598"/>
      <w:bookmarkStart w:id="10" w:name="_Toc15377194"/>
      <w:bookmarkStart w:id="11" w:name="_Toc15378442"/>
      <w:bookmarkStart w:id="12" w:name="_Toc15396476"/>
      <w:r>
        <w:rPr>
          <w:rFonts w:eastAsia="方正小标宋简体"/>
          <w:sz w:val="72"/>
          <w:szCs w:val="72"/>
        </w:rPr>
        <w:t>攀枝花市</w:t>
      </w:r>
      <w:bookmarkEnd w:id="0"/>
      <w:bookmarkStart w:id="13" w:name="_Toc15306268"/>
      <w:r>
        <w:rPr>
          <w:rFonts w:eastAsia="方正小标宋简体"/>
          <w:sz w:val="72"/>
          <w:szCs w:val="72"/>
        </w:rPr>
        <w:t>救助站单位决算</w:t>
      </w:r>
      <w:bookmarkEnd w:id="7"/>
      <w:bookmarkEnd w:id="8"/>
      <w:bookmarkEnd w:id="9"/>
      <w:bookmarkEnd w:id="10"/>
      <w:bookmarkEnd w:id="11"/>
      <w:bookmarkEnd w:id="12"/>
      <w:bookmarkEnd w:id="13"/>
    </w:p>
    <w:p>
      <w:pPr>
        <w:widowControl/>
        <w:jc w:val="center"/>
        <w:rPr>
          <w:rFonts w:eastAsia="黑体"/>
          <w:sz w:val="48"/>
          <w:szCs w:val="48"/>
        </w:rPr>
      </w:pPr>
      <w:r>
        <w:rPr>
          <w:rFonts w:eastAsia="方正小标宋简体"/>
          <w:sz w:val="36"/>
          <w:szCs w:val="36"/>
        </w:rPr>
        <w:br w:type="page"/>
      </w:r>
      <w:r>
        <w:rPr>
          <w:rFonts w:eastAsia="黑体"/>
          <w:sz w:val="48"/>
          <w:szCs w:val="48"/>
        </w:rPr>
        <w:t>目录</w:t>
      </w:r>
    </w:p>
    <w:p>
      <w:pPr>
        <w:widowControl/>
        <w:jc w:val="center"/>
        <w:rPr>
          <w:rFonts w:eastAsia="黑体"/>
          <w:sz w:val="28"/>
          <w:szCs w:val="28"/>
        </w:rPr>
      </w:pPr>
    </w:p>
    <w:p>
      <w:pPr>
        <w:pStyle w:val="10"/>
        <w:rPr>
          <w:rFonts w:ascii="Times New Roman" w:hAnsi="Times New Roman" w:eastAsia="方正仿宋简体"/>
        </w:rPr>
      </w:pPr>
      <w:r>
        <w:rPr>
          <w:rFonts w:ascii="Times New Roman" w:hAnsi="Times New Roman" w:eastAsia="方正仿宋简体"/>
        </w:rPr>
        <w:t>公开时间：2023年9月1</w:t>
      </w:r>
      <w:r>
        <w:rPr>
          <w:rFonts w:hint="eastAsia" w:ascii="Times New Roman" w:hAnsi="Times New Roman" w:eastAsia="方正仿宋简体"/>
          <w:lang w:val="en-US" w:eastAsia="zh-CN"/>
        </w:rPr>
        <w:t>8</w:t>
      </w:r>
      <w:r>
        <w:rPr>
          <w:rFonts w:ascii="Times New Roman" w:hAnsi="Times New Roman" w:eastAsia="方正仿宋简体"/>
        </w:rPr>
        <w:t>日</w:t>
      </w:r>
    </w:p>
    <w:p>
      <w:pPr>
        <w:rPr>
          <w:rFonts w:eastAsia="方正仿宋简体"/>
        </w:rPr>
      </w:pPr>
    </w:p>
    <w:sdt>
      <w:sdtPr>
        <w:id w:val="147482286"/>
        <w:docPartObj>
          <w:docPartGallery w:val="Table of Contents"/>
          <w:docPartUnique/>
        </w:docPartObj>
      </w:sdtPr>
      <w:sdtEndPr>
        <w:rPr>
          <w:sz w:val="28"/>
          <w:szCs w:val="28"/>
        </w:rPr>
      </w:sdtEndPr>
      <w:sdtContent>
        <w:p>
          <w:pPr>
            <w:jc w:val="center"/>
          </w:pPr>
          <w:bookmarkStart w:id="14" w:name="_Toc15377196"/>
          <w:bookmarkStart w:id="15" w:name="_Toc15396599"/>
        </w:p>
        <w:p>
          <w:pPr>
            <w:pStyle w:val="30"/>
            <w:tabs>
              <w:tab w:val="right" w:leader="dot" w:pos="8306"/>
            </w:tabs>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TOC \o "1-3" \h \u </w:instrText>
          </w:r>
          <w:r>
            <w:rPr>
              <w:rFonts w:ascii="Times New Roman" w:hAnsi="Times New Roman" w:cs="Times New Roman"/>
              <w:sz w:val="28"/>
              <w:szCs w:val="28"/>
            </w:rPr>
            <w:fldChar w:fldCharType="separate"/>
          </w:r>
          <w:r>
            <w:fldChar w:fldCharType="begin"/>
          </w:r>
          <w:r>
            <w:instrText xml:space="preserve"> HYPERLINK \l "_Toc29949" </w:instrText>
          </w:r>
          <w:r>
            <w:fldChar w:fldCharType="separate"/>
          </w:r>
          <w:r>
            <w:rPr>
              <w:rFonts w:ascii="Times New Roman" w:hAnsi="Times New Roman" w:eastAsia="黑体" w:cs="Times New Roman"/>
              <w:sz w:val="28"/>
              <w:szCs w:val="28"/>
            </w:rPr>
            <w:t>第一部分 单位概况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_Toc29949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"_Toc470" </w:instrText>
          </w:r>
          <w:r>
            <w:fldChar w:fldCharType="separate"/>
          </w:r>
          <w:r>
            <w:rPr>
              <w:rFonts w:ascii="Times New Roman" w:hAnsi="Times New Roman" w:eastAsia="方正仿宋简体" w:cs="Times New Roman"/>
              <w:sz w:val="28"/>
              <w:szCs w:val="28"/>
            </w:rPr>
            <w:t>一、主要职责</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_Toc470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4</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cs="Times New Roman"/>
              <w:sz w:val="28"/>
              <w:szCs w:val="28"/>
            </w:rPr>
          </w:pPr>
          <w:r>
            <w:fldChar w:fldCharType="begin"/>
          </w:r>
          <w:r>
            <w:instrText xml:space="preserve"> HYPERLINK \l "_Toc562" </w:instrText>
          </w:r>
          <w:r>
            <w:fldChar w:fldCharType="separate"/>
          </w:r>
          <w:r>
            <w:rPr>
              <w:rFonts w:ascii="Times New Roman" w:hAnsi="Times New Roman" w:eastAsia="方正仿宋简体" w:cs="Times New Roman"/>
              <w:sz w:val="28"/>
              <w:szCs w:val="28"/>
            </w:rPr>
            <w:t>二、机构设置</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_Toc562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4</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0"/>
            <w:tabs>
              <w:tab w:val="right" w:leader="dot" w:pos="8306"/>
            </w:tabs>
            <w:rPr>
              <w:rFonts w:ascii="Times New Roman" w:hAnsi="Times New Roman" w:cs="Times New Roman"/>
              <w:sz w:val="28"/>
              <w:szCs w:val="28"/>
            </w:rPr>
          </w:pPr>
          <w:r>
            <w:fldChar w:fldCharType="begin"/>
          </w:r>
          <w:r>
            <w:instrText xml:space="preserve"> HYPERLINK \l "_Toc2648" </w:instrText>
          </w:r>
          <w:r>
            <w:fldChar w:fldCharType="separate"/>
          </w:r>
          <w:r>
            <w:rPr>
              <w:rFonts w:ascii="Times New Roman" w:hAnsi="Times New Roman" w:eastAsia="黑体" w:cs="Times New Roman"/>
              <w:sz w:val="28"/>
              <w:szCs w:val="28"/>
            </w:rPr>
            <w:t>第二部分 2022年度</w:t>
          </w:r>
          <w:r>
            <w:rPr>
              <w:rFonts w:ascii="Times New Roman" w:hAnsi="Times New Roman" w:eastAsia="黑体" w:cs="Times New Roman"/>
              <w:bCs/>
              <w:sz w:val="28"/>
              <w:szCs w:val="28"/>
            </w:rPr>
            <w:t>单位决算情况说明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_Toc2648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"_Toc7267" </w:instrText>
          </w:r>
          <w:r>
            <w:fldChar w:fldCharType="separate"/>
          </w:r>
          <w:r>
            <w:rPr>
              <w:rFonts w:ascii="Times New Roman" w:hAnsi="Times New Roman" w:eastAsia="方正仿宋简体" w:cs="Times New Roman"/>
              <w:sz w:val="28"/>
              <w:szCs w:val="28"/>
            </w:rPr>
            <w:t>一、收入支出决算总体情况说明</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_Toc7267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5</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"_Toc6012" </w:instrText>
          </w:r>
          <w:r>
            <w:fldChar w:fldCharType="separate"/>
          </w:r>
          <w:r>
            <w:rPr>
              <w:rFonts w:ascii="Times New Roman" w:hAnsi="Times New Roman" w:eastAsia="方正仿宋简体" w:cs="Times New Roman"/>
              <w:sz w:val="28"/>
              <w:szCs w:val="28"/>
            </w:rPr>
            <w:t>二、收入决算情况说明</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_Toc6012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5</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"_Toc18242" </w:instrText>
          </w:r>
          <w:r>
            <w:fldChar w:fldCharType="separate"/>
          </w:r>
          <w:r>
            <w:rPr>
              <w:rFonts w:ascii="Times New Roman" w:hAnsi="Times New Roman" w:eastAsia="方正仿宋简体" w:cs="Times New Roman"/>
              <w:sz w:val="28"/>
              <w:szCs w:val="28"/>
            </w:rPr>
            <w:t>三、支出决算情况说明</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_Toc18242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6</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"_Toc26270" </w:instrText>
          </w:r>
          <w:r>
            <w:fldChar w:fldCharType="separate"/>
          </w:r>
          <w:r>
            <w:rPr>
              <w:rFonts w:ascii="Times New Roman" w:hAnsi="Times New Roman" w:eastAsia="方正仿宋简体" w:cs="Times New Roman"/>
              <w:sz w:val="28"/>
              <w:szCs w:val="28"/>
            </w:rPr>
            <w:t>四、财政拨款收入支出决算总体情况说明</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_Toc26270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"_Toc23464" </w:instrText>
          </w:r>
          <w:r>
            <w:fldChar w:fldCharType="separate"/>
          </w:r>
          <w:r>
            <w:rPr>
              <w:rFonts w:ascii="Times New Roman" w:hAnsi="Times New Roman" w:eastAsia="方正仿宋简体" w:cs="Times New Roman"/>
              <w:sz w:val="28"/>
              <w:szCs w:val="28"/>
            </w:rPr>
            <w:t>五、一般公共预算财政拨款支出决算情况说明</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_Toc23464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"_Toc12293" </w:instrText>
          </w:r>
          <w:r>
            <w:fldChar w:fldCharType="separate"/>
          </w:r>
          <w:r>
            <w:rPr>
              <w:rFonts w:ascii="Times New Roman" w:hAnsi="Times New Roman" w:eastAsia="方正仿宋简体" w:cs="Times New Roman"/>
              <w:sz w:val="28"/>
              <w:szCs w:val="28"/>
            </w:rPr>
            <w:t>六、一般公共预算财政拨款基本支出决算情况说明</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_Toc12293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9</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"_Toc17276" </w:instrText>
          </w:r>
          <w:r>
            <w:fldChar w:fldCharType="separate"/>
          </w:r>
          <w:r>
            <w:rPr>
              <w:rFonts w:ascii="Times New Roman" w:hAnsi="Times New Roman" w:eastAsia="方正仿宋简体" w:cs="Times New Roman"/>
              <w:sz w:val="28"/>
              <w:szCs w:val="28"/>
            </w:rPr>
            <w:t>七、财政拨款“三公”经费支出决算情况说明</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_Toc17276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10</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"_Toc27553" </w:instrText>
          </w:r>
          <w:r>
            <w:fldChar w:fldCharType="separate"/>
          </w:r>
          <w:r>
            <w:rPr>
              <w:rFonts w:ascii="Times New Roman" w:hAnsi="Times New Roman" w:eastAsia="方正仿宋简体" w:cs="Times New Roman"/>
              <w:sz w:val="28"/>
              <w:szCs w:val="28"/>
            </w:rPr>
            <w:t>八、政府性基金预算支出决算情况说明</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_Toc27553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12</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"_Toc8272" </w:instrText>
          </w:r>
          <w:r>
            <w:fldChar w:fldCharType="separate"/>
          </w:r>
          <w:r>
            <w:rPr>
              <w:rFonts w:ascii="Times New Roman" w:hAnsi="Times New Roman" w:eastAsia="方正仿宋简体" w:cs="Times New Roman"/>
              <w:sz w:val="28"/>
              <w:szCs w:val="28"/>
            </w:rPr>
            <w:t>九、国有资本经营预算支出决算情况说明</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_Toc8272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12</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"_Toc6234" </w:instrText>
          </w:r>
          <w:r>
            <w:fldChar w:fldCharType="separate"/>
          </w:r>
          <w:r>
            <w:rPr>
              <w:rFonts w:ascii="Times New Roman" w:hAnsi="Times New Roman" w:eastAsia="方正仿宋简体" w:cs="Times New Roman"/>
              <w:sz w:val="28"/>
              <w:szCs w:val="28"/>
            </w:rPr>
            <w:t>十、其他重要事项的情况说明</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_Toc6234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12</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0"/>
            <w:tabs>
              <w:tab w:val="right" w:leader="dot" w:pos="8306"/>
            </w:tabs>
            <w:rPr>
              <w:rFonts w:ascii="Times New Roman" w:hAnsi="Times New Roman" w:cs="Times New Roman"/>
              <w:sz w:val="28"/>
              <w:szCs w:val="28"/>
            </w:rPr>
          </w:pPr>
          <w:r>
            <w:fldChar w:fldCharType="begin"/>
          </w:r>
          <w:r>
            <w:instrText xml:space="preserve"> HYPERLINK \l "_Toc1184" </w:instrText>
          </w:r>
          <w:r>
            <w:fldChar w:fldCharType="separate"/>
          </w:r>
          <w:r>
            <w:rPr>
              <w:rFonts w:ascii="Times New Roman" w:hAnsi="Times New Roman" w:eastAsia="黑体" w:cs="Times New Roman"/>
              <w:sz w:val="28"/>
              <w:szCs w:val="28"/>
            </w:rPr>
            <w:t>第三部分 名词解释</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_Toc1184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0"/>
            <w:tabs>
              <w:tab w:val="right" w:leader="dot" w:pos="8306"/>
            </w:tabs>
            <w:rPr>
              <w:rFonts w:ascii="Times New Roman" w:hAnsi="Times New Roman" w:cs="Times New Roman"/>
              <w:sz w:val="28"/>
              <w:szCs w:val="28"/>
            </w:rPr>
          </w:pPr>
          <w:r>
            <w:fldChar w:fldCharType="begin"/>
          </w:r>
          <w:r>
            <w:instrText xml:space="preserve"> HYPERLINK \l "_Toc19264" </w:instrText>
          </w:r>
          <w:r>
            <w:fldChar w:fldCharType="separate"/>
          </w:r>
          <w:r>
            <w:rPr>
              <w:rFonts w:ascii="Times New Roman" w:hAnsi="Times New Roman" w:eastAsia="黑体" w:cs="Times New Roman"/>
              <w:sz w:val="28"/>
              <w:szCs w:val="28"/>
            </w:rPr>
            <w:t>第四部分 附件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_Toc19264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0"/>
            <w:tabs>
              <w:tab w:val="right" w:leader="dot" w:pos="8306"/>
            </w:tabs>
            <w:rPr>
              <w:rFonts w:ascii="Times New Roman" w:hAnsi="Times New Roman" w:cs="Times New Roman"/>
              <w:sz w:val="28"/>
              <w:szCs w:val="28"/>
            </w:rPr>
          </w:pPr>
          <w:r>
            <w:fldChar w:fldCharType="begin"/>
          </w:r>
          <w:r>
            <w:instrText xml:space="preserve"> HYPERLINK \l "_Toc3954" </w:instrText>
          </w:r>
          <w:r>
            <w:fldChar w:fldCharType="separate"/>
          </w:r>
          <w:r>
            <w:rPr>
              <w:rFonts w:ascii="Times New Roman" w:hAnsi="Times New Roman" w:eastAsia="黑体" w:cs="Times New Roman"/>
              <w:sz w:val="28"/>
              <w:szCs w:val="28"/>
            </w:rPr>
            <w:t>第五部分 附表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_Toc3954 \h </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"_Toc1683" </w:instrText>
          </w:r>
          <w:r>
            <w:fldChar w:fldCharType="separate"/>
          </w:r>
          <w:r>
            <w:rPr>
              <w:rFonts w:ascii="Times New Roman" w:hAnsi="Times New Roman" w:eastAsia="方正仿宋简体" w:cs="Times New Roman"/>
              <w:sz w:val="28"/>
              <w:szCs w:val="28"/>
            </w:rPr>
            <w:t>一、收入支出决算总表</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_Toc1683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"_Toc17858" </w:instrText>
          </w:r>
          <w:r>
            <w:fldChar w:fldCharType="separate"/>
          </w:r>
          <w:r>
            <w:rPr>
              <w:rFonts w:ascii="Times New Roman" w:hAnsi="Times New Roman" w:eastAsia="方正仿宋简体" w:cs="Times New Roman"/>
              <w:sz w:val="28"/>
              <w:szCs w:val="28"/>
            </w:rPr>
            <w:t>二、收入决算表</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_Toc17858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"_Toc24559" </w:instrText>
          </w:r>
          <w:r>
            <w:fldChar w:fldCharType="separate"/>
          </w:r>
          <w:r>
            <w:rPr>
              <w:rFonts w:ascii="Times New Roman" w:hAnsi="Times New Roman" w:eastAsia="方正仿宋简体" w:cs="Times New Roman"/>
              <w:sz w:val="28"/>
              <w:szCs w:val="28"/>
            </w:rPr>
            <w:t>三、支出决算表</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_Toc24559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"_Toc31215" </w:instrText>
          </w:r>
          <w:r>
            <w:fldChar w:fldCharType="separate"/>
          </w:r>
          <w:r>
            <w:rPr>
              <w:rFonts w:ascii="Times New Roman" w:hAnsi="Times New Roman" w:eastAsia="方正仿宋简体" w:cs="Times New Roman"/>
              <w:sz w:val="28"/>
              <w:szCs w:val="28"/>
            </w:rPr>
            <w:t>四、财政拨款收入支出决算总表</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_Toc31215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"_Toc25416" </w:instrText>
          </w:r>
          <w:r>
            <w:fldChar w:fldCharType="separate"/>
          </w:r>
          <w:r>
            <w:rPr>
              <w:rFonts w:ascii="Times New Roman" w:hAnsi="Times New Roman" w:eastAsia="方正仿宋简体" w:cs="Times New Roman"/>
              <w:sz w:val="28"/>
              <w:szCs w:val="28"/>
            </w:rPr>
            <w:t>五、财政拨款支出决算明细表</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_Toc25416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"_Toc28256" </w:instrText>
          </w:r>
          <w:r>
            <w:fldChar w:fldCharType="separate"/>
          </w:r>
          <w:r>
            <w:rPr>
              <w:rFonts w:ascii="Times New Roman" w:hAnsi="Times New Roman" w:eastAsia="方正仿宋简体" w:cs="Times New Roman"/>
              <w:sz w:val="28"/>
              <w:szCs w:val="28"/>
            </w:rPr>
            <w:t>六、一般公共预算财政拨款支出决算表</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_Toc28256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"_Toc28704" </w:instrText>
          </w:r>
          <w:r>
            <w:fldChar w:fldCharType="separate"/>
          </w:r>
          <w:r>
            <w:rPr>
              <w:rFonts w:ascii="Times New Roman" w:hAnsi="Times New Roman" w:eastAsia="方正仿宋简体" w:cs="Times New Roman"/>
              <w:sz w:val="28"/>
              <w:szCs w:val="28"/>
            </w:rPr>
            <w:t>七、一般公共预算财政拨款支出决算明细表</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_Toc28704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"_Toc22654" </w:instrText>
          </w:r>
          <w:r>
            <w:fldChar w:fldCharType="separate"/>
          </w:r>
          <w:r>
            <w:rPr>
              <w:rFonts w:ascii="Times New Roman" w:hAnsi="Times New Roman" w:eastAsia="方正仿宋简体" w:cs="Times New Roman"/>
              <w:sz w:val="28"/>
              <w:szCs w:val="28"/>
            </w:rPr>
            <w:t>八、一般公共预算财政拨款基本支出决算表</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_Toc22654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"_Toc4728" </w:instrText>
          </w:r>
          <w:r>
            <w:fldChar w:fldCharType="separate"/>
          </w:r>
          <w:r>
            <w:rPr>
              <w:rFonts w:ascii="Times New Roman" w:hAnsi="Times New Roman" w:eastAsia="方正仿宋简体" w:cs="Times New Roman"/>
              <w:sz w:val="28"/>
              <w:szCs w:val="28"/>
            </w:rPr>
            <w:t>九、一般公共预算财政拨款项目支出决算表</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_Toc4728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"_Toc6009" </w:instrText>
          </w:r>
          <w:r>
            <w:fldChar w:fldCharType="separate"/>
          </w:r>
          <w:r>
            <w:rPr>
              <w:rFonts w:ascii="Times New Roman" w:hAnsi="Times New Roman" w:eastAsia="方正仿宋简体" w:cs="Times New Roman"/>
              <w:sz w:val="28"/>
              <w:szCs w:val="28"/>
            </w:rPr>
            <w:t>十、政府性基金预算财政拨款收入支出决算表</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_Toc6009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"_Toc2838" </w:instrText>
          </w:r>
          <w:r>
            <w:fldChar w:fldCharType="separate"/>
          </w:r>
          <w:r>
            <w:rPr>
              <w:rFonts w:ascii="Times New Roman" w:hAnsi="Times New Roman" w:eastAsia="方正仿宋简体" w:cs="Times New Roman"/>
              <w:sz w:val="28"/>
              <w:szCs w:val="28"/>
            </w:rPr>
            <w:t>十一、国有资本经营预算财政拨款收入支出决算表</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_Toc2838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eastAsia="方正仿宋简体" w:cs="Times New Roman"/>
              <w:sz w:val="28"/>
              <w:szCs w:val="28"/>
            </w:rPr>
          </w:pPr>
          <w:r>
            <w:fldChar w:fldCharType="begin"/>
          </w:r>
          <w:r>
            <w:instrText xml:space="preserve"> HYPERLINK \l "_Toc5648" </w:instrText>
          </w:r>
          <w:r>
            <w:fldChar w:fldCharType="separate"/>
          </w:r>
          <w:r>
            <w:rPr>
              <w:rFonts w:ascii="Times New Roman" w:hAnsi="Times New Roman" w:eastAsia="方正仿宋简体" w:cs="Times New Roman"/>
              <w:sz w:val="28"/>
              <w:szCs w:val="28"/>
            </w:rPr>
            <w:t>十二、国有资本经营预算财政拨款支出决算表</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_Toc5648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pStyle w:val="31"/>
            <w:tabs>
              <w:tab w:val="right" w:leader="dot" w:pos="8306"/>
            </w:tabs>
            <w:ind w:left="420"/>
            <w:rPr>
              <w:rFonts w:ascii="Times New Roman" w:hAnsi="Times New Roman" w:cs="Times New Roman"/>
              <w:sz w:val="28"/>
              <w:szCs w:val="28"/>
            </w:rPr>
          </w:pPr>
          <w:r>
            <w:fldChar w:fldCharType="begin"/>
          </w:r>
          <w:r>
            <w:instrText xml:space="preserve"> HYPERLINK \l "_Toc15007" </w:instrText>
          </w:r>
          <w:r>
            <w:fldChar w:fldCharType="separate"/>
          </w:r>
          <w:r>
            <w:rPr>
              <w:rFonts w:ascii="Times New Roman" w:hAnsi="Times New Roman" w:eastAsia="方正仿宋简体" w:cs="Times New Roman"/>
              <w:sz w:val="28"/>
              <w:szCs w:val="28"/>
            </w:rPr>
            <w:t>十三、财政拨款“三公”经费支出决算表</w:t>
          </w:r>
          <w:r>
            <w:rPr>
              <w:rFonts w:ascii="Times New Roman" w:hAnsi="Times New Roman" w:eastAsia="方正仿宋简体" w:cs="Times New Roman"/>
              <w:sz w:val="28"/>
              <w:szCs w:val="28"/>
            </w:rPr>
            <w:tab/>
          </w:r>
          <w:r>
            <w:rPr>
              <w:rFonts w:ascii="Times New Roman" w:hAnsi="Times New Roman" w:eastAsia="方正仿宋简体" w:cs="Times New Roman"/>
              <w:sz w:val="28"/>
              <w:szCs w:val="28"/>
            </w:rPr>
            <w:fldChar w:fldCharType="begin"/>
          </w:r>
          <w:r>
            <w:rPr>
              <w:rFonts w:ascii="Times New Roman" w:hAnsi="Times New Roman" w:eastAsia="方正仿宋简体" w:cs="Times New Roman"/>
              <w:sz w:val="28"/>
              <w:szCs w:val="28"/>
            </w:rPr>
            <w:instrText xml:space="preserve"> PAGEREF _Toc15007 \h </w:instrText>
          </w:r>
          <w:r>
            <w:rPr>
              <w:rFonts w:ascii="Times New Roman" w:hAnsi="Times New Roman" w:eastAsia="方正仿宋简体" w:cs="Times New Roman"/>
              <w:sz w:val="28"/>
              <w:szCs w:val="28"/>
            </w:rPr>
            <w:fldChar w:fldCharType="separate"/>
          </w:r>
          <w:r>
            <w:rPr>
              <w:rFonts w:ascii="Times New Roman" w:hAnsi="Times New Roman" w:eastAsia="方正仿宋简体" w:cs="Times New Roman"/>
              <w:sz w:val="28"/>
              <w:szCs w:val="28"/>
            </w:rPr>
            <w:t>17</w:t>
          </w:r>
          <w:r>
            <w:rPr>
              <w:rFonts w:ascii="Times New Roman" w:hAnsi="Times New Roman" w:eastAsia="方正仿宋简体" w:cs="Times New Roman"/>
              <w:sz w:val="28"/>
              <w:szCs w:val="28"/>
            </w:rPr>
            <w:fldChar w:fldCharType="end"/>
          </w:r>
          <w:r>
            <w:rPr>
              <w:rFonts w:ascii="Times New Roman" w:hAnsi="Times New Roman" w:eastAsia="方正仿宋简体" w:cs="Times New Roman"/>
              <w:sz w:val="28"/>
              <w:szCs w:val="28"/>
            </w:rPr>
            <w:fldChar w:fldCharType="end"/>
          </w:r>
        </w:p>
        <w:p>
          <w:pPr>
            <w:rPr>
              <w:sz w:val="28"/>
              <w:szCs w:val="28"/>
            </w:rPr>
          </w:pPr>
          <w:r>
            <w:rPr>
              <w:sz w:val="28"/>
              <w:szCs w:val="28"/>
            </w:rPr>
            <w:fldChar w:fldCharType="end"/>
          </w:r>
        </w:p>
      </w:sdtContent>
    </w:sdt>
    <w:p>
      <w:pPr>
        <w:rPr>
          <w:rFonts w:eastAsia="黑体"/>
          <w:b w:val="0"/>
        </w:rPr>
      </w:pPr>
      <w:bookmarkStart w:id="16" w:name="_Toc29949"/>
      <w:r>
        <w:rPr>
          <w:rFonts w:eastAsia="黑体"/>
          <w:b w:val="0"/>
        </w:rPr>
        <w:br w:type="page"/>
      </w:r>
    </w:p>
    <w:p>
      <w:pPr>
        <w:pStyle w:val="3"/>
        <w:ind w:right="440"/>
        <w:jc w:val="center"/>
        <w:rPr>
          <w:rFonts w:eastAsia="黑体"/>
          <w:sz w:val="32"/>
          <w:szCs w:val="32"/>
        </w:rPr>
      </w:pPr>
      <w:r>
        <w:rPr>
          <w:rFonts w:eastAsia="黑体"/>
          <w:b w:val="0"/>
        </w:rPr>
        <w:t>第一部分 单位概况</w:t>
      </w:r>
      <w:bookmarkEnd w:id="14"/>
      <w:bookmarkEnd w:id="15"/>
      <w:bookmarkEnd w:id="16"/>
    </w:p>
    <w:p>
      <w:pPr>
        <w:pStyle w:val="4"/>
        <w:numPr>
          <w:ilvl w:val="0"/>
          <w:numId w:val="1"/>
        </w:numPr>
        <w:rPr>
          <w:rStyle w:val="25"/>
          <w:rFonts w:ascii="Times New Roman" w:hAnsi="Times New Roman" w:eastAsia="黑体" w:cs="Times New Roman"/>
          <w:b w:val="0"/>
          <w:bCs w:val="0"/>
        </w:rPr>
      </w:pPr>
      <w:bookmarkStart w:id="17" w:name="_Toc470"/>
      <w:bookmarkStart w:id="18" w:name="_Toc15396600"/>
      <w:bookmarkStart w:id="19" w:name="_Toc15377197"/>
      <w:r>
        <w:rPr>
          <w:rStyle w:val="25"/>
          <w:rFonts w:ascii="Times New Roman" w:hAnsi="Times New Roman" w:eastAsia="黑体" w:cs="Times New Roman"/>
          <w:b w:val="0"/>
          <w:bCs w:val="0"/>
        </w:rPr>
        <w:t>主要职责</w:t>
      </w:r>
      <w:bookmarkEnd w:id="17"/>
    </w:p>
    <w:p>
      <w:pPr>
        <w:spacing w:line="600" w:lineRule="exact"/>
        <w:ind w:firstLine="640" w:firstLineChars="200"/>
        <w:outlineLvl w:val="1"/>
        <w:rPr>
          <w:rFonts w:eastAsia="方正仿宋简体"/>
          <w:sz w:val="32"/>
          <w:szCs w:val="32"/>
        </w:rPr>
      </w:pPr>
      <w:r>
        <w:rPr>
          <w:rFonts w:eastAsia="方正仿宋简体"/>
          <w:sz w:val="32"/>
          <w:szCs w:val="32"/>
        </w:rPr>
        <w:t>攀枝花市救助站是市民政局下属全额拨款事业单位，全面贯彻落实《城市生活无着的流浪乞讨人员救助管理办法》、《国务院办公厅关于加强和改进流浪未成年人救助保护工作的意见》等政策和文件要求，为生活无着流浪乞讨人员提供临时食宿、监护照料、急病救治、接领护送、返乡、跨省中转、寻亲服务、教育矫治、未成年人保护等工作，规范实施临时救助政策，实现及时高效，救急解难，切实做好我市救助保护工作。</w:t>
      </w:r>
    </w:p>
    <w:p>
      <w:pPr>
        <w:pStyle w:val="4"/>
        <w:rPr>
          <w:rFonts w:ascii="Times New Roman" w:hAnsi="Times New Roman" w:eastAsia="黑体" w:cs="Times New Roman"/>
          <w:b w:val="0"/>
        </w:rPr>
      </w:pPr>
      <w:bookmarkStart w:id="20" w:name="_Toc562"/>
      <w:r>
        <w:rPr>
          <w:rFonts w:ascii="Times New Roman" w:hAnsi="Times New Roman" w:eastAsia="黑体" w:cs="Times New Roman"/>
          <w:b w:val="0"/>
        </w:rPr>
        <w:t>二、机构设置</w:t>
      </w:r>
      <w:bookmarkEnd w:id="20"/>
    </w:p>
    <w:bookmarkEnd w:id="18"/>
    <w:bookmarkEnd w:id="19"/>
    <w:p>
      <w:pPr>
        <w:spacing w:line="600" w:lineRule="exact"/>
        <w:ind w:firstLine="640" w:firstLineChars="200"/>
        <w:outlineLvl w:val="1"/>
        <w:rPr>
          <w:rFonts w:eastAsia="仿宋"/>
          <w:sz w:val="32"/>
          <w:szCs w:val="32"/>
        </w:rPr>
      </w:pPr>
      <w:r>
        <w:rPr>
          <w:rFonts w:eastAsia="方正仿宋简体"/>
          <w:sz w:val="32"/>
          <w:szCs w:val="32"/>
        </w:rPr>
        <w:t>我单位是公益一类的事业单位，内设股室：办公室、业务股、安全管理股</w:t>
      </w:r>
      <w:r>
        <w:rPr>
          <w:rFonts w:hint="eastAsia" w:eastAsia="方正仿宋简体"/>
          <w:sz w:val="32"/>
          <w:szCs w:val="32"/>
          <w:lang w:eastAsia="zh-CN"/>
        </w:rPr>
        <w:t>、社会工作股</w:t>
      </w:r>
      <w:r>
        <w:rPr>
          <w:rFonts w:eastAsia="方正仿宋简体"/>
          <w:sz w:val="32"/>
          <w:szCs w:val="32"/>
        </w:rPr>
        <w:t>。</w:t>
      </w:r>
    </w:p>
    <w:p>
      <w:pPr>
        <w:ind w:firstLine="640" w:firstLineChars="200"/>
        <w:rPr>
          <w:rFonts w:eastAsia="仿宋_GB2312"/>
          <w:bCs/>
          <w:color w:val="000000"/>
          <w:sz w:val="32"/>
          <w:szCs w:val="32"/>
        </w:rPr>
      </w:pPr>
    </w:p>
    <w:p>
      <w:pPr>
        <w:widowControl/>
        <w:jc w:val="left"/>
        <w:rPr>
          <w:rFonts w:eastAsia="仿宋"/>
          <w:kern w:val="0"/>
          <w:sz w:val="32"/>
          <w:szCs w:val="32"/>
        </w:rPr>
      </w:pPr>
      <w:r>
        <w:rPr>
          <w:rFonts w:eastAsia="仿宋"/>
          <w:sz w:val="32"/>
          <w:szCs w:val="32"/>
        </w:rPr>
        <w:br w:type="page"/>
      </w:r>
    </w:p>
    <w:p>
      <w:pPr>
        <w:pStyle w:val="3"/>
        <w:ind w:right="440"/>
        <w:jc w:val="center"/>
      </w:pPr>
      <w:bookmarkStart w:id="21" w:name="_Toc15396602"/>
      <w:bookmarkStart w:id="22" w:name="_Toc2648"/>
      <w:bookmarkStart w:id="23" w:name="_Toc15377204"/>
      <w:r>
        <w:rPr>
          <w:rFonts w:eastAsia="黑体"/>
          <w:b w:val="0"/>
        </w:rPr>
        <w:t>第二部分 2022年度</w:t>
      </w:r>
      <w:r>
        <w:rPr>
          <w:rStyle w:val="24"/>
          <w:rFonts w:eastAsia="黑体"/>
          <w:b w:val="0"/>
          <w:bCs/>
        </w:rPr>
        <w:t>单位决算情况说明</w:t>
      </w:r>
      <w:bookmarkEnd w:id="21"/>
      <w:bookmarkEnd w:id="22"/>
      <w:bookmarkEnd w:id="23"/>
    </w:p>
    <w:p>
      <w:pPr>
        <w:pStyle w:val="23"/>
        <w:numPr>
          <w:ilvl w:val="0"/>
          <w:numId w:val="2"/>
        </w:numPr>
        <w:spacing w:line="600" w:lineRule="exact"/>
        <w:ind w:firstLineChars="0"/>
        <w:outlineLvl w:val="1"/>
        <w:rPr>
          <w:rStyle w:val="25"/>
          <w:rFonts w:ascii="Times New Roman" w:hAnsi="Times New Roman" w:eastAsia="黑体" w:cs="Times New Roman"/>
          <w:b w:val="0"/>
        </w:rPr>
      </w:pPr>
      <w:bookmarkStart w:id="24" w:name="_Toc15377205"/>
      <w:bookmarkStart w:id="25" w:name="_Toc7267"/>
      <w:bookmarkStart w:id="26" w:name="_Toc15396603"/>
      <w:r>
        <w:rPr>
          <w:rFonts w:eastAsia="黑体"/>
          <w:sz w:val="32"/>
          <w:szCs w:val="32"/>
        </w:rPr>
        <w:t>收</w:t>
      </w:r>
      <w:r>
        <w:rPr>
          <w:rStyle w:val="25"/>
          <w:rFonts w:ascii="Times New Roman" w:hAnsi="Times New Roman" w:eastAsia="黑体" w:cs="Times New Roman"/>
          <w:b w:val="0"/>
        </w:rPr>
        <w:t>入支出决算总体情况说明</w:t>
      </w:r>
      <w:bookmarkEnd w:id="24"/>
      <w:bookmarkEnd w:id="25"/>
      <w:bookmarkEnd w:id="26"/>
    </w:p>
    <w:p>
      <w:pPr>
        <w:spacing w:line="600" w:lineRule="exact"/>
        <w:ind w:firstLine="640" w:firstLineChars="200"/>
        <w:outlineLvl w:val="1"/>
        <w:rPr>
          <w:rFonts w:eastAsia="方正仿宋简体"/>
          <w:sz w:val="32"/>
          <w:szCs w:val="32"/>
          <w:lang w:val="zh-CN"/>
        </w:rPr>
      </w:pPr>
      <w:bookmarkStart w:id="27" w:name="_Toc21564"/>
      <w:r>
        <w:rPr>
          <w:rFonts w:eastAsia="方正仿宋简体"/>
          <w:sz w:val="32"/>
          <w:szCs w:val="32"/>
        </w:rPr>
        <w:t>2022年度收、支总计1252.30万元</w:t>
      </w:r>
      <w:r>
        <w:rPr>
          <w:rFonts w:eastAsia="方正仿宋简体"/>
          <w:sz w:val="32"/>
          <w:szCs w:val="32"/>
          <w:lang w:val="zh-CN"/>
        </w:rPr>
        <w:t>。与202</w:t>
      </w:r>
      <w:r>
        <w:rPr>
          <w:rFonts w:eastAsia="方正仿宋简体"/>
          <w:sz w:val="32"/>
          <w:szCs w:val="32"/>
        </w:rPr>
        <w:t>1</w:t>
      </w:r>
      <w:r>
        <w:rPr>
          <w:rFonts w:eastAsia="方正仿宋简体"/>
          <w:sz w:val="32"/>
          <w:szCs w:val="32"/>
          <w:lang w:val="zh-CN"/>
        </w:rPr>
        <w:t>年相比，收入增加了</w:t>
      </w:r>
      <w:r>
        <w:rPr>
          <w:rFonts w:eastAsia="方正仿宋简体"/>
          <w:sz w:val="32"/>
          <w:szCs w:val="32"/>
        </w:rPr>
        <w:t>120.50</w:t>
      </w:r>
      <w:r>
        <w:rPr>
          <w:rFonts w:eastAsia="方正仿宋简体"/>
          <w:sz w:val="32"/>
          <w:szCs w:val="32"/>
          <w:lang w:val="zh-CN"/>
        </w:rPr>
        <w:t>万元，增长</w:t>
      </w:r>
      <w:r>
        <w:rPr>
          <w:rFonts w:eastAsia="方正仿宋简体"/>
          <w:sz w:val="32"/>
          <w:szCs w:val="32"/>
        </w:rPr>
        <w:t>24.04</w:t>
      </w:r>
      <w:r>
        <w:rPr>
          <w:rFonts w:eastAsia="方正仿宋简体"/>
          <w:sz w:val="32"/>
          <w:szCs w:val="32"/>
          <w:lang w:val="zh-CN"/>
        </w:rPr>
        <w:t>%；支出增加</w:t>
      </w:r>
      <w:r>
        <w:rPr>
          <w:rFonts w:eastAsia="方正仿宋简体"/>
          <w:sz w:val="32"/>
          <w:szCs w:val="32"/>
        </w:rPr>
        <w:t>90.55</w:t>
      </w:r>
      <w:r>
        <w:rPr>
          <w:rFonts w:eastAsia="方正仿宋简体"/>
          <w:sz w:val="32"/>
          <w:szCs w:val="32"/>
          <w:lang w:val="zh-CN"/>
        </w:rPr>
        <w:t>万元，增长1</w:t>
      </w:r>
      <w:r>
        <w:rPr>
          <w:rFonts w:eastAsia="方正仿宋简体"/>
          <w:sz w:val="32"/>
          <w:szCs w:val="32"/>
        </w:rPr>
        <w:t>6.77</w:t>
      </w:r>
      <w:r>
        <w:rPr>
          <w:rFonts w:eastAsia="方正仿宋简体"/>
          <w:sz w:val="32"/>
          <w:szCs w:val="32"/>
          <w:lang w:val="zh-CN"/>
        </w:rPr>
        <w:t>%。主要变动原因是202</w:t>
      </w:r>
      <w:r>
        <w:rPr>
          <w:rFonts w:eastAsia="方正仿宋简体"/>
          <w:sz w:val="32"/>
          <w:szCs w:val="32"/>
        </w:rPr>
        <w:t>2</w:t>
      </w:r>
      <w:r>
        <w:rPr>
          <w:rFonts w:eastAsia="方正仿宋简体"/>
          <w:sz w:val="32"/>
          <w:szCs w:val="32"/>
          <w:lang w:val="zh-CN"/>
        </w:rPr>
        <w:t>年项目经费增加。</w:t>
      </w:r>
      <w:bookmarkEnd w:id="27"/>
    </w:p>
    <w:p>
      <w:pPr>
        <w:pStyle w:val="4"/>
        <w:rPr>
          <w:rFonts w:ascii="Times New Roman" w:hAnsi="Times New Roman" w:cs="Times New Roman"/>
        </w:rPr>
      </w:pPr>
      <w:r>
        <w:rPr>
          <w:rFonts w:ascii="Times New Roman" w:hAnsi="Times New Roman" w:cs="Times New Roman"/>
        </w:rPr>
        <w:drawing>
          <wp:anchor distT="0" distB="0" distL="0" distR="0" simplePos="0" relativeHeight="251660288" behindDoc="0" locked="0" layoutInCell="1" allowOverlap="1">
            <wp:simplePos x="0" y="0"/>
            <wp:positionH relativeFrom="column">
              <wp:posOffset>-37465</wp:posOffset>
            </wp:positionH>
            <wp:positionV relativeFrom="paragraph">
              <wp:posOffset>241935</wp:posOffset>
            </wp:positionV>
            <wp:extent cx="5400675" cy="2901950"/>
            <wp:effectExtent l="4445" t="4445" r="5080" b="825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
      <w:pPr>
        <w:pStyle w:val="4"/>
        <w:rPr>
          <w:rFonts w:ascii="Times New Roman" w:hAnsi="Times New Roman" w:cs="Times New Roman"/>
        </w:rPr>
      </w:pPr>
    </w:p>
    <w:p/>
    <w:p>
      <w:pPr>
        <w:pStyle w:val="4"/>
        <w:rPr>
          <w:rFonts w:ascii="Times New Roman" w:hAnsi="Times New Roman" w:cs="Times New Roman"/>
        </w:rPr>
      </w:pPr>
    </w:p>
    <w:p/>
    <w:p>
      <w:pPr>
        <w:pStyle w:val="2"/>
        <w:spacing w:before="93"/>
        <w:rPr>
          <w:rFonts w:ascii="Times New Roman"/>
        </w:rPr>
      </w:pPr>
    </w:p>
    <w:p>
      <w:pPr>
        <w:spacing w:line="600" w:lineRule="exact"/>
        <w:ind w:firstLine="640" w:firstLineChars="200"/>
        <w:jc w:val="center"/>
        <w:rPr>
          <w:rFonts w:eastAsia="方正仿宋简体"/>
          <w:sz w:val="32"/>
          <w:szCs w:val="32"/>
        </w:rPr>
      </w:pPr>
      <w:r>
        <w:rPr>
          <w:rFonts w:eastAsia="方正仿宋简体"/>
          <w:sz w:val="32"/>
          <w:szCs w:val="32"/>
        </w:rPr>
        <w:t>（图1：收、支决算总计变动情况图）</w:t>
      </w:r>
    </w:p>
    <w:p>
      <w:pPr>
        <w:pStyle w:val="23"/>
        <w:numPr>
          <w:ilvl w:val="0"/>
          <w:numId w:val="2"/>
        </w:numPr>
        <w:spacing w:line="600" w:lineRule="exact"/>
        <w:ind w:firstLineChars="0"/>
        <w:outlineLvl w:val="1"/>
        <w:rPr>
          <w:rStyle w:val="25"/>
          <w:rFonts w:ascii="Times New Roman" w:hAnsi="Times New Roman" w:eastAsia="黑体" w:cs="Times New Roman"/>
          <w:b w:val="0"/>
        </w:rPr>
      </w:pPr>
      <w:bookmarkStart w:id="28" w:name="_Toc6012"/>
      <w:bookmarkStart w:id="29" w:name="_Toc15396604"/>
      <w:bookmarkStart w:id="30" w:name="_Toc15377206"/>
      <w:r>
        <w:rPr>
          <w:rFonts w:eastAsia="黑体"/>
          <w:sz w:val="32"/>
          <w:szCs w:val="32"/>
        </w:rPr>
        <w:t>收</w:t>
      </w:r>
      <w:r>
        <w:rPr>
          <w:rStyle w:val="25"/>
          <w:rFonts w:ascii="Times New Roman" w:hAnsi="Times New Roman" w:eastAsia="黑体" w:cs="Times New Roman"/>
          <w:b w:val="0"/>
        </w:rPr>
        <w:t>入决算情况说明</w:t>
      </w:r>
      <w:bookmarkEnd w:id="28"/>
      <w:bookmarkEnd w:id="29"/>
      <w:bookmarkEnd w:id="30"/>
    </w:p>
    <w:p>
      <w:pPr>
        <w:spacing w:line="600" w:lineRule="exact"/>
        <w:ind w:firstLine="640" w:firstLineChars="200"/>
        <w:outlineLvl w:val="1"/>
        <w:rPr>
          <w:rFonts w:eastAsia="方正仿宋简体"/>
          <w:sz w:val="32"/>
          <w:szCs w:val="32"/>
        </w:rPr>
      </w:pPr>
      <w:bookmarkStart w:id="31" w:name="_Toc9868"/>
      <w:r>
        <w:rPr>
          <w:rFonts w:eastAsia="方正仿宋简体"/>
          <w:sz w:val="32"/>
          <w:szCs w:val="32"/>
        </w:rPr>
        <w:t>2022年本年收入合计621.75万元，其中：一般公共预算财政拨款收入592.70万元，占95.33%；政府性基金预算财政拨款收入29.05万元，占4.67%。</w:t>
      </w:r>
      <w:bookmarkEnd w:id="31"/>
    </w:p>
    <w:p>
      <w:pPr>
        <w:pStyle w:val="2"/>
        <w:spacing w:before="93"/>
        <w:rPr>
          <w:rFonts w:ascii="Times New Roman" w:eastAsia="仿宋"/>
          <w:b/>
          <w:sz w:val="32"/>
          <w:szCs w:val="32"/>
        </w:rPr>
      </w:pPr>
      <w:r>
        <w:rPr>
          <w:rFonts w:ascii="Times New Roman"/>
        </w:rPr>
        <w:drawing>
          <wp:inline distT="0" distB="0" distL="0" distR="0">
            <wp:extent cx="5274310" cy="3076575"/>
            <wp:effectExtent l="5080" t="4445" r="16510" b="5080"/>
            <wp:docPr id="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eastAsia="方正仿宋简体"/>
          <w:sz w:val="32"/>
          <w:szCs w:val="32"/>
        </w:rPr>
      </w:pPr>
      <w:r>
        <w:rPr>
          <w:rFonts w:eastAsia="方正仿宋简体"/>
          <w:sz w:val="32"/>
          <w:szCs w:val="32"/>
        </w:rPr>
        <w:t>（图2：收入决算结构图）</w:t>
      </w:r>
    </w:p>
    <w:p>
      <w:pPr>
        <w:pStyle w:val="23"/>
        <w:numPr>
          <w:ilvl w:val="0"/>
          <w:numId w:val="2"/>
        </w:numPr>
        <w:spacing w:line="600" w:lineRule="exact"/>
        <w:ind w:firstLineChars="0"/>
        <w:outlineLvl w:val="1"/>
        <w:rPr>
          <w:rStyle w:val="25"/>
          <w:rFonts w:ascii="Times New Roman" w:hAnsi="Times New Roman" w:eastAsia="黑体" w:cs="Times New Roman"/>
          <w:b w:val="0"/>
        </w:rPr>
      </w:pPr>
      <w:bookmarkStart w:id="32" w:name="_Toc18242"/>
      <w:bookmarkStart w:id="33" w:name="_Toc15396605"/>
      <w:bookmarkStart w:id="34" w:name="_Toc15377207"/>
      <w:r>
        <w:rPr>
          <w:rFonts w:eastAsia="黑体"/>
          <w:sz w:val="32"/>
          <w:szCs w:val="32"/>
        </w:rPr>
        <w:t>支</w:t>
      </w:r>
      <w:r>
        <w:rPr>
          <w:rStyle w:val="25"/>
          <w:rFonts w:ascii="Times New Roman" w:hAnsi="Times New Roman" w:eastAsia="黑体" w:cs="Times New Roman"/>
          <w:b w:val="0"/>
        </w:rPr>
        <w:t>出决算情况说明</w:t>
      </w:r>
      <w:bookmarkEnd w:id="32"/>
      <w:bookmarkEnd w:id="33"/>
      <w:bookmarkEnd w:id="34"/>
    </w:p>
    <w:p>
      <w:pPr>
        <w:spacing w:line="600" w:lineRule="exact"/>
        <w:ind w:firstLine="640" w:firstLineChars="200"/>
        <w:outlineLvl w:val="1"/>
        <w:rPr>
          <w:rFonts w:eastAsia="方正仿宋简体"/>
          <w:sz w:val="32"/>
          <w:szCs w:val="32"/>
          <w:shd w:val="pct10" w:color="auto" w:fill="FFFFFF"/>
        </w:rPr>
      </w:pPr>
      <w:bookmarkStart w:id="35" w:name="_Toc23065"/>
      <w:r>
        <w:rPr>
          <w:rFonts w:eastAsia="方正仿宋简体"/>
          <w:sz w:val="32"/>
          <w:szCs w:val="32"/>
        </w:rPr>
        <w:t>2022年本年支出合计630.55万元，其中：基本支出355.85万元，占56.43%；项目支出274.70万元，占43.57%。</w:t>
      </w:r>
      <w:bookmarkEnd w:id="35"/>
    </w:p>
    <w:p>
      <w:pPr>
        <w:pStyle w:val="2"/>
        <w:spacing w:before="93"/>
        <w:jc w:val="center"/>
        <w:rPr>
          <w:rFonts w:ascii="Times New Roman" w:eastAsia="仿宋"/>
          <w:sz w:val="32"/>
          <w:szCs w:val="32"/>
          <w:shd w:val="pct10" w:color="auto" w:fill="FFFFFF"/>
        </w:rPr>
      </w:pPr>
      <w:r>
        <w:rPr>
          <w:rFonts w:ascii="Times New Roman" w:eastAsia="仿宋"/>
          <w:sz w:val="32"/>
          <w:szCs w:val="32"/>
        </w:rPr>
        <w:drawing>
          <wp:inline distT="0" distB="0" distL="0" distR="0">
            <wp:extent cx="4718685" cy="2666365"/>
            <wp:effectExtent l="4445" t="4445" r="20320" b="15240"/>
            <wp:docPr id="15"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rPr>
          <w:rFonts w:eastAsia="仿宋_GB2312"/>
          <w:sz w:val="32"/>
          <w:szCs w:val="32"/>
        </w:rPr>
      </w:pPr>
      <w:r>
        <w:rPr>
          <w:rFonts w:eastAsia="方正仿宋简体"/>
          <w:sz w:val="32"/>
          <w:szCs w:val="32"/>
        </w:rPr>
        <w:t>（图3：支出决算结构图）</w:t>
      </w:r>
    </w:p>
    <w:p>
      <w:pPr>
        <w:spacing w:line="600" w:lineRule="exact"/>
        <w:ind w:firstLine="640" w:firstLineChars="200"/>
        <w:outlineLvl w:val="1"/>
        <w:rPr>
          <w:rStyle w:val="25"/>
          <w:rFonts w:ascii="Times New Roman" w:hAnsi="Times New Roman" w:eastAsia="黑体" w:cs="Times New Roman"/>
          <w:b w:val="0"/>
        </w:rPr>
      </w:pPr>
      <w:bookmarkStart w:id="36" w:name="_Toc15396606"/>
      <w:bookmarkStart w:id="37" w:name="_Toc26270"/>
      <w:bookmarkStart w:id="38" w:name="_Toc15377208"/>
      <w:r>
        <w:rPr>
          <w:rFonts w:eastAsia="黑体"/>
          <w:sz w:val="32"/>
          <w:szCs w:val="32"/>
        </w:rPr>
        <w:t>四、财</w:t>
      </w:r>
      <w:r>
        <w:rPr>
          <w:rStyle w:val="25"/>
          <w:rFonts w:ascii="Times New Roman" w:hAnsi="Times New Roman" w:eastAsia="黑体" w:cs="Times New Roman"/>
          <w:b w:val="0"/>
        </w:rPr>
        <w:t>政拨款收入支出决算总体情况说明</w:t>
      </w:r>
      <w:bookmarkEnd w:id="36"/>
      <w:bookmarkEnd w:id="37"/>
      <w:bookmarkEnd w:id="38"/>
    </w:p>
    <w:p>
      <w:pPr>
        <w:spacing w:line="600" w:lineRule="exact"/>
        <w:ind w:firstLine="640" w:firstLineChars="200"/>
        <w:outlineLvl w:val="1"/>
        <w:rPr>
          <w:rFonts w:eastAsia="方正仿宋简体"/>
          <w:sz w:val="32"/>
          <w:szCs w:val="32"/>
        </w:rPr>
      </w:pPr>
      <w:bookmarkStart w:id="39" w:name="_Toc17961"/>
      <w:r>
        <w:rPr>
          <w:rFonts w:eastAsia="方正仿宋简体"/>
          <w:sz w:val="32"/>
          <w:szCs w:val="32"/>
        </w:rPr>
        <w:t>2022年财政拨款收、支总计1252.30万元</w:t>
      </w:r>
      <w:r>
        <w:rPr>
          <w:rFonts w:eastAsia="方正仿宋简体"/>
          <w:sz w:val="32"/>
          <w:szCs w:val="32"/>
          <w:lang w:val="zh-CN"/>
        </w:rPr>
        <w:t>。与202</w:t>
      </w:r>
      <w:r>
        <w:rPr>
          <w:rFonts w:eastAsia="方正仿宋简体"/>
          <w:sz w:val="32"/>
          <w:szCs w:val="32"/>
        </w:rPr>
        <w:t>1</w:t>
      </w:r>
      <w:r>
        <w:rPr>
          <w:rFonts w:eastAsia="方正仿宋简体"/>
          <w:sz w:val="32"/>
          <w:szCs w:val="32"/>
          <w:lang w:val="zh-CN"/>
        </w:rPr>
        <w:t>年相比，</w:t>
      </w:r>
      <w:r>
        <w:rPr>
          <w:rFonts w:eastAsia="方正仿宋简体"/>
          <w:sz w:val="32"/>
          <w:szCs w:val="32"/>
        </w:rPr>
        <w:t>财政拨款</w:t>
      </w:r>
      <w:r>
        <w:rPr>
          <w:rFonts w:eastAsia="方正仿宋简体"/>
          <w:sz w:val="32"/>
          <w:szCs w:val="32"/>
          <w:lang w:val="zh-CN"/>
        </w:rPr>
        <w:t>收入增加了</w:t>
      </w:r>
      <w:r>
        <w:rPr>
          <w:rFonts w:eastAsia="方正仿宋简体"/>
          <w:sz w:val="32"/>
          <w:szCs w:val="32"/>
        </w:rPr>
        <w:t>120.50</w:t>
      </w:r>
      <w:r>
        <w:rPr>
          <w:rFonts w:eastAsia="方正仿宋简体"/>
          <w:sz w:val="32"/>
          <w:szCs w:val="32"/>
          <w:lang w:val="zh-CN"/>
        </w:rPr>
        <w:t>万元，增长</w:t>
      </w:r>
      <w:r>
        <w:rPr>
          <w:rFonts w:eastAsia="方正仿宋简体"/>
          <w:sz w:val="32"/>
          <w:szCs w:val="32"/>
        </w:rPr>
        <w:t>24.04</w:t>
      </w:r>
      <w:r>
        <w:rPr>
          <w:rFonts w:eastAsia="方正仿宋简体"/>
          <w:sz w:val="32"/>
          <w:szCs w:val="32"/>
          <w:lang w:val="zh-CN"/>
        </w:rPr>
        <w:t>%；</w:t>
      </w:r>
      <w:r>
        <w:rPr>
          <w:rFonts w:eastAsia="方正仿宋简体"/>
          <w:sz w:val="32"/>
          <w:szCs w:val="32"/>
        </w:rPr>
        <w:t>财政拨款</w:t>
      </w:r>
      <w:r>
        <w:rPr>
          <w:rFonts w:eastAsia="方正仿宋简体"/>
          <w:sz w:val="32"/>
          <w:szCs w:val="32"/>
          <w:lang w:val="zh-CN"/>
        </w:rPr>
        <w:t>支出增加</w:t>
      </w:r>
      <w:r>
        <w:rPr>
          <w:rFonts w:eastAsia="方正仿宋简体"/>
          <w:sz w:val="32"/>
          <w:szCs w:val="32"/>
        </w:rPr>
        <w:t>90.55</w:t>
      </w:r>
      <w:r>
        <w:rPr>
          <w:rFonts w:eastAsia="方正仿宋简体"/>
          <w:sz w:val="32"/>
          <w:szCs w:val="32"/>
          <w:lang w:val="zh-CN"/>
        </w:rPr>
        <w:t>万元，增长1</w:t>
      </w:r>
      <w:r>
        <w:rPr>
          <w:rFonts w:eastAsia="方正仿宋简体"/>
          <w:sz w:val="32"/>
          <w:szCs w:val="32"/>
        </w:rPr>
        <w:t>6.77</w:t>
      </w:r>
      <w:r>
        <w:rPr>
          <w:rFonts w:eastAsia="方正仿宋简体"/>
          <w:sz w:val="32"/>
          <w:szCs w:val="32"/>
          <w:lang w:val="zh-CN"/>
        </w:rPr>
        <w:t>%。主要变动原因是202</w:t>
      </w:r>
      <w:r>
        <w:rPr>
          <w:rFonts w:eastAsia="方正仿宋简体"/>
          <w:sz w:val="32"/>
          <w:szCs w:val="32"/>
        </w:rPr>
        <w:t>2</w:t>
      </w:r>
      <w:r>
        <w:rPr>
          <w:rFonts w:eastAsia="方正仿宋简体"/>
          <w:sz w:val="32"/>
          <w:szCs w:val="32"/>
          <w:lang w:val="zh-CN"/>
        </w:rPr>
        <w:t>年项目支出经费增加。</w:t>
      </w:r>
      <w:bookmarkEnd w:id="39"/>
    </w:p>
    <w:p>
      <w:pPr>
        <w:pStyle w:val="2"/>
        <w:spacing w:before="93"/>
        <w:rPr>
          <w:rFonts w:ascii="Times New Roman" w:eastAsia="仿宋"/>
          <w:sz w:val="32"/>
          <w:szCs w:val="32"/>
        </w:rPr>
      </w:pPr>
      <w:r>
        <w:rPr>
          <w:rFonts w:ascii="Times New Roman"/>
        </w:rPr>
        <w:drawing>
          <wp:inline distT="0" distB="0" distL="0" distR="0">
            <wp:extent cx="5189220" cy="2461895"/>
            <wp:effectExtent l="4445" t="4445" r="6985" b="10160"/>
            <wp:docPr id="3"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eastAsia="方正仿宋简体"/>
          <w:b/>
          <w:sz w:val="32"/>
          <w:szCs w:val="32"/>
        </w:rPr>
      </w:pPr>
      <w:r>
        <w:rPr>
          <w:rFonts w:eastAsia="方正仿宋简体"/>
          <w:sz w:val="32"/>
          <w:szCs w:val="32"/>
        </w:rPr>
        <w:t>（图4：财政拨款收、支决算总计变动情况）</w:t>
      </w:r>
    </w:p>
    <w:p>
      <w:pPr>
        <w:spacing w:line="600" w:lineRule="exact"/>
        <w:ind w:firstLine="640" w:firstLineChars="200"/>
        <w:outlineLvl w:val="1"/>
        <w:rPr>
          <w:rStyle w:val="25"/>
          <w:rFonts w:ascii="Times New Roman" w:hAnsi="Times New Roman" w:eastAsia="黑体" w:cs="Times New Roman"/>
          <w:b w:val="0"/>
        </w:rPr>
      </w:pPr>
      <w:bookmarkStart w:id="40" w:name="_Toc23464"/>
      <w:bookmarkStart w:id="41" w:name="_Toc15377209"/>
      <w:bookmarkStart w:id="42" w:name="_Toc15396607"/>
      <w:r>
        <w:rPr>
          <w:rFonts w:eastAsia="黑体"/>
          <w:sz w:val="32"/>
          <w:szCs w:val="32"/>
        </w:rPr>
        <w:t>五、</w:t>
      </w:r>
      <w:r>
        <w:rPr>
          <w:rFonts w:eastAsia="黑体"/>
          <w:b/>
          <w:sz w:val="32"/>
          <w:szCs w:val="32"/>
        </w:rPr>
        <w:t>一</w:t>
      </w:r>
      <w:r>
        <w:rPr>
          <w:rStyle w:val="25"/>
          <w:rFonts w:ascii="Times New Roman" w:hAnsi="Times New Roman" w:eastAsia="黑体" w:cs="Times New Roman"/>
          <w:b w:val="0"/>
        </w:rPr>
        <w:t>般公共预算财政拨款支出决算情况说明</w:t>
      </w:r>
      <w:bookmarkEnd w:id="40"/>
      <w:bookmarkEnd w:id="41"/>
      <w:bookmarkEnd w:id="42"/>
    </w:p>
    <w:p>
      <w:pPr>
        <w:spacing w:line="600" w:lineRule="exact"/>
        <w:ind w:firstLine="642" w:firstLineChars="200"/>
        <w:outlineLvl w:val="2"/>
        <w:rPr>
          <w:rFonts w:eastAsia="楷体_GB2312"/>
          <w:b/>
          <w:sz w:val="32"/>
          <w:szCs w:val="32"/>
        </w:rPr>
      </w:pPr>
      <w:bookmarkStart w:id="43" w:name="_Toc29813"/>
      <w:bookmarkStart w:id="44" w:name="_Toc15377210"/>
      <w:r>
        <w:rPr>
          <w:rFonts w:eastAsia="楷体_GB2312"/>
          <w:b/>
          <w:sz w:val="32"/>
          <w:szCs w:val="32"/>
        </w:rPr>
        <w:t>（一）一般公共预算财政拨款支出决算总体情况</w:t>
      </w:r>
      <w:bookmarkEnd w:id="43"/>
      <w:bookmarkEnd w:id="44"/>
    </w:p>
    <w:p>
      <w:pPr>
        <w:spacing w:line="600" w:lineRule="exact"/>
        <w:ind w:firstLine="640" w:firstLineChars="200"/>
        <w:outlineLvl w:val="1"/>
        <w:rPr>
          <w:rFonts w:eastAsia="方正仿宋简体"/>
          <w:color w:val="000000"/>
          <w:sz w:val="32"/>
          <w:szCs w:val="32"/>
        </w:rPr>
      </w:pPr>
      <w:bookmarkStart w:id="45" w:name="_Toc32030"/>
      <w:r>
        <w:rPr>
          <w:rFonts w:eastAsia="方正仿宋简体"/>
          <w:sz w:val="32"/>
          <w:szCs w:val="32"/>
        </w:rPr>
        <w:t>2022年一般公共预算财政拨款支出601.50万元，占本年支出合计的95.39%。与2021年相比，一般公共预算财政拨款支出增加70.84万元，增长13.35%。主要变动原因是</w:t>
      </w:r>
      <w:r>
        <w:rPr>
          <w:rFonts w:eastAsia="方正仿宋简体"/>
          <w:sz w:val="32"/>
          <w:szCs w:val="32"/>
          <w:lang w:val="zh-CN"/>
        </w:rPr>
        <w:t>202</w:t>
      </w:r>
      <w:r>
        <w:rPr>
          <w:rFonts w:eastAsia="方正仿宋简体"/>
          <w:sz w:val="32"/>
          <w:szCs w:val="32"/>
        </w:rPr>
        <w:t>2</w:t>
      </w:r>
      <w:r>
        <w:rPr>
          <w:rFonts w:eastAsia="方正仿宋简体"/>
          <w:sz w:val="32"/>
          <w:szCs w:val="32"/>
          <w:lang w:val="zh-CN"/>
        </w:rPr>
        <w:t>年项目支出经费增加。</w:t>
      </w:r>
      <w:bookmarkEnd w:id="45"/>
    </w:p>
    <w:p>
      <w:pPr>
        <w:pStyle w:val="2"/>
        <w:spacing w:before="93"/>
        <w:rPr>
          <w:rFonts w:ascii="Times New Roman"/>
          <w:color w:val="000000"/>
          <w:sz w:val="32"/>
          <w:szCs w:val="32"/>
        </w:rPr>
      </w:pPr>
      <w:r>
        <w:rPr>
          <w:rFonts w:ascii="Times New Roman"/>
        </w:rPr>
        <w:drawing>
          <wp:inline distT="0" distB="0" distL="0" distR="0">
            <wp:extent cx="5226050" cy="2645410"/>
            <wp:effectExtent l="4445" t="4445" r="8255" b="17145"/>
            <wp:docPr id="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eastAsia="方正仿宋简体"/>
          <w:sz w:val="32"/>
          <w:szCs w:val="32"/>
        </w:rPr>
      </w:pPr>
      <w:r>
        <w:rPr>
          <w:rFonts w:eastAsia="方正仿宋简体"/>
          <w:sz w:val="32"/>
          <w:szCs w:val="32"/>
        </w:rPr>
        <w:t>（图5：一般公共预算财政拨款支出决算变动情况）</w:t>
      </w:r>
    </w:p>
    <w:p>
      <w:pPr>
        <w:spacing w:line="600" w:lineRule="exact"/>
        <w:ind w:firstLine="642" w:firstLineChars="200"/>
        <w:outlineLvl w:val="2"/>
        <w:rPr>
          <w:rFonts w:eastAsia="楷体_GB2312"/>
          <w:b/>
          <w:sz w:val="32"/>
          <w:szCs w:val="32"/>
        </w:rPr>
      </w:pPr>
      <w:bookmarkStart w:id="46" w:name="_Toc15377211"/>
      <w:bookmarkStart w:id="47" w:name="_Toc3365"/>
      <w:r>
        <w:rPr>
          <w:rFonts w:eastAsia="楷体_GB2312"/>
          <w:b/>
          <w:sz w:val="32"/>
          <w:szCs w:val="32"/>
        </w:rPr>
        <w:t>（二）一般公共预算财政拨款支出决算结构情况</w:t>
      </w:r>
      <w:bookmarkEnd w:id="46"/>
      <w:bookmarkEnd w:id="47"/>
    </w:p>
    <w:p>
      <w:pPr>
        <w:spacing w:line="600" w:lineRule="exact"/>
        <w:ind w:firstLine="640"/>
        <w:rPr>
          <w:rFonts w:eastAsia="方正仿宋简体"/>
          <w:b/>
          <w:sz w:val="32"/>
          <w:szCs w:val="32"/>
        </w:rPr>
      </w:pPr>
      <w:r>
        <w:rPr>
          <w:rFonts w:eastAsia="方正仿宋简体"/>
          <w:sz w:val="32"/>
          <w:szCs w:val="32"/>
        </w:rPr>
        <w:t>2022年一般公共预算财政拨款支出601.50万元，主要用于以下方面:</w:t>
      </w:r>
      <w:r>
        <w:rPr>
          <w:rFonts w:eastAsia="方正仿宋简体"/>
          <w:b/>
          <w:sz w:val="32"/>
          <w:szCs w:val="32"/>
        </w:rPr>
        <w:t>社会保障和就业</w:t>
      </w:r>
      <w:r>
        <w:rPr>
          <w:rFonts w:eastAsia="方正仿宋简体"/>
          <w:b/>
          <w:bCs/>
          <w:sz w:val="32"/>
          <w:szCs w:val="32"/>
        </w:rPr>
        <w:t>支出</w:t>
      </w:r>
      <w:r>
        <w:rPr>
          <w:rFonts w:eastAsia="方正仿宋简体"/>
          <w:sz w:val="32"/>
          <w:szCs w:val="32"/>
        </w:rPr>
        <w:t>573.51万元，占95.35%；</w:t>
      </w:r>
      <w:r>
        <w:rPr>
          <w:rFonts w:eastAsia="方正仿宋简体"/>
          <w:b/>
          <w:bCs/>
          <w:sz w:val="32"/>
          <w:szCs w:val="32"/>
        </w:rPr>
        <w:t>住房保障支出</w:t>
      </w:r>
      <w:r>
        <w:rPr>
          <w:rFonts w:eastAsia="方正仿宋简体"/>
          <w:sz w:val="32"/>
          <w:szCs w:val="32"/>
        </w:rPr>
        <w:t>27.99万元，占4.65%。</w:t>
      </w:r>
    </w:p>
    <w:p>
      <w:pPr>
        <w:spacing w:line="600" w:lineRule="exact"/>
        <w:rPr>
          <w:rFonts w:eastAsia="仿宋"/>
          <w:sz w:val="32"/>
          <w:szCs w:val="32"/>
        </w:rPr>
      </w:pPr>
      <w:r>
        <w:drawing>
          <wp:anchor distT="0" distB="0" distL="0" distR="0" simplePos="0" relativeHeight="251661312" behindDoc="0" locked="0" layoutInCell="1" allowOverlap="1">
            <wp:simplePos x="0" y="0"/>
            <wp:positionH relativeFrom="column">
              <wp:posOffset>25400</wp:posOffset>
            </wp:positionH>
            <wp:positionV relativeFrom="paragraph">
              <wp:posOffset>64135</wp:posOffset>
            </wp:positionV>
            <wp:extent cx="5139690" cy="2569210"/>
            <wp:effectExtent l="4445" t="4445" r="18415" b="1714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spacing w:before="93"/>
        <w:rPr>
          <w:rFonts w:ascii="Times New Roman" w:eastAsia="仿宋"/>
          <w:sz w:val="32"/>
          <w:szCs w:val="32"/>
        </w:rPr>
      </w:pPr>
    </w:p>
    <w:p>
      <w:pPr>
        <w:pStyle w:val="2"/>
        <w:spacing w:before="93"/>
        <w:rPr>
          <w:rFonts w:ascii="Times New Roman" w:eastAsia="仿宋"/>
          <w:sz w:val="32"/>
          <w:szCs w:val="32"/>
        </w:rPr>
      </w:pPr>
    </w:p>
    <w:p>
      <w:pPr>
        <w:pStyle w:val="2"/>
        <w:spacing w:before="93"/>
        <w:rPr>
          <w:rFonts w:ascii="Times New Roman" w:eastAsia="仿宋"/>
          <w:sz w:val="32"/>
          <w:szCs w:val="32"/>
        </w:rPr>
      </w:pPr>
    </w:p>
    <w:p>
      <w:pPr>
        <w:pStyle w:val="2"/>
        <w:spacing w:before="93"/>
        <w:rPr>
          <w:rFonts w:ascii="Times New Roman" w:eastAsia="仿宋"/>
          <w:sz w:val="32"/>
          <w:szCs w:val="32"/>
        </w:rPr>
      </w:pPr>
    </w:p>
    <w:p>
      <w:pPr>
        <w:pStyle w:val="2"/>
        <w:spacing w:before="93"/>
        <w:rPr>
          <w:rFonts w:ascii="Times New Roman" w:eastAsia="仿宋"/>
          <w:sz w:val="32"/>
          <w:szCs w:val="32"/>
        </w:rPr>
      </w:pPr>
    </w:p>
    <w:p>
      <w:pPr>
        <w:spacing w:line="600" w:lineRule="exact"/>
        <w:jc w:val="center"/>
        <w:rPr>
          <w:rFonts w:eastAsia="方正仿宋简体"/>
          <w:sz w:val="32"/>
          <w:szCs w:val="32"/>
        </w:rPr>
      </w:pPr>
      <w:r>
        <w:rPr>
          <w:rFonts w:eastAsia="方正仿宋简体"/>
          <w:sz w:val="32"/>
          <w:szCs w:val="32"/>
        </w:rPr>
        <w:t>（图6：一般公共预算财政拨款支出决算结构）</w:t>
      </w:r>
    </w:p>
    <w:p>
      <w:pPr>
        <w:spacing w:line="600" w:lineRule="exact"/>
        <w:ind w:firstLine="642" w:firstLineChars="200"/>
        <w:outlineLvl w:val="2"/>
        <w:rPr>
          <w:rFonts w:eastAsia="楷体_GB2312"/>
          <w:b/>
          <w:sz w:val="32"/>
          <w:szCs w:val="32"/>
        </w:rPr>
      </w:pPr>
      <w:bookmarkStart w:id="48" w:name="_Toc13689"/>
      <w:bookmarkStart w:id="49" w:name="_Toc15377212"/>
      <w:r>
        <w:rPr>
          <w:rFonts w:eastAsia="楷体_GB2312"/>
          <w:b/>
          <w:sz w:val="32"/>
          <w:szCs w:val="32"/>
        </w:rPr>
        <w:t>（三）一般公共预算财政拨款支出决算具体情况</w:t>
      </w:r>
      <w:bookmarkEnd w:id="48"/>
      <w:bookmarkEnd w:id="49"/>
    </w:p>
    <w:p>
      <w:pPr>
        <w:spacing w:line="600" w:lineRule="exact"/>
        <w:ind w:firstLine="642" w:firstLineChars="200"/>
        <w:outlineLvl w:val="1"/>
        <w:rPr>
          <w:rFonts w:eastAsia="方正仿宋简体"/>
          <w:sz w:val="32"/>
          <w:szCs w:val="32"/>
        </w:rPr>
      </w:pPr>
      <w:bookmarkStart w:id="50" w:name="_Toc15378460"/>
      <w:bookmarkStart w:id="51" w:name="_Toc28661"/>
      <w:bookmarkStart w:id="52" w:name="_Toc15377444"/>
      <w:bookmarkStart w:id="53" w:name="_Toc15377213"/>
      <w:r>
        <w:rPr>
          <w:rFonts w:eastAsia="方正仿宋简体"/>
          <w:b/>
          <w:sz w:val="32"/>
          <w:szCs w:val="32"/>
        </w:rPr>
        <w:t>2022年一般公共预算支出决算数为601.50万元</w:t>
      </w:r>
      <w:r>
        <w:rPr>
          <w:rFonts w:eastAsia="方正仿宋简体"/>
          <w:sz w:val="32"/>
          <w:szCs w:val="32"/>
        </w:rPr>
        <w:t>，</w:t>
      </w:r>
      <w:r>
        <w:rPr>
          <w:rStyle w:val="14"/>
          <w:rFonts w:eastAsia="方正仿宋简体"/>
          <w:bCs/>
          <w:sz w:val="32"/>
          <w:szCs w:val="32"/>
        </w:rPr>
        <w:t>完成预算100%。其中：</w:t>
      </w:r>
      <w:bookmarkEnd w:id="50"/>
      <w:bookmarkEnd w:id="51"/>
      <w:bookmarkEnd w:id="52"/>
      <w:bookmarkEnd w:id="53"/>
    </w:p>
    <w:p>
      <w:pPr>
        <w:spacing w:line="600" w:lineRule="exact"/>
        <w:ind w:firstLine="642" w:firstLineChars="200"/>
        <w:rPr>
          <w:rFonts w:eastAsia="方正仿宋简体"/>
          <w:bCs/>
          <w:color w:val="000000"/>
          <w:sz w:val="32"/>
          <w:szCs w:val="32"/>
        </w:rPr>
      </w:pPr>
      <w:r>
        <w:rPr>
          <w:rStyle w:val="14"/>
          <w:rFonts w:eastAsia="方正仿宋简体"/>
          <w:bCs/>
          <w:sz w:val="32"/>
          <w:szCs w:val="32"/>
        </w:rPr>
        <w:t>1.社会保障和就业（类）民政管理事务（款）基层政权建设和社区治理（项）:</w:t>
      </w:r>
      <w:r>
        <w:rPr>
          <w:rStyle w:val="24"/>
          <w:rFonts w:eastAsia="方正仿宋简体"/>
          <w:b w:val="0"/>
          <w:bCs w:val="0"/>
          <w:color w:val="000000"/>
          <w:sz w:val="32"/>
          <w:szCs w:val="32"/>
        </w:rPr>
        <w:t xml:space="preserve"> </w:t>
      </w:r>
      <w:r>
        <w:rPr>
          <w:rStyle w:val="14"/>
          <w:rFonts w:eastAsia="方正仿宋简体"/>
          <w:b w:val="0"/>
          <w:bCs/>
          <w:color w:val="000000"/>
          <w:sz w:val="32"/>
          <w:szCs w:val="32"/>
        </w:rPr>
        <w:t>支出决算为42.23万元，完成预算100%。</w:t>
      </w:r>
    </w:p>
    <w:p>
      <w:pPr>
        <w:spacing w:line="600" w:lineRule="exact"/>
        <w:ind w:firstLine="642" w:firstLineChars="200"/>
        <w:rPr>
          <w:rStyle w:val="14"/>
          <w:rFonts w:eastAsia="方正仿宋简体"/>
          <w:b w:val="0"/>
          <w:bCs/>
          <w:sz w:val="32"/>
          <w:szCs w:val="32"/>
        </w:rPr>
      </w:pPr>
      <w:r>
        <w:rPr>
          <w:rStyle w:val="14"/>
          <w:rFonts w:eastAsia="方正仿宋简体"/>
          <w:bCs/>
          <w:sz w:val="32"/>
          <w:szCs w:val="32"/>
        </w:rPr>
        <w:t>2.社会保障和就业支出（类）行政事业单位养老支出（款）事业单位离退休（项）:</w:t>
      </w:r>
      <w:r>
        <w:rPr>
          <w:rStyle w:val="14"/>
          <w:rFonts w:eastAsia="方正仿宋简体"/>
          <w:b w:val="0"/>
          <w:bCs/>
          <w:sz w:val="32"/>
          <w:szCs w:val="32"/>
        </w:rPr>
        <w:t xml:space="preserve"> 支出决算为41.09万元，完成预算100%。</w:t>
      </w:r>
    </w:p>
    <w:p>
      <w:pPr>
        <w:spacing w:line="600" w:lineRule="exact"/>
        <w:ind w:firstLine="642" w:firstLineChars="200"/>
        <w:rPr>
          <w:rStyle w:val="14"/>
          <w:rFonts w:eastAsia="方正仿宋简体"/>
          <w:b w:val="0"/>
          <w:bCs/>
          <w:sz w:val="32"/>
          <w:szCs w:val="32"/>
        </w:rPr>
      </w:pPr>
      <w:r>
        <w:rPr>
          <w:rStyle w:val="14"/>
          <w:rFonts w:eastAsia="方正仿宋简体"/>
          <w:bCs/>
          <w:sz w:val="32"/>
          <w:szCs w:val="32"/>
        </w:rPr>
        <w:t>3.社会保障和就业支出（类）行政事业单位养老支出（款）机关事业单位基本养老保险缴费支出（项）:</w:t>
      </w:r>
      <w:r>
        <w:rPr>
          <w:rStyle w:val="14"/>
          <w:rFonts w:eastAsia="方正仿宋简体"/>
          <w:b w:val="0"/>
          <w:bCs/>
          <w:sz w:val="32"/>
          <w:szCs w:val="32"/>
        </w:rPr>
        <w:t xml:space="preserve"> 支出决算为21.67万元，完成预算100%。</w:t>
      </w:r>
    </w:p>
    <w:p>
      <w:pPr>
        <w:spacing w:line="600" w:lineRule="exact"/>
        <w:ind w:firstLine="642" w:firstLineChars="200"/>
        <w:rPr>
          <w:rStyle w:val="14"/>
          <w:rFonts w:eastAsia="方正仿宋简体"/>
          <w:b w:val="0"/>
          <w:bCs/>
          <w:color w:val="000000"/>
          <w:sz w:val="32"/>
          <w:szCs w:val="32"/>
        </w:rPr>
      </w:pPr>
      <w:r>
        <w:rPr>
          <w:rStyle w:val="14"/>
          <w:rFonts w:eastAsia="方正仿宋简体"/>
          <w:color w:val="000000"/>
          <w:sz w:val="32"/>
          <w:szCs w:val="32"/>
        </w:rPr>
        <w:t>4.社会保障和就业（类）临时救助（款）流浪乞讨人员救助支出</w:t>
      </w:r>
      <w:r>
        <w:rPr>
          <w:rStyle w:val="14"/>
          <w:rFonts w:eastAsia="方正仿宋简体"/>
          <w:bCs/>
          <w:sz w:val="32"/>
          <w:szCs w:val="32"/>
        </w:rPr>
        <w:t>（项）:</w:t>
      </w:r>
      <w:r>
        <w:rPr>
          <w:rStyle w:val="14"/>
          <w:rFonts w:eastAsia="方正仿宋简体"/>
          <w:b w:val="0"/>
          <w:bCs/>
          <w:color w:val="000000"/>
          <w:sz w:val="32"/>
          <w:szCs w:val="32"/>
        </w:rPr>
        <w:t>支出决算为</w:t>
      </w:r>
      <w:r>
        <w:rPr>
          <w:rFonts w:eastAsia="方正仿宋简体"/>
          <w:color w:val="000000"/>
          <w:sz w:val="32"/>
          <w:szCs w:val="32"/>
        </w:rPr>
        <w:t>468.52</w:t>
      </w:r>
      <w:r>
        <w:rPr>
          <w:rStyle w:val="14"/>
          <w:rFonts w:eastAsia="方正仿宋简体"/>
          <w:b w:val="0"/>
          <w:bCs/>
          <w:color w:val="000000"/>
          <w:sz w:val="32"/>
          <w:szCs w:val="32"/>
        </w:rPr>
        <w:t>万元，完成预算100%。</w:t>
      </w:r>
    </w:p>
    <w:p>
      <w:pPr>
        <w:spacing w:line="600" w:lineRule="exact"/>
        <w:ind w:firstLine="642" w:firstLineChars="200"/>
        <w:rPr>
          <w:rFonts w:eastAsia="方正仿宋简体"/>
          <w:b/>
          <w:sz w:val="32"/>
          <w:szCs w:val="32"/>
        </w:rPr>
      </w:pPr>
      <w:r>
        <w:rPr>
          <w:rStyle w:val="14"/>
          <w:rFonts w:eastAsia="方正仿宋简体"/>
          <w:sz w:val="32"/>
          <w:szCs w:val="32"/>
        </w:rPr>
        <w:t xml:space="preserve">5.住房保障支出（类）住房改革支出（款）住房公积金（项）: </w:t>
      </w:r>
      <w:r>
        <w:rPr>
          <w:rStyle w:val="14"/>
          <w:rFonts w:eastAsia="方正仿宋简体"/>
          <w:b w:val="0"/>
          <w:bCs/>
          <w:sz w:val="32"/>
          <w:szCs w:val="32"/>
        </w:rPr>
        <w:t>支出决算为27.99万元，完成预算100%。</w:t>
      </w:r>
    </w:p>
    <w:p>
      <w:pPr>
        <w:tabs>
          <w:tab w:val="right" w:pos="8306"/>
        </w:tabs>
        <w:spacing w:line="600" w:lineRule="exact"/>
        <w:ind w:firstLine="640"/>
        <w:outlineLvl w:val="1"/>
        <w:rPr>
          <w:rStyle w:val="25"/>
          <w:rFonts w:ascii="Times New Roman" w:hAnsi="Times New Roman" w:cs="Times New Roman"/>
        </w:rPr>
      </w:pPr>
      <w:bookmarkStart w:id="54" w:name="_Toc15396608"/>
      <w:bookmarkStart w:id="55" w:name="_Toc12293"/>
      <w:bookmarkStart w:id="56" w:name="_Toc15377214"/>
      <w:r>
        <w:rPr>
          <w:rFonts w:eastAsia="黑体"/>
          <w:sz w:val="32"/>
          <w:szCs w:val="32"/>
        </w:rPr>
        <w:t>六</w:t>
      </w:r>
      <w:r>
        <w:rPr>
          <w:rFonts w:eastAsia="黑体"/>
          <w:b/>
          <w:sz w:val="32"/>
          <w:szCs w:val="32"/>
        </w:rPr>
        <w:t>、一</w:t>
      </w:r>
      <w:r>
        <w:rPr>
          <w:rStyle w:val="25"/>
          <w:rFonts w:ascii="Times New Roman" w:hAnsi="Times New Roman" w:eastAsia="黑体" w:cs="Times New Roman"/>
          <w:b w:val="0"/>
        </w:rPr>
        <w:t>般公共预算财政拨款基本支出决算情况说明</w:t>
      </w:r>
      <w:bookmarkEnd w:id="54"/>
      <w:bookmarkEnd w:id="55"/>
      <w:bookmarkEnd w:id="56"/>
      <w:r>
        <w:rPr>
          <w:rStyle w:val="25"/>
          <w:rFonts w:ascii="Times New Roman" w:hAnsi="Times New Roman" w:eastAsia="黑体" w:cs="Times New Roman"/>
          <w:b w:val="0"/>
        </w:rPr>
        <w:tab/>
      </w:r>
    </w:p>
    <w:p>
      <w:pPr>
        <w:spacing w:line="600" w:lineRule="exact"/>
        <w:ind w:firstLine="645"/>
        <w:rPr>
          <w:rFonts w:eastAsia="方正仿宋简体"/>
          <w:sz w:val="32"/>
          <w:szCs w:val="32"/>
        </w:rPr>
      </w:pPr>
      <w:r>
        <w:rPr>
          <w:rFonts w:eastAsia="方正仿宋简体"/>
          <w:sz w:val="32"/>
          <w:szCs w:val="32"/>
        </w:rPr>
        <w:t>2022年一般公共预算财政拨款基本支出355.85万元，其中：</w:t>
      </w:r>
    </w:p>
    <w:p>
      <w:pPr>
        <w:spacing w:line="600" w:lineRule="exact"/>
        <w:ind w:firstLine="645"/>
        <w:rPr>
          <w:rFonts w:eastAsia="方正仿宋简体"/>
          <w:sz w:val="32"/>
          <w:szCs w:val="32"/>
        </w:rPr>
      </w:pPr>
      <w:r>
        <w:rPr>
          <w:rFonts w:eastAsia="方正仿宋简体"/>
          <w:sz w:val="32"/>
          <w:szCs w:val="32"/>
        </w:rPr>
        <w:t>人员经费337.75万元，主要包括：基本工资、津贴补贴、伙食补助费、绩效工资、机关事业单位基本养老保险缴费、职工基本医疗保险缴费、公务员医疗补助缴费、其他社会保障缴费、住房公积金、其他工资福利支出、生活补助等。</w:t>
      </w:r>
      <w:r>
        <w:rPr>
          <w:rFonts w:eastAsia="方正仿宋简体"/>
          <w:sz w:val="32"/>
          <w:szCs w:val="32"/>
        </w:rPr>
        <w:br w:type="textWrapping"/>
      </w:r>
      <w:r>
        <w:rPr>
          <w:rFonts w:eastAsia="方正仿宋简体"/>
          <w:sz w:val="32"/>
          <w:szCs w:val="32"/>
        </w:rPr>
        <w:t>　　公用经费18.1万元，主要包括：办公费、咨询费、水费、电费、邮电费、差旅费、维修（护）费、公务接待费、工会经费、福利费、公务用车运行维护费、其他商品和服务支出等。</w:t>
      </w:r>
    </w:p>
    <w:p>
      <w:pPr>
        <w:spacing w:line="600" w:lineRule="exact"/>
        <w:ind w:firstLine="640"/>
        <w:outlineLvl w:val="1"/>
        <w:rPr>
          <w:rStyle w:val="25"/>
          <w:rFonts w:ascii="Times New Roman" w:hAnsi="Times New Roman" w:eastAsia="黑体" w:cs="Times New Roman"/>
          <w:b w:val="0"/>
        </w:rPr>
      </w:pPr>
      <w:bookmarkStart w:id="57" w:name="_Toc17276"/>
      <w:bookmarkStart w:id="58" w:name="_Toc15377215"/>
      <w:bookmarkStart w:id="59" w:name="_Toc15396609"/>
      <w:r>
        <w:rPr>
          <w:rFonts w:eastAsia="黑体"/>
          <w:sz w:val="32"/>
          <w:szCs w:val="32"/>
        </w:rPr>
        <w:t>七、</w:t>
      </w:r>
      <w:r>
        <w:rPr>
          <w:rStyle w:val="25"/>
          <w:rFonts w:ascii="Times New Roman" w:hAnsi="Times New Roman" w:eastAsia="黑体" w:cs="Times New Roman"/>
          <w:b w:val="0"/>
        </w:rPr>
        <w:t>财政拨款</w:t>
      </w:r>
      <w:r>
        <w:rPr>
          <w:rStyle w:val="25"/>
          <w:rFonts w:ascii="Times New Roman" w:hAnsi="Times New Roman" w:eastAsia="黑体" w:cs="Times New Roman"/>
        </w:rPr>
        <w:t>“</w:t>
      </w:r>
      <w:r>
        <w:rPr>
          <w:rStyle w:val="25"/>
          <w:rFonts w:ascii="Times New Roman" w:hAnsi="Times New Roman" w:eastAsia="黑体" w:cs="Times New Roman"/>
          <w:b w:val="0"/>
        </w:rPr>
        <w:t>三公”经费支出决算情况说明</w:t>
      </w:r>
      <w:bookmarkEnd w:id="57"/>
      <w:bookmarkEnd w:id="58"/>
      <w:bookmarkEnd w:id="59"/>
    </w:p>
    <w:p>
      <w:pPr>
        <w:spacing w:line="600" w:lineRule="exact"/>
        <w:ind w:firstLine="642" w:firstLineChars="200"/>
        <w:outlineLvl w:val="2"/>
        <w:rPr>
          <w:rFonts w:eastAsia="楷体_GB2312"/>
          <w:b/>
          <w:sz w:val="32"/>
          <w:szCs w:val="32"/>
        </w:rPr>
      </w:pPr>
      <w:bookmarkStart w:id="60" w:name="_Toc15377216"/>
      <w:bookmarkStart w:id="61" w:name="_Toc26512"/>
      <w:r>
        <w:rPr>
          <w:rFonts w:eastAsia="楷体_GB2312"/>
          <w:b/>
          <w:sz w:val="32"/>
          <w:szCs w:val="32"/>
        </w:rPr>
        <w:t>（一）“三公”经费财政拨款支出决算总体情况说明</w:t>
      </w:r>
      <w:bookmarkEnd w:id="60"/>
      <w:bookmarkEnd w:id="61"/>
    </w:p>
    <w:p>
      <w:pPr>
        <w:spacing w:line="600" w:lineRule="exact"/>
        <w:ind w:firstLine="640" w:firstLineChars="200"/>
        <w:outlineLvl w:val="2"/>
        <w:rPr>
          <w:rFonts w:eastAsia="方正仿宋简体"/>
          <w:sz w:val="32"/>
          <w:szCs w:val="32"/>
        </w:rPr>
      </w:pPr>
      <w:r>
        <w:rPr>
          <w:rFonts w:eastAsia="方正仿宋简体"/>
          <w:sz w:val="32"/>
          <w:szCs w:val="32"/>
        </w:rPr>
        <w:t>2022年“三公”经费财政拨款支出决算为3.08万元，完成预算100%，较上年减少3.12万元，下降50.32%。决算数与预算数持平。</w:t>
      </w:r>
    </w:p>
    <w:p>
      <w:pPr>
        <w:spacing w:line="600" w:lineRule="exact"/>
        <w:ind w:firstLine="642" w:firstLineChars="200"/>
        <w:outlineLvl w:val="2"/>
        <w:rPr>
          <w:rFonts w:eastAsia="楷体_GB2312"/>
          <w:b/>
          <w:sz w:val="32"/>
          <w:szCs w:val="32"/>
        </w:rPr>
      </w:pPr>
      <w:bookmarkStart w:id="62" w:name="_Toc15377217"/>
      <w:bookmarkStart w:id="63" w:name="_Toc5017"/>
      <w:r>
        <w:rPr>
          <w:rFonts w:eastAsia="楷体_GB2312"/>
          <w:b/>
          <w:sz w:val="32"/>
          <w:szCs w:val="32"/>
        </w:rPr>
        <w:t>（二）“三公”经费财政拨款支出决算具体情况说明</w:t>
      </w:r>
      <w:bookmarkEnd w:id="62"/>
      <w:bookmarkEnd w:id="63"/>
    </w:p>
    <w:p>
      <w:pPr>
        <w:spacing w:line="600" w:lineRule="exact"/>
        <w:ind w:firstLine="640"/>
        <w:rPr>
          <w:rFonts w:eastAsia="仿宋"/>
          <w:sz w:val="32"/>
          <w:szCs w:val="32"/>
        </w:rPr>
      </w:pPr>
      <w:r>
        <w:rPr>
          <w:rFonts w:eastAsia="方正仿宋简体"/>
          <w:sz w:val="32"/>
          <w:szCs w:val="32"/>
        </w:rPr>
        <w:t>2022年“三公”经费财政拨款支出决算中，因公出国（境）费支出决算0万元，占0%；公务用车购置及运行维护费支出决算2.56万元，占83.12%；公务接待费支出决算0.52万元，占16.88%。具体情况如下：</w:t>
      </w:r>
      <w:bookmarkStart w:id="115" w:name="_GoBack"/>
      <w:bookmarkEnd w:id="115"/>
    </w:p>
    <w:p>
      <w:pPr>
        <w:pStyle w:val="2"/>
        <w:spacing w:before="93"/>
        <w:jc w:val="center"/>
        <w:rPr>
          <w:rFonts w:ascii="Times New Roman" w:eastAsia="仿宋"/>
          <w:sz w:val="32"/>
          <w:szCs w:val="32"/>
        </w:rPr>
      </w:pPr>
      <w:r>
        <w:drawing>
          <wp:inline distT="0" distB="0" distL="114300" distR="114300">
            <wp:extent cx="4572000" cy="2743200"/>
            <wp:effectExtent l="4445" t="4445" r="1460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jc w:val="center"/>
        <w:rPr>
          <w:rFonts w:eastAsia="方正仿宋简体"/>
          <w:sz w:val="32"/>
          <w:szCs w:val="32"/>
        </w:rPr>
      </w:pPr>
      <w:r>
        <w:rPr>
          <w:rFonts w:eastAsia="方正仿宋简体"/>
          <w:sz w:val="32"/>
          <w:szCs w:val="32"/>
        </w:rPr>
        <w:t>（图7：“三公”经费财政拨款支出结构）</w:t>
      </w:r>
    </w:p>
    <w:p>
      <w:pPr>
        <w:spacing w:line="600" w:lineRule="exact"/>
        <w:ind w:firstLine="640" w:firstLineChars="200"/>
        <w:rPr>
          <w:rFonts w:eastAsia="方正仿宋简体"/>
          <w:color w:val="000000"/>
          <w:sz w:val="32"/>
          <w:szCs w:val="32"/>
        </w:rPr>
      </w:pPr>
      <w:r>
        <w:rPr>
          <w:rFonts w:eastAsia="方正仿宋简体"/>
          <w:color w:val="000000"/>
          <w:sz w:val="32"/>
          <w:szCs w:val="32"/>
        </w:rPr>
        <w:t>1.</w:t>
      </w:r>
      <w:r>
        <w:rPr>
          <w:rFonts w:eastAsia="方正仿宋简体"/>
          <w:b/>
          <w:bCs/>
          <w:color w:val="000000"/>
          <w:sz w:val="32"/>
          <w:szCs w:val="32"/>
        </w:rPr>
        <w:t>因公出国（境）经费支出</w:t>
      </w:r>
      <w:r>
        <w:rPr>
          <w:rFonts w:eastAsia="方正仿宋简体"/>
          <w:color w:val="000000"/>
          <w:sz w:val="32"/>
          <w:szCs w:val="32"/>
        </w:rPr>
        <w:t>0万元，完成预算100%。全年安排因公出国（境）团组0次，出国（境）0人。因公出国（境）支出决算与2021年决算数持平。</w:t>
      </w:r>
    </w:p>
    <w:p>
      <w:pPr>
        <w:spacing w:line="600" w:lineRule="exact"/>
        <w:ind w:firstLine="640"/>
        <w:rPr>
          <w:rFonts w:eastAsia="方正仿宋简体"/>
          <w:b/>
          <w:sz w:val="32"/>
          <w:szCs w:val="32"/>
        </w:rPr>
      </w:pPr>
      <w:r>
        <w:rPr>
          <w:rFonts w:eastAsia="方正仿宋简体"/>
          <w:b/>
          <w:sz w:val="32"/>
          <w:szCs w:val="32"/>
        </w:rPr>
        <w:t>2.公务用车购置及运行维护费支出</w:t>
      </w:r>
      <w:r>
        <w:rPr>
          <w:rFonts w:eastAsia="方正仿宋简体"/>
          <w:sz w:val="32"/>
          <w:szCs w:val="32"/>
        </w:rPr>
        <w:t>2.56万元,</w:t>
      </w:r>
      <w:r>
        <w:rPr>
          <w:rStyle w:val="14"/>
          <w:rFonts w:eastAsia="方正仿宋简体"/>
          <w:b w:val="0"/>
          <w:bCs/>
          <w:sz w:val="32"/>
          <w:szCs w:val="32"/>
        </w:rPr>
        <w:t>完成预算100%。</w:t>
      </w:r>
      <w:r>
        <w:rPr>
          <w:rFonts w:eastAsia="方正仿宋简体"/>
          <w:sz w:val="32"/>
          <w:szCs w:val="32"/>
        </w:rPr>
        <w:t>公务用车购置及运行维护费支出决算比2021年减少2.28万元，下降47.11%。主要原因是2021年额外</w:t>
      </w:r>
      <w:r>
        <w:rPr>
          <w:rFonts w:eastAsia="方正仿宋简体"/>
          <w:color w:val="000000"/>
          <w:sz w:val="32"/>
          <w:szCs w:val="32"/>
        </w:rPr>
        <w:t>支付了新车购置税及附加</w:t>
      </w:r>
      <w:r>
        <w:rPr>
          <w:rFonts w:eastAsia="方正仿宋简体"/>
          <w:sz w:val="32"/>
          <w:szCs w:val="32"/>
        </w:rPr>
        <w:t>。</w:t>
      </w:r>
    </w:p>
    <w:p>
      <w:pPr>
        <w:spacing w:line="600" w:lineRule="exact"/>
        <w:ind w:firstLine="640" w:firstLineChars="200"/>
        <w:rPr>
          <w:rFonts w:eastAsia="方正仿宋简体"/>
          <w:b/>
          <w:sz w:val="32"/>
          <w:szCs w:val="32"/>
        </w:rPr>
      </w:pPr>
      <w:r>
        <w:rPr>
          <w:rFonts w:eastAsia="方正仿宋简体"/>
          <w:sz w:val="32"/>
          <w:szCs w:val="32"/>
        </w:rPr>
        <w:t>其中：</w:t>
      </w:r>
      <w:r>
        <w:rPr>
          <w:rFonts w:eastAsia="方正仿宋简体"/>
          <w:b/>
          <w:sz w:val="32"/>
          <w:szCs w:val="32"/>
        </w:rPr>
        <w:t>公务用车购置支出</w:t>
      </w:r>
      <w:r>
        <w:rPr>
          <w:rFonts w:eastAsia="方正仿宋简体"/>
          <w:sz w:val="32"/>
          <w:szCs w:val="32"/>
        </w:rPr>
        <w:t>0万元。全年按规定更新购置公务用车0辆，</w:t>
      </w:r>
      <w:r>
        <w:rPr>
          <w:rFonts w:eastAsia="方正仿宋简体"/>
          <w:color w:val="000000"/>
          <w:sz w:val="32"/>
          <w:szCs w:val="32"/>
        </w:rPr>
        <w:t>其中：轿车0辆、金额0万元，越野车0辆、金额0万元，载客汽车0辆、金额0万元。截至2022年12月底，单位共有公务用车4辆，其中：轿车0辆、越野车0辆、载客汽车4辆</w:t>
      </w:r>
      <w:r>
        <w:rPr>
          <w:rFonts w:eastAsia="方正仿宋简体"/>
          <w:sz w:val="32"/>
          <w:szCs w:val="32"/>
        </w:rPr>
        <w:t>。</w:t>
      </w:r>
    </w:p>
    <w:p>
      <w:pPr>
        <w:spacing w:line="600" w:lineRule="exact"/>
        <w:ind w:firstLine="640"/>
        <w:rPr>
          <w:rFonts w:eastAsia="方正仿宋简体"/>
          <w:sz w:val="32"/>
          <w:szCs w:val="32"/>
        </w:rPr>
      </w:pPr>
      <w:r>
        <w:rPr>
          <w:rFonts w:eastAsia="方正仿宋简体"/>
          <w:b/>
          <w:sz w:val="32"/>
          <w:szCs w:val="32"/>
        </w:rPr>
        <w:t>公务用车运行维护费支出</w:t>
      </w:r>
      <w:r>
        <w:rPr>
          <w:rFonts w:eastAsia="方正仿宋简体"/>
          <w:sz w:val="32"/>
          <w:szCs w:val="32"/>
        </w:rPr>
        <w:t>2.56万元。</w:t>
      </w:r>
      <w:r>
        <w:rPr>
          <w:rFonts w:eastAsia="方正仿宋简体"/>
          <w:color w:val="000000"/>
          <w:sz w:val="32"/>
          <w:szCs w:val="32"/>
        </w:rPr>
        <w:t>主要用于接送救助人员返乡支出等所需的公务用车燃料费、维修费、过路过桥费、保险费等支出。</w:t>
      </w:r>
    </w:p>
    <w:p>
      <w:pPr>
        <w:spacing w:line="600" w:lineRule="exact"/>
        <w:ind w:firstLine="642" w:firstLineChars="200"/>
        <w:rPr>
          <w:rFonts w:eastAsia="方正仿宋简体"/>
          <w:color w:val="000000"/>
          <w:sz w:val="32"/>
          <w:szCs w:val="32"/>
        </w:rPr>
      </w:pPr>
      <w:r>
        <w:rPr>
          <w:rFonts w:eastAsia="方正仿宋简体"/>
          <w:b/>
          <w:sz w:val="32"/>
          <w:szCs w:val="32"/>
        </w:rPr>
        <w:t>3.公务接待费支出</w:t>
      </w:r>
      <w:r>
        <w:rPr>
          <w:rFonts w:eastAsia="方正仿宋简体"/>
          <w:sz w:val="32"/>
          <w:szCs w:val="32"/>
        </w:rPr>
        <w:t>0.52万元，</w:t>
      </w:r>
      <w:r>
        <w:rPr>
          <w:rStyle w:val="14"/>
          <w:rFonts w:eastAsia="方正仿宋简体"/>
          <w:b w:val="0"/>
          <w:bCs/>
          <w:sz w:val="32"/>
          <w:szCs w:val="32"/>
        </w:rPr>
        <w:t>完成预算100%。</w:t>
      </w:r>
      <w:r>
        <w:rPr>
          <w:rFonts w:eastAsia="方正仿宋简体"/>
          <w:sz w:val="32"/>
          <w:szCs w:val="32"/>
        </w:rPr>
        <w:t>公务接待费支出决算比2021年减少0.84万元，下降61.76%。主要原因是</w:t>
      </w:r>
      <w:r>
        <w:rPr>
          <w:rFonts w:eastAsia="方正仿宋简体"/>
          <w:color w:val="000000"/>
          <w:sz w:val="32"/>
          <w:szCs w:val="32"/>
        </w:rPr>
        <w:t>疫情形势严峻，其他站工作人员来站接领救助人员返乡次数减少。</w:t>
      </w:r>
    </w:p>
    <w:p>
      <w:pPr>
        <w:spacing w:line="600" w:lineRule="exact"/>
        <w:ind w:firstLine="642" w:firstLineChars="200"/>
        <w:rPr>
          <w:rFonts w:eastAsia="仿宋_GB2312"/>
          <w:sz w:val="32"/>
          <w:szCs w:val="32"/>
        </w:rPr>
      </w:pPr>
      <w:r>
        <w:rPr>
          <w:rFonts w:eastAsia="方正仿宋简体"/>
          <w:b/>
          <w:sz w:val="32"/>
          <w:szCs w:val="32"/>
        </w:rPr>
        <w:t>国内公务接待支出</w:t>
      </w:r>
      <w:r>
        <w:rPr>
          <w:rFonts w:eastAsia="方正仿宋简体"/>
          <w:sz w:val="32"/>
          <w:szCs w:val="32"/>
        </w:rPr>
        <w:t>0.52万元，</w:t>
      </w:r>
      <w:r>
        <w:rPr>
          <w:rFonts w:eastAsia="方正仿宋简体"/>
          <w:color w:val="000000"/>
          <w:sz w:val="32"/>
          <w:szCs w:val="32"/>
        </w:rPr>
        <w:t>主要用于接待各市、州站护送受助人员来攀工作人员工作餐支出。</w:t>
      </w:r>
      <w:r>
        <w:rPr>
          <w:rFonts w:eastAsia="方正仿宋简体"/>
          <w:sz w:val="32"/>
          <w:szCs w:val="32"/>
        </w:rPr>
        <w:t>国内公务接待14批次，47人次（不包括陪同人员），共计支出0.52万</w:t>
      </w:r>
      <w:r>
        <w:rPr>
          <w:rFonts w:eastAsia="仿宋_GB2312"/>
          <w:sz w:val="32"/>
          <w:szCs w:val="32"/>
        </w:rPr>
        <w:t>元，具体内容包括：</w:t>
      </w:r>
      <w:r>
        <w:rPr>
          <w:rFonts w:eastAsia="仿宋_GB2312"/>
          <w:color w:val="000000"/>
          <w:sz w:val="32"/>
          <w:szCs w:val="32"/>
        </w:rPr>
        <w:t>接待护送受助人员来我市的各救助站点工作人员支出0.52万元。</w:t>
      </w:r>
    </w:p>
    <w:p>
      <w:pPr>
        <w:spacing w:line="600" w:lineRule="exact"/>
        <w:ind w:firstLine="642" w:firstLineChars="200"/>
        <w:rPr>
          <w:rFonts w:eastAsia="方正仿宋简体"/>
          <w:color w:val="000000"/>
          <w:sz w:val="32"/>
          <w:szCs w:val="32"/>
        </w:rPr>
      </w:pPr>
      <w:r>
        <w:rPr>
          <w:rFonts w:eastAsia="方正仿宋简体"/>
          <w:b/>
          <w:bCs/>
          <w:color w:val="000000"/>
          <w:sz w:val="32"/>
          <w:szCs w:val="32"/>
        </w:rPr>
        <w:t>外事接待支出</w:t>
      </w:r>
      <w:r>
        <w:rPr>
          <w:rFonts w:eastAsia="方正仿宋简体"/>
          <w:color w:val="000000"/>
          <w:sz w:val="32"/>
          <w:szCs w:val="32"/>
        </w:rPr>
        <w:t>0万元，外事接待0批次0人，共计支出0万元。</w:t>
      </w:r>
    </w:p>
    <w:p>
      <w:pPr>
        <w:spacing w:line="600" w:lineRule="exact"/>
        <w:ind w:firstLine="640"/>
        <w:outlineLvl w:val="1"/>
        <w:rPr>
          <w:rStyle w:val="25"/>
          <w:rFonts w:ascii="Times New Roman" w:hAnsi="Times New Roman" w:eastAsia="黑体" w:cs="Times New Roman"/>
        </w:rPr>
      </w:pPr>
      <w:bookmarkStart w:id="64" w:name="_Toc27553"/>
      <w:bookmarkStart w:id="65" w:name="_Toc15396610"/>
      <w:bookmarkStart w:id="66" w:name="_Toc15377218"/>
      <w:r>
        <w:rPr>
          <w:rFonts w:eastAsia="黑体"/>
          <w:sz w:val="32"/>
          <w:szCs w:val="32"/>
        </w:rPr>
        <w:t>八、</w:t>
      </w:r>
      <w:r>
        <w:rPr>
          <w:rStyle w:val="25"/>
          <w:rFonts w:ascii="Times New Roman" w:hAnsi="Times New Roman" w:eastAsia="黑体" w:cs="Times New Roman"/>
          <w:b w:val="0"/>
        </w:rPr>
        <w:t>政府性基金预算支出决算情况说明</w:t>
      </w:r>
      <w:bookmarkEnd w:id="64"/>
      <w:bookmarkEnd w:id="65"/>
      <w:bookmarkEnd w:id="66"/>
    </w:p>
    <w:p>
      <w:pPr>
        <w:spacing w:line="600" w:lineRule="exact"/>
        <w:ind w:firstLine="640"/>
        <w:rPr>
          <w:rFonts w:eastAsia="方正仿宋简体"/>
          <w:sz w:val="32"/>
          <w:szCs w:val="32"/>
        </w:rPr>
      </w:pPr>
      <w:r>
        <w:rPr>
          <w:rFonts w:eastAsia="方正仿宋简体"/>
          <w:sz w:val="32"/>
          <w:szCs w:val="32"/>
        </w:rPr>
        <w:t>2022年政府性基金预算财政拨款支出29.05万元。</w:t>
      </w:r>
    </w:p>
    <w:p>
      <w:pPr>
        <w:numPr>
          <w:ilvl w:val="0"/>
          <w:numId w:val="3"/>
        </w:numPr>
        <w:spacing w:line="600" w:lineRule="exact"/>
        <w:ind w:firstLine="640"/>
        <w:outlineLvl w:val="1"/>
        <w:rPr>
          <w:rStyle w:val="25"/>
          <w:rFonts w:ascii="Times New Roman" w:hAnsi="Times New Roman" w:eastAsia="黑体" w:cs="Times New Roman"/>
          <w:b w:val="0"/>
        </w:rPr>
      </w:pPr>
      <w:bookmarkStart w:id="67" w:name="_Toc15377219"/>
      <w:bookmarkStart w:id="68" w:name="_Toc15396611"/>
      <w:bookmarkStart w:id="69" w:name="_Toc8272"/>
      <w:r>
        <w:rPr>
          <w:rStyle w:val="25"/>
          <w:rFonts w:ascii="Times New Roman" w:hAnsi="Times New Roman" w:eastAsia="黑体" w:cs="Times New Roman"/>
          <w:b w:val="0"/>
        </w:rPr>
        <w:t>国有资本经营预算支出决算情况说明</w:t>
      </w:r>
      <w:bookmarkEnd w:id="67"/>
      <w:bookmarkEnd w:id="68"/>
      <w:bookmarkEnd w:id="69"/>
    </w:p>
    <w:p>
      <w:pPr>
        <w:spacing w:line="600" w:lineRule="exact"/>
        <w:ind w:firstLine="640"/>
        <w:rPr>
          <w:rFonts w:eastAsia="方正仿宋简体"/>
          <w:sz w:val="44"/>
          <w:szCs w:val="44"/>
        </w:rPr>
      </w:pPr>
      <w:r>
        <w:rPr>
          <w:rFonts w:eastAsia="方正仿宋简体"/>
          <w:sz w:val="32"/>
          <w:szCs w:val="32"/>
        </w:rPr>
        <w:t>2022年国有资本经营预算财政拨款支出0万元。</w:t>
      </w:r>
    </w:p>
    <w:p>
      <w:pPr>
        <w:numPr>
          <w:ilvl w:val="0"/>
          <w:numId w:val="3"/>
        </w:numPr>
        <w:spacing w:line="600" w:lineRule="exact"/>
        <w:ind w:firstLine="640"/>
        <w:outlineLvl w:val="1"/>
        <w:rPr>
          <w:rStyle w:val="25"/>
          <w:rFonts w:ascii="Times New Roman" w:hAnsi="Times New Roman" w:eastAsia="黑体" w:cs="Times New Roman"/>
          <w:b w:val="0"/>
        </w:rPr>
      </w:pPr>
      <w:bookmarkStart w:id="70" w:name="_Toc6234"/>
      <w:bookmarkStart w:id="71" w:name="_Toc15377221"/>
      <w:bookmarkStart w:id="72" w:name="_Toc15396612"/>
      <w:r>
        <w:rPr>
          <w:rStyle w:val="25"/>
          <w:rFonts w:ascii="Times New Roman" w:hAnsi="Times New Roman" w:eastAsia="黑体" w:cs="Times New Roman"/>
          <w:b w:val="0"/>
        </w:rPr>
        <w:t>其他重要事项的情况说明</w:t>
      </w:r>
      <w:bookmarkEnd w:id="70"/>
      <w:bookmarkEnd w:id="71"/>
      <w:bookmarkEnd w:id="72"/>
    </w:p>
    <w:p>
      <w:pPr>
        <w:spacing w:line="600" w:lineRule="exact"/>
        <w:ind w:firstLine="642" w:firstLineChars="200"/>
        <w:outlineLvl w:val="2"/>
        <w:rPr>
          <w:rFonts w:eastAsia="楷体_GB2312"/>
          <w:b/>
          <w:sz w:val="32"/>
          <w:szCs w:val="32"/>
        </w:rPr>
      </w:pPr>
      <w:bookmarkStart w:id="73" w:name="_Toc18599"/>
      <w:bookmarkStart w:id="74" w:name="_Toc15377222"/>
      <w:r>
        <w:rPr>
          <w:rFonts w:eastAsia="楷体_GB2312"/>
          <w:b/>
          <w:sz w:val="32"/>
          <w:szCs w:val="32"/>
        </w:rPr>
        <w:t>（一）机关运行经费支出情况</w:t>
      </w:r>
      <w:bookmarkEnd w:id="73"/>
      <w:bookmarkEnd w:id="74"/>
    </w:p>
    <w:p>
      <w:pPr>
        <w:pStyle w:val="2"/>
        <w:spacing w:before="93"/>
        <w:ind w:firstLine="640" w:firstLineChars="200"/>
        <w:rPr>
          <w:rFonts w:ascii="Times New Roman" w:eastAsia="方正仿宋简体"/>
          <w:sz w:val="32"/>
          <w:szCs w:val="32"/>
        </w:rPr>
      </w:pPr>
      <w:r>
        <w:rPr>
          <w:rFonts w:ascii="Times New Roman" w:eastAsia="方正仿宋简体"/>
          <w:sz w:val="32"/>
          <w:szCs w:val="32"/>
        </w:rPr>
        <w:t>市救助站为事业单位，按规定未使用机关运行的相关科目。</w:t>
      </w:r>
    </w:p>
    <w:p>
      <w:pPr>
        <w:spacing w:line="600" w:lineRule="exact"/>
        <w:ind w:firstLine="642" w:firstLineChars="200"/>
        <w:outlineLvl w:val="2"/>
        <w:rPr>
          <w:rFonts w:eastAsia="楷体_GB2312"/>
          <w:b/>
          <w:sz w:val="32"/>
          <w:szCs w:val="32"/>
        </w:rPr>
      </w:pPr>
      <w:bookmarkStart w:id="75" w:name="_Toc7792"/>
      <w:bookmarkStart w:id="76" w:name="_Toc15377223"/>
      <w:r>
        <w:rPr>
          <w:rFonts w:eastAsia="楷体_GB2312"/>
          <w:b/>
          <w:sz w:val="32"/>
          <w:szCs w:val="32"/>
        </w:rPr>
        <w:t>（二）政府采购支出情况</w:t>
      </w:r>
      <w:bookmarkEnd w:id="75"/>
      <w:bookmarkEnd w:id="76"/>
    </w:p>
    <w:p>
      <w:pPr>
        <w:pStyle w:val="2"/>
        <w:spacing w:before="93"/>
        <w:ind w:firstLine="640" w:firstLineChars="200"/>
        <w:rPr>
          <w:rFonts w:ascii="Times New Roman" w:eastAsia="方正仿宋简体"/>
          <w:sz w:val="32"/>
          <w:szCs w:val="32"/>
        </w:rPr>
      </w:pPr>
      <w:r>
        <w:rPr>
          <w:rFonts w:ascii="Times New Roman" w:eastAsia="方正仿宋简体"/>
          <w:sz w:val="32"/>
          <w:szCs w:val="32"/>
        </w:rPr>
        <w:t>2022年，市救助站政府采购支出总额29.37万元，其中：政府采购货物支出0万元、政府采购工程支出0万元、政府采购服务支出29.37万元。主要用于提供流浪乞讨救助人员生活照护服务，包括秩序维护、防疫保洁、饮食保障、照料照护等内容。授予中小企业合同金额29.46万元，占政府采购支出总额的100%，其中：授予小微企业合同金额0万元，占政府采购支出总额的0%。</w:t>
      </w:r>
    </w:p>
    <w:p>
      <w:pPr>
        <w:spacing w:line="600" w:lineRule="exact"/>
        <w:ind w:firstLine="642" w:firstLineChars="200"/>
        <w:outlineLvl w:val="2"/>
        <w:rPr>
          <w:rFonts w:eastAsia="楷体_GB2312"/>
          <w:b/>
          <w:sz w:val="32"/>
          <w:szCs w:val="32"/>
        </w:rPr>
      </w:pPr>
      <w:bookmarkStart w:id="77" w:name="_Toc6458"/>
      <w:bookmarkStart w:id="78" w:name="_Toc15377224"/>
      <w:r>
        <w:rPr>
          <w:rFonts w:eastAsia="楷体_GB2312"/>
          <w:b/>
          <w:sz w:val="32"/>
          <w:szCs w:val="32"/>
        </w:rPr>
        <w:t>（三）国有资产占有使用情况</w:t>
      </w:r>
      <w:bookmarkEnd w:id="77"/>
      <w:bookmarkEnd w:id="78"/>
    </w:p>
    <w:p>
      <w:pPr>
        <w:pStyle w:val="2"/>
        <w:spacing w:before="93"/>
        <w:ind w:firstLine="640" w:firstLineChars="200"/>
        <w:rPr>
          <w:rFonts w:ascii="Times New Roman" w:eastAsia="方正仿宋简体"/>
          <w:sz w:val="32"/>
          <w:szCs w:val="32"/>
        </w:rPr>
      </w:pPr>
      <w:r>
        <w:rPr>
          <w:rFonts w:ascii="Times New Roman" w:eastAsia="方正仿宋简体"/>
          <w:sz w:val="32"/>
          <w:szCs w:val="32"/>
        </w:rPr>
        <w:t>截至2022年12月31日，市救助站共有车辆4辆，其中：主要领导干部用车0辆、机要通信用车0辆、应急保障用车3辆、其他用车1辆，其他用车主要是用于接送受助人员返乡及单位正常运转公务用车。单价100万元以上专用设备0台（套）。</w:t>
      </w:r>
    </w:p>
    <w:p>
      <w:pPr>
        <w:spacing w:line="600" w:lineRule="exact"/>
        <w:ind w:firstLine="642" w:firstLineChars="200"/>
        <w:outlineLvl w:val="2"/>
        <w:rPr>
          <w:rFonts w:eastAsia="楷体_GB2312"/>
          <w:b/>
          <w:sz w:val="32"/>
          <w:szCs w:val="32"/>
        </w:rPr>
      </w:pPr>
      <w:bookmarkStart w:id="79" w:name="_Toc25566"/>
      <w:r>
        <w:rPr>
          <w:rFonts w:eastAsia="楷体_GB2312"/>
          <w:b/>
          <w:sz w:val="32"/>
          <w:szCs w:val="32"/>
        </w:rPr>
        <w:t>（四）预算绩效管理情况</w:t>
      </w:r>
      <w:bookmarkEnd w:id="79"/>
    </w:p>
    <w:p>
      <w:pPr>
        <w:pStyle w:val="2"/>
        <w:spacing w:before="93"/>
        <w:ind w:firstLine="640" w:firstLineChars="200"/>
        <w:rPr>
          <w:rFonts w:ascii="Times New Roman" w:eastAsia="方正仿宋简体"/>
          <w:sz w:val="32"/>
          <w:szCs w:val="32"/>
        </w:rPr>
      </w:pPr>
      <w:r>
        <w:rPr>
          <w:rFonts w:ascii="Times New Roman" w:eastAsia="方正仿宋简体"/>
          <w:sz w:val="32"/>
          <w:szCs w:val="32"/>
        </w:rPr>
        <w:t>根据预算绩效管理要求，本单位在2022年度预算编制阶段，组织对困难群众救助补助资金项目、疫情防控隔离设施修建及维修维护项目、救助管理机构能力提升项目、阳光同行体检费项目、设施设备更新改造项目、疫情防控专项资金项目、市救助站安全隐患整改及设备维护维修项目等7个项目开展了预算事前绩效评估，对7个项目编制了绩效目标，预算执行过程中，选取7个项目开展绩效监控，组织对7个项目开展绩效自评，绩效自评表详见第四部分附件。</w:t>
      </w:r>
    </w:p>
    <w:p>
      <w:pPr>
        <w:widowControl/>
        <w:jc w:val="left"/>
        <w:rPr>
          <w:rFonts w:eastAsia="方正仿宋简体"/>
          <w:b/>
          <w:sz w:val="32"/>
          <w:szCs w:val="32"/>
        </w:rPr>
      </w:pPr>
      <w:r>
        <w:rPr>
          <w:rFonts w:eastAsia="方正仿宋简体"/>
          <w:b/>
          <w:sz w:val="32"/>
          <w:szCs w:val="32"/>
        </w:rPr>
        <w:br w:type="page"/>
      </w:r>
    </w:p>
    <w:p>
      <w:pPr>
        <w:numPr>
          <w:ilvl w:val="0"/>
          <w:numId w:val="4"/>
        </w:numPr>
        <w:spacing w:line="600" w:lineRule="exact"/>
        <w:ind w:firstLine="660" w:firstLineChars="150"/>
        <w:jc w:val="center"/>
        <w:outlineLvl w:val="0"/>
        <w:rPr>
          <w:rStyle w:val="24"/>
          <w:rFonts w:eastAsia="黑体"/>
          <w:b w:val="0"/>
        </w:rPr>
      </w:pPr>
      <w:bookmarkStart w:id="80" w:name="_Toc15377225"/>
      <w:bookmarkStart w:id="81" w:name="_Toc1184"/>
      <w:bookmarkStart w:id="82" w:name="_Toc15396613"/>
      <w:r>
        <w:rPr>
          <w:rFonts w:eastAsia="黑体"/>
          <w:sz w:val="44"/>
          <w:szCs w:val="44"/>
        </w:rPr>
        <w:t>名</w:t>
      </w:r>
      <w:r>
        <w:rPr>
          <w:rStyle w:val="24"/>
          <w:rFonts w:eastAsia="黑体"/>
          <w:b w:val="0"/>
        </w:rPr>
        <w:t>词解释</w:t>
      </w:r>
      <w:bookmarkEnd w:id="80"/>
      <w:bookmarkEnd w:id="81"/>
      <w:bookmarkEnd w:id="82"/>
    </w:p>
    <w:p>
      <w:pPr>
        <w:spacing w:line="600" w:lineRule="exact"/>
        <w:jc w:val="left"/>
        <w:rPr>
          <w:b/>
          <w:sz w:val="44"/>
          <w:szCs w:val="44"/>
        </w:rPr>
      </w:pPr>
    </w:p>
    <w:p>
      <w:pPr>
        <w:pStyle w:val="22"/>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1.财政拨款收入：指单位从同级财政部门取得的财政预算资金。</w:t>
      </w:r>
    </w:p>
    <w:p>
      <w:pPr>
        <w:pStyle w:val="22"/>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2.其他收入：指单位取得的除上述收入以外的各项收入。主要是利息收入等。</w:t>
      </w:r>
    </w:p>
    <w:p>
      <w:pPr>
        <w:pStyle w:val="22"/>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3.年初结转和结余：指以前年度尚未完成、结转到本年按有关规定继续使用的资金。</w:t>
      </w:r>
    </w:p>
    <w:p>
      <w:pPr>
        <w:pStyle w:val="22"/>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4.年末结转和结余：指单位按有关规定结转到下年或以后年度继续使用的资金。</w:t>
      </w:r>
    </w:p>
    <w:p>
      <w:pPr>
        <w:ind w:firstLine="640" w:firstLineChars="200"/>
        <w:rPr>
          <w:rFonts w:eastAsia="方正仿宋简体"/>
          <w:color w:val="000000"/>
          <w:sz w:val="32"/>
          <w:szCs w:val="32"/>
        </w:rPr>
      </w:pPr>
      <w:r>
        <w:rPr>
          <w:rFonts w:eastAsia="方正仿宋简体"/>
          <w:color w:val="000000"/>
          <w:sz w:val="32"/>
          <w:szCs w:val="32"/>
        </w:rPr>
        <w:t>5.社会保障和就业（类）临时救助（款）流浪乞讨人员救助支出（项）：指用于生活无着的流浪乞讨人员的救助支出和救助管理机构的运转支出。</w:t>
      </w:r>
    </w:p>
    <w:p>
      <w:pPr>
        <w:ind w:firstLine="640" w:firstLineChars="200"/>
        <w:rPr>
          <w:rFonts w:eastAsia="方正仿宋简体"/>
          <w:color w:val="000000"/>
          <w:sz w:val="32"/>
          <w:szCs w:val="32"/>
        </w:rPr>
      </w:pPr>
      <w:r>
        <w:rPr>
          <w:rFonts w:eastAsia="方正仿宋简体"/>
          <w:color w:val="000000"/>
          <w:sz w:val="32"/>
          <w:szCs w:val="32"/>
        </w:rPr>
        <w:t>6.社会保障和就业（类）行政事业单位养老支出（款）机关事业单位基本养老保险缴费支出（项）：反映机关事业单位实施养老保险制度由单位缴纳的基本养老保险费支出。</w:t>
      </w:r>
    </w:p>
    <w:p>
      <w:pPr>
        <w:ind w:firstLine="640" w:firstLineChars="200"/>
        <w:rPr>
          <w:rFonts w:eastAsia="方正仿宋简体"/>
          <w:color w:val="000000"/>
          <w:sz w:val="32"/>
          <w:szCs w:val="32"/>
        </w:rPr>
      </w:pPr>
      <w:r>
        <w:rPr>
          <w:rFonts w:eastAsia="方正仿宋简体"/>
          <w:color w:val="000000"/>
          <w:sz w:val="32"/>
          <w:szCs w:val="32"/>
        </w:rPr>
        <w:t>7.社会保障和就业（类）行政事业单位离退休（款）事业单位离退休（项）：反映实行归口管理的事业单位开支的离退休经费。</w:t>
      </w:r>
    </w:p>
    <w:p>
      <w:pPr>
        <w:ind w:firstLine="640" w:firstLineChars="200"/>
        <w:rPr>
          <w:rFonts w:eastAsia="方正仿宋简体"/>
          <w:color w:val="000000"/>
          <w:sz w:val="32"/>
          <w:szCs w:val="32"/>
        </w:rPr>
      </w:pPr>
      <w:r>
        <w:rPr>
          <w:rFonts w:eastAsia="方正仿宋简体"/>
          <w:color w:val="000000"/>
          <w:sz w:val="32"/>
          <w:szCs w:val="32"/>
        </w:rPr>
        <w:t>8.住房保障（类）住房改革支出（款）住房公积金（项）：反映行政事业单位按人力资源和社会保障部、财政部规定的基本工资和津贴补贴以及规定比例为职工缴纳的住房公积金。</w:t>
      </w:r>
    </w:p>
    <w:p>
      <w:pPr>
        <w:ind w:firstLine="640" w:firstLineChars="200"/>
        <w:rPr>
          <w:rFonts w:eastAsia="方正仿宋简体"/>
          <w:color w:val="000000"/>
          <w:sz w:val="32"/>
          <w:szCs w:val="32"/>
        </w:rPr>
      </w:pPr>
      <w:r>
        <w:rPr>
          <w:rFonts w:eastAsia="方正仿宋简体"/>
          <w:color w:val="000000"/>
          <w:sz w:val="32"/>
          <w:szCs w:val="32"/>
        </w:rPr>
        <w:t>9.其他支出（类）彩票公益金安排的支出（款）用于社会福利的彩票公益金支出（项）反映用于社会福利和社会救助的彩票公益金支出。</w:t>
      </w:r>
    </w:p>
    <w:p>
      <w:pPr>
        <w:ind w:firstLine="640" w:firstLineChars="200"/>
        <w:rPr>
          <w:rFonts w:eastAsia="方正仿宋简体"/>
          <w:color w:val="000000"/>
          <w:sz w:val="32"/>
          <w:szCs w:val="32"/>
        </w:rPr>
      </w:pPr>
      <w:r>
        <w:rPr>
          <w:rFonts w:eastAsia="方正仿宋简体"/>
          <w:color w:val="000000"/>
          <w:sz w:val="32"/>
          <w:szCs w:val="32"/>
        </w:rPr>
        <w:t>10.基本支出：指为保障机构正常运转、完成日常工作任务而发生的人员支出和公用支出。</w:t>
      </w:r>
    </w:p>
    <w:p>
      <w:pPr>
        <w:ind w:firstLine="640" w:firstLineChars="200"/>
        <w:rPr>
          <w:rFonts w:eastAsia="方正仿宋简体"/>
          <w:color w:val="000000"/>
          <w:sz w:val="32"/>
          <w:szCs w:val="32"/>
        </w:rPr>
      </w:pPr>
      <w:r>
        <w:rPr>
          <w:rFonts w:eastAsia="方正仿宋简体"/>
          <w:color w:val="000000"/>
          <w:sz w:val="32"/>
          <w:szCs w:val="32"/>
        </w:rPr>
        <w:t>11.项目支出：指在基本支出之外为完成特定行政任务和事业发展目标所发生的支出。</w:t>
      </w:r>
    </w:p>
    <w:p>
      <w:pPr>
        <w:pStyle w:val="22"/>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jc w:val="center"/>
        <w:outlineLvl w:val="0"/>
        <w:rPr>
          <w:rStyle w:val="24"/>
          <w:rFonts w:eastAsia="黑体"/>
          <w:b w:val="0"/>
        </w:rPr>
      </w:pPr>
      <w:r>
        <w:rPr>
          <w:rFonts w:eastAsia="仿宋_GB2312"/>
          <w:sz w:val="32"/>
          <w:szCs w:val="32"/>
        </w:rPr>
        <w:br w:type="page"/>
      </w:r>
      <w:bookmarkStart w:id="83" w:name="_Toc15396614"/>
      <w:bookmarkStart w:id="84" w:name="_Toc19264"/>
      <w:bookmarkStart w:id="85" w:name="_Toc15377226"/>
      <w:r>
        <w:rPr>
          <w:rFonts w:eastAsia="黑体"/>
          <w:sz w:val="44"/>
          <w:szCs w:val="44"/>
        </w:rPr>
        <w:t>第</w:t>
      </w:r>
      <w:r>
        <w:rPr>
          <w:rStyle w:val="24"/>
          <w:rFonts w:eastAsia="黑体"/>
          <w:b w:val="0"/>
        </w:rPr>
        <w:t>四部分 附件</w:t>
      </w:r>
      <w:bookmarkEnd w:id="83"/>
      <w:bookmarkEnd w:id="84"/>
    </w:p>
    <w:p>
      <w:pPr>
        <w:spacing w:line="572" w:lineRule="exact"/>
        <w:jc w:val="left"/>
        <w:rPr>
          <w:rFonts w:eastAsia="仿宋_GB2312"/>
          <w:sz w:val="32"/>
          <w:szCs w:val="32"/>
        </w:rPr>
      </w:pPr>
    </w:p>
    <w:p>
      <w:pPr>
        <w:spacing w:line="600" w:lineRule="exact"/>
        <w:jc w:val="center"/>
        <w:outlineLvl w:val="1"/>
        <w:rPr>
          <w:rFonts w:eastAsia="方正仿宋简体"/>
          <w:kern w:val="0"/>
          <w:sz w:val="32"/>
          <w:szCs w:val="32"/>
        </w:rPr>
      </w:pPr>
      <w:bookmarkStart w:id="86" w:name="_Toc15326"/>
      <w:bookmarkStart w:id="87" w:name="_Toc15396618"/>
      <w:r>
        <w:rPr>
          <w:rFonts w:eastAsia="方正仿宋简体"/>
          <w:kern w:val="0"/>
          <w:sz w:val="32"/>
          <w:szCs w:val="32"/>
        </w:rPr>
        <w:t>部门预算项目支出绩效自评表（2022年度）见附件</w:t>
      </w:r>
      <w:bookmarkEnd w:id="86"/>
      <w:r>
        <w:rPr>
          <w:rFonts w:hint="eastAsia" w:eastAsia="方正仿宋简体"/>
          <w:kern w:val="0"/>
          <w:sz w:val="32"/>
          <w:szCs w:val="32"/>
        </w:rPr>
        <w:t>3</w:t>
      </w: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pStyle w:val="2"/>
        <w:spacing w:before="93"/>
        <w:rPr>
          <w:rFonts w:ascii="Times New Roman"/>
          <w:sz w:val="32"/>
          <w:szCs w:val="32"/>
        </w:rPr>
      </w:pPr>
    </w:p>
    <w:p>
      <w:pPr>
        <w:spacing w:line="600" w:lineRule="exact"/>
        <w:jc w:val="center"/>
        <w:outlineLvl w:val="0"/>
        <w:rPr>
          <w:rFonts w:eastAsia="仿宋"/>
        </w:rPr>
      </w:pPr>
      <w:bookmarkStart w:id="88" w:name="_Toc3954"/>
      <w:r>
        <w:rPr>
          <w:rFonts w:eastAsia="黑体"/>
          <w:sz w:val="44"/>
          <w:szCs w:val="44"/>
        </w:rPr>
        <w:t>第</w:t>
      </w:r>
      <w:r>
        <w:rPr>
          <w:rStyle w:val="24"/>
          <w:rFonts w:eastAsia="黑体"/>
          <w:b w:val="0"/>
        </w:rPr>
        <w:t>五部分 附表</w:t>
      </w:r>
      <w:bookmarkEnd w:id="85"/>
      <w:bookmarkEnd w:id="87"/>
      <w:bookmarkEnd w:id="88"/>
      <w:bookmarkStart w:id="89" w:name="_Toc15396619"/>
    </w:p>
    <w:p>
      <w:pPr>
        <w:pStyle w:val="4"/>
        <w:rPr>
          <w:rFonts w:ascii="Times New Roman" w:hAnsi="Times New Roman" w:eastAsia="方正仿宋简体" w:cs="Times New Roman"/>
        </w:rPr>
      </w:pPr>
      <w:bookmarkStart w:id="90" w:name="_Toc1683"/>
      <w:r>
        <w:rPr>
          <w:rFonts w:ascii="Times New Roman" w:hAnsi="Times New Roman" w:eastAsia="方正仿宋简体" w:cs="Times New Roman"/>
          <w:b w:val="0"/>
        </w:rPr>
        <w:t>一、收</w:t>
      </w:r>
      <w:r>
        <w:rPr>
          <w:rStyle w:val="25"/>
          <w:rFonts w:ascii="Times New Roman" w:hAnsi="Times New Roman" w:eastAsia="方正仿宋简体" w:cs="Times New Roman"/>
          <w:b w:val="0"/>
          <w:bCs w:val="0"/>
        </w:rPr>
        <w:t>入支出决算总表</w:t>
      </w:r>
      <w:bookmarkEnd w:id="89"/>
      <w:bookmarkEnd w:id="90"/>
    </w:p>
    <w:p>
      <w:pPr>
        <w:pStyle w:val="4"/>
        <w:rPr>
          <w:rFonts w:ascii="Times New Roman" w:hAnsi="Times New Roman" w:eastAsia="方正仿宋简体" w:cs="Times New Roman"/>
        </w:rPr>
      </w:pPr>
      <w:bookmarkStart w:id="91" w:name="_Toc15396620"/>
      <w:bookmarkStart w:id="92" w:name="_Toc17858"/>
      <w:r>
        <w:rPr>
          <w:rFonts w:ascii="Times New Roman" w:hAnsi="Times New Roman" w:eastAsia="方正仿宋简体" w:cs="Times New Roman"/>
          <w:b w:val="0"/>
        </w:rPr>
        <w:t>二、收</w:t>
      </w:r>
      <w:r>
        <w:rPr>
          <w:rStyle w:val="25"/>
          <w:rFonts w:ascii="Times New Roman" w:hAnsi="Times New Roman" w:eastAsia="方正仿宋简体" w:cs="Times New Roman"/>
          <w:b w:val="0"/>
          <w:bCs w:val="0"/>
        </w:rPr>
        <w:t>入决算表</w:t>
      </w:r>
      <w:bookmarkEnd w:id="91"/>
      <w:bookmarkEnd w:id="92"/>
    </w:p>
    <w:p>
      <w:pPr>
        <w:pStyle w:val="4"/>
        <w:rPr>
          <w:rFonts w:ascii="Times New Roman" w:hAnsi="Times New Roman" w:eastAsia="方正仿宋简体" w:cs="Times New Roman"/>
        </w:rPr>
      </w:pPr>
      <w:bookmarkStart w:id="93" w:name="_Toc15396621"/>
      <w:bookmarkStart w:id="94" w:name="_Toc24559"/>
      <w:r>
        <w:rPr>
          <w:rStyle w:val="25"/>
          <w:rFonts w:ascii="Times New Roman" w:hAnsi="Times New Roman" w:eastAsia="方正仿宋简体" w:cs="Times New Roman"/>
          <w:b w:val="0"/>
          <w:bCs w:val="0"/>
        </w:rPr>
        <w:t>三、</w:t>
      </w:r>
      <w:r>
        <w:rPr>
          <w:rFonts w:ascii="Times New Roman" w:hAnsi="Times New Roman" w:eastAsia="方正仿宋简体" w:cs="Times New Roman"/>
          <w:b w:val="0"/>
        </w:rPr>
        <w:t>支</w:t>
      </w:r>
      <w:r>
        <w:rPr>
          <w:rStyle w:val="25"/>
          <w:rFonts w:ascii="Times New Roman" w:hAnsi="Times New Roman" w:eastAsia="方正仿宋简体" w:cs="Times New Roman"/>
          <w:b w:val="0"/>
          <w:bCs w:val="0"/>
        </w:rPr>
        <w:t>出决算表</w:t>
      </w:r>
      <w:bookmarkEnd w:id="93"/>
      <w:bookmarkEnd w:id="94"/>
    </w:p>
    <w:p>
      <w:pPr>
        <w:pStyle w:val="4"/>
        <w:rPr>
          <w:rFonts w:ascii="Times New Roman" w:hAnsi="Times New Roman" w:eastAsia="方正仿宋简体" w:cs="Times New Roman"/>
          <w:b w:val="0"/>
        </w:rPr>
      </w:pPr>
      <w:bookmarkStart w:id="95" w:name="_Toc31215"/>
      <w:bookmarkStart w:id="96" w:name="_Toc15396622"/>
      <w:r>
        <w:rPr>
          <w:rStyle w:val="25"/>
          <w:rFonts w:ascii="Times New Roman" w:hAnsi="Times New Roman" w:eastAsia="方正仿宋简体" w:cs="Times New Roman"/>
          <w:b w:val="0"/>
          <w:bCs w:val="0"/>
        </w:rPr>
        <w:t>四、</w:t>
      </w:r>
      <w:r>
        <w:rPr>
          <w:rFonts w:ascii="Times New Roman" w:hAnsi="Times New Roman" w:eastAsia="方正仿宋简体" w:cs="Times New Roman"/>
          <w:b w:val="0"/>
        </w:rPr>
        <w:t>财</w:t>
      </w:r>
      <w:r>
        <w:rPr>
          <w:rStyle w:val="25"/>
          <w:rFonts w:ascii="Times New Roman" w:hAnsi="Times New Roman" w:eastAsia="方正仿宋简体" w:cs="Times New Roman"/>
          <w:b w:val="0"/>
          <w:bCs w:val="0"/>
        </w:rPr>
        <w:t>政拨款收入支出决算总表</w:t>
      </w:r>
      <w:bookmarkEnd w:id="95"/>
      <w:bookmarkEnd w:id="96"/>
    </w:p>
    <w:p>
      <w:pPr>
        <w:pStyle w:val="4"/>
        <w:rPr>
          <w:rStyle w:val="25"/>
          <w:rFonts w:ascii="Times New Roman" w:hAnsi="Times New Roman" w:eastAsia="方正仿宋简体" w:cs="Times New Roman"/>
          <w:b w:val="0"/>
          <w:bCs w:val="0"/>
        </w:rPr>
      </w:pPr>
      <w:bookmarkStart w:id="97" w:name="_Toc25416"/>
      <w:bookmarkStart w:id="98" w:name="_Toc15396623"/>
      <w:r>
        <w:rPr>
          <w:rStyle w:val="25"/>
          <w:rFonts w:ascii="Times New Roman" w:hAnsi="Times New Roman" w:eastAsia="方正仿宋简体" w:cs="Times New Roman"/>
          <w:b w:val="0"/>
          <w:bCs w:val="0"/>
        </w:rPr>
        <w:t>五、</w:t>
      </w:r>
      <w:r>
        <w:rPr>
          <w:rFonts w:ascii="Times New Roman" w:hAnsi="Times New Roman" w:eastAsia="方正仿宋简体" w:cs="Times New Roman"/>
          <w:b w:val="0"/>
        </w:rPr>
        <w:t>财</w:t>
      </w:r>
      <w:r>
        <w:rPr>
          <w:rStyle w:val="25"/>
          <w:rFonts w:ascii="Times New Roman" w:hAnsi="Times New Roman" w:eastAsia="方正仿宋简体" w:cs="Times New Roman"/>
          <w:b w:val="0"/>
          <w:bCs w:val="0"/>
        </w:rPr>
        <w:t>政拨款支出决算明细表</w:t>
      </w:r>
      <w:bookmarkEnd w:id="97"/>
      <w:bookmarkEnd w:id="98"/>
      <w:bookmarkStart w:id="99" w:name="_Toc15396624"/>
    </w:p>
    <w:p>
      <w:pPr>
        <w:pStyle w:val="4"/>
        <w:rPr>
          <w:rFonts w:ascii="Times New Roman" w:hAnsi="Times New Roman" w:eastAsia="方正仿宋简体" w:cs="Times New Roman"/>
        </w:rPr>
      </w:pPr>
      <w:bookmarkStart w:id="100" w:name="_Toc28256"/>
      <w:r>
        <w:rPr>
          <w:rStyle w:val="25"/>
          <w:rFonts w:ascii="Times New Roman" w:hAnsi="Times New Roman" w:eastAsia="方正仿宋简体" w:cs="Times New Roman"/>
          <w:b w:val="0"/>
          <w:bCs w:val="0"/>
        </w:rPr>
        <w:t>六、</w:t>
      </w:r>
      <w:r>
        <w:rPr>
          <w:rFonts w:ascii="Times New Roman" w:hAnsi="Times New Roman" w:eastAsia="方正仿宋简体" w:cs="Times New Roman"/>
          <w:b w:val="0"/>
        </w:rPr>
        <w:t>一</w:t>
      </w:r>
      <w:r>
        <w:rPr>
          <w:rStyle w:val="25"/>
          <w:rFonts w:ascii="Times New Roman" w:hAnsi="Times New Roman" w:eastAsia="方正仿宋简体" w:cs="Times New Roman"/>
          <w:b w:val="0"/>
          <w:bCs w:val="0"/>
        </w:rPr>
        <w:t>般公共预算财政拨款支出决算表</w:t>
      </w:r>
      <w:bookmarkEnd w:id="99"/>
      <w:bookmarkEnd w:id="100"/>
    </w:p>
    <w:p>
      <w:pPr>
        <w:pStyle w:val="4"/>
        <w:rPr>
          <w:rFonts w:ascii="Times New Roman" w:hAnsi="Times New Roman" w:eastAsia="方正仿宋简体" w:cs="Times New Roman"/>
        </w:rPr>
      </w:pPr>
      <w:bookmarkStart w:id="101" w:name="_Toc28704"/>
      <w:bookmarkStart w:id="102" w:name="_Toc15396625"/>
      <w:r>
        <w:rPr>
          <w:rStyle w:val="25"/>
          <w:rFonts w:ascii="Times New Roman" w:hAnsi="Times New Roman" w:eastAsia="方正仿宋简体" w:cs="Times New Roman"/>
          <w:b w:val="0"/>
          <w:bCs w:val="0"/>
        </w:rPr>
        <w:t>七、</w:t>
      </w:r>
      <w:r>
        <w:rPr>
          <w:rFonts w:ascii="Times New Roman" w:hAnsi="Times New Roman" w:eastAsia="方正仿宋简体" w:cs="Times New Roman"/>
          <w:b w:val="0"/>
        </w:rPr>
        <w:t>一</w:t>
      </w:r>
      <w:r>
        <w:rPr>
          <w:rStyle w:val="25"/>
          <w:rFonts w:ascii="Times New Roman" w:hAnsi="Times New Roman" w:eastAsia="方正仿宋简体" w:cs="Times New Roman"/>
          <w:b w:val="0"/>
          <w:bCs w:val="0"/>
        </w:rPr>
        <w:t>般公共预算财政拨款支出决算明细表</w:t>
      </w:r>
      <w:bookmarkEnd w:id="101"/>
      <w:bookmarkEnd w:id="102"/>
    </w:p>
    <w:p>
      <w:pPr>
        <w:pStyle w:val="4"/>
        <w:rPr>
          <w:rFonts w:ascii="Times New Roman" w:hAnsi="Times New Roman" w:eastAsia="方正仿宋简体" w:cs="Times New Roman"/>
        </w:rPr>
      </w:pPr>
      <w:bookmarkStart w:id="103" w:name="_Toc15396626"/>
      <w:bookmarkStart w:id="104" w:name="_Toc22654"/>
      <w:r>
        <w:rPr>
          <w:rStyle w:val="25"/>
          <w:rFonts w:ascii="Times New Roman" w:hAnsi="Times New Roman" w:eastAsia="方正仿宋简体" w:cs="Times New Roman"/>
          <w:b w:val="0"/>
          <w:bCs w:val="0"/>
        </w:rPr>
        <w:t>八、</w:t>
      </w:r>
      <w:r>
        <w:rPr>
          <w:rFonts w:ascii="Times New Roman" w:hAnsi="Times New Roman" w:eastAsia="方正仿宋简体" w:cs="Times New Roman"/>
          <w:b w:val="0"/>
        </w:rPr>
        <w:t>一</w:t>
      </w:r>
      <w:r>
        <w:rPr>
          <w:rStyle w:val="25"/>
          <w:rFonts w:ascii="Times New Roman" w:hAnsi="Times New Roman" w:eastAsia="方正仿宋简体" w:cs="Times New Roman"/>
          <w:b w:val="0"/>
          <w:bCs w:val="0"/>
        </w:rPr>
        <w:t>般公共预算财政拨款基本支出决算表</w:t>
      </w:r>
      <w:bookmarkEnd w:id="103"/>
      <w:bookmarkEnd w:id="104"/>
    </w:p>
    <w:p>
      <w:pPr>
        <w:pStyle w:val="4"/>
        <w:rPr>
          <w:rFonts w:ascii="Times New Roman" w:hAnsi="Times New Roman" w:eastAsia="方正仿宋简体" w:cs="Times New Roman"/>
        </w:rPr>
      </w:pPr>
      <w:bookmarkStart w:id="105" w:name="_Toc4728"/>
      <w:bookmarkStart w:id="106" w:name="_Toc15396627"/>
      <w:r>
        <w:rPr>
          <w:rStyle w:val="25"/>
          <w:rFonts w:ascii="Times New Roman" w:hAnsi="Times New Roman" w:eastAsia="方正仿宋简体" w:cs="Times New Roman"/>
          <w:b w:val="0"/>
          <w:bCs w:val="0"/>
        </w:rPr>
        <w:t>九、</w:t>
      </w:r>
      <w:r>
        <w:rPr>
          <w:rFonts w:ascii="Times New Roman" w:hAnsi="Times New Roman" w:eastAsia="方正仿宋简体" w:cs="Times New Roman"/>
          <w:b w:val="0"/>
        </w:rPr>
        <w:t>一</w:t>
      </w:r>
      <w:r>
        <w:rPr>
          <w:rStyle w:val="25"/>
          <w:rFonts w:ascii="Times New Roman" w:hAnsi="Times New Roman" w:eastAsia="方正仿宋简体" w:cs="Times New Roman"/>
          <w:b w:val="0"/>
          <w:bCs w:val="0"/>
        </w:rPr>
        <w:t>般公共预算财政拨款项目支出决算表</w:t>
      </w:r>
      <w:bookmarkEnd w:id="105"/>
      <w:bookmarkEnd w:id="106"/>
    </w:p>
    <w:p>
      <w:pPr>
        <w:pStyle w:val="4"/>
        <w:rPr>
          <w:rFonts w:ascii="Times New Roman" w:hAnsi="Times New Roman" w:eastAsia="方正仿宋简体" w:cs="Times New Roman"/>
        </w:rPr>
      </w:pPr>
      <w:bookmarkStart w:id="107" w:name="_Toc15396628"/>
      <w:bookmarkStart w:id="108" w:name="_Toc6009"/>
      <w:r>
        <w:rPr>
          <w:rStyle w:val="25"/>
          <w:rFonts w:ascii="Times New Roman" w:hAnsi="Times New Roman" w:eastAsia="方正仿宋简体" w:cs="Times New Roman"/>
          <w:b w:val="0"/>
          <w:bCs w:val="0"/>
        </w:rPr>
        <w:t>十、</w:t>
      </w:r>
      <w:bookmarkEnd w:id="107"/>
      <w:r>
        <w:rPr>
          <w:rFonts w:ascii="Times New Roman" w:hAnsi="Times New Roman" w:eastAsia="方正仿宋简体" w:cs="Times New Roman"/>
          <w:b w:val="0"/>
        </w:rPr>
        <w:t>政</w:t>
      </w:r>
      <w:r>
        <w:rPr>
          <w:rStyle w:val="25"/>
          <w:rFonts w:ascii="Times New Roman" w:hAnsi="Times New Roman" w:eastAsia="方正仿宋简体" w:cs="Times New Roman"/>
          <w:b w:val="0"/>
          <w:bCs w:val="0"/>
        </w:rPr>
        <w:t>府性基金预算财政拨款收入支出决算表</w:t>
      </w:r>
      <w:bookmarkEnd w:id="108"/>
    </w:p>
    <w:p>
      <w:pPr>
        <w:pStyle w:val="4"/>
        <w:rPr>
          <w:rFonts w:ascii="Times New Roman" w:hAnsi="Times New Roman" w:eastAsia="方正仿宋简体" w:cs="Times New Roman"/>
        </w:rPr>
      </w:pPr>
      <w:bookmarkStart w:id="109" w:name="_Toc15396629"/>
      <w:bookmarkStart w:id="110" w:name="_Toc2838"/>
      <w:r>
        <w:rPr>
          <w:rStyle w:val="25"/>
          <w:rFonts w:ascii="Times New Roman" w:hAnsi="Times New Roman" w:eastAsia="方正仿宋简体" w:cs="Times New Roman"/>
          <w:b w:val="0"/>
          <w:bCs w:val="0"/>
        </w:rPr>
        <w:t>十一、</w:t>
      </w:r>
      <w:bookmarkEnd w:id="109"/>
      <w:r>
        <w:rPr>
          <w:rFonts w:ascii="Times New Roman" w:hAnsi="Times New Roman" w:eastAsia="方正仿宋简体" w:cs="Times New Roman"/>
          <w:b w:val="0"/>
        </w:rPr>
        <w:t>国</w:t>
      </w:r>
      <w:r>
        <w:rPr>
          <w:rStyle w:val="25"/>
          <w:rFonts w:ascii="Times New Roman" w:hAnsi="Times New Roman" w:eastAsia="方正仿宋简体" w:cs="Times New Roman"/>
          <w:b w:val="0"/>
          <w:bCs w:val="0"/>
        </w:rPr>
        <w:t>有资本经营预算财政拨款收入支出决算表</w:t>
      </w:r>
      <w:bookmarkEnd w:id="110"/>
    </w:p>
    <w:p>
      <w:pPr>
        <w:pStyle w:val="4"/>
        <w:rPr>
          <w:rFonts w:ascii="Times New Roman" w:hAnsi="Times New Roman" w:eastAsia="方正仿宋简体" w:cs="Times New Roman"/>
        </w:rPr>
      </w:pPr>
      <w:bookmarkStart w:id="111" w:name="_Toc15396630"/>
      <w:bookmarkStart w:id="112" w:name="_Toc5648"/>
      <w:r>
        <w:rPr>
          <w:rStyle w:val="25"/>
          <w:rFonts w:ascii="Times New Roman" w:hAnsi="Times New Roman" w:eastAsia="方正仿宋简体" w:cs="Times New Roman"/>
          <w:b w:val="0"/>
          <w:bCs w:val="0"/>
        </w:rPr>
        <w:t>十二、</w:t>
      </w:r>
      <w:bookmarkEnd w:id="111"/>
      <w:r>
        <w:rPr>
          <w:rStyle w:val="25"/>
          <w:rFonts w:ascii="Times New Roman" w:hAnsi="Times New Roman" w:eastAsia="方正仿宋简体" w:cs="Times New Roman"/>
          <w:b w:val="0"/>
          <w:bCs w:val="0"/>
        </w:rPr>
        <w:t>国有资本经营预算财政拨款支出决算表</w:t>
      </w:r>
      <w:bookmarkEnd w:id="112"/>
    </w:p>
    <w:p>
      <w:pPr>
        <w:pStyle w:val="4"/>
        <w:rPr>
          <w:rFonts w:ascii="Times New Roman" w:hAnsi="Times New Roman" w:eastAsia="方正仿宋简体" w:cs="Times New Roman"/>
        </w:rPr>
      </w:pPr>
      <w:bookmarkStart w:id="113" w:name="_Toc15396631"/>
      <w:bookmarkStart w:id="114" w:name="_Toc15007"/>
      <w:r>
        <w:rPr>
          <w:rStyle w:val="25"/>
          <w:rFonts w:ascii="Times New Roman" w:hAnsi="Times New Roman" w:eastAsia="方正仿宋简体" w:cs="Times New Roman"/>
          <w:b w:val="0"/>
          <w:bCs w:val="0"/>
        </w:rPr>
        <w:t>十三、</w:t>
      </w:r>
      <w:bookmarkEnd w:id="113"/>
      <w:r>
        <w:rPr>
          <w:rStyle w:val="25"/>
          <w:rFonts w:ascii="Times New Roman" w:hAnsi="Times New Roman" w:eastAsia="方正仿宋简体" w:cs="Times New Roman"/>
          <w:b w:val="0"/>
          <w:bCs w:val="0"/>
        </w:rPr>
        <w:t>财政拨款“三公”经费支出决算表</w:t>
      </w:r>
      <w:bookmarkEnd w:id="114"/>
    </w:p>
    <w:sectPr>
      <w:footerReference r:id="rId5" w:type="first"/>
      <w:headerReference r:id="rId3" w:type="default"/>
      <w:footerReference r:id="rId4" w:type="default"/>
      <w:pgSz w:w="11906" w:h="16838"/>
      <w:pgMar w:top="2098" w:right="1474" w:bottom="1984" w:left="1587" w:header="851" w:footer="992"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xM+CT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DSJAOSnT/5fP9&#10;1+/33z6hz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xM+CTyQIAAOwFAAAOAAAAAAAAAAEAIAAAADUBAABkcnMvZTJvRG9jLnhtbFBL&#10;BQYAAAAABgAGAFkBAABwBgAAAAA=&#10;">
          <v:path/>
          <v:fill on="f" focussize="0,0"/>
          <v:stroke on="f" weight="0.5pt" joinstyle="miter"/>
          <v:imagedata o:title=""/>
          <o:lock v:ext="edit"/>
          <v:textbox inset="0mm,0mm,0mm,0mm" style="mso-fit-shape-to-text:t;">
            <w:txbxContent>
              <w:p>
                <w:pPr>
                  <w:pStyle w:val="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- 16 -</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rQUMRyQIAAO4FAAAOAAAAAAAAAAEAIAAAADUBAABkcnMvZTJvRG9jLnhtbFBL&#10;BQYAAAAABgAGAFkBAABwBg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3MDcxNzM1MGIwYjhlNzQzYzAxNDJhNDVjM2UyNW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4618"/>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6958"/>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B4A23"/>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155C"/>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1E0695"/>
    <w:rsid w:val="0B8A37D8"/>
    <w:rsid w:val="0C7751EF"/>
    <w:rsid w:val="0E2D0843"/>
    <w:rsid w:val="0E5F6539"/>
    <w:rsid w:val="0F2F1EF3"/>
    <w:rsid w:val="103F0670"/>
    <w:rsid w:val="10C055FF"/>
    <w:rsid w:val="118107EC"/>
    <w:rsid w:val="11DD6519"/>
    <w:rsid w:val="14067011"/>
    <w:rsid w:val="16292D9A"/>
    <w:rsid w:val="162D01D9"/>
    <w:rsid w:val="16BB723D"/>
    <w:rsid w:val="18015F3F"/>
    <w:rsid w:val="19935AE9"/>
    <w:rsid w:val="1A3A0872"/>
    <w:rsid w:val="1AE01F93"/>
    <w:rsid w:val="1BE8440E"/>
    <w:rsid w:val="1D155CEE"/>
    <w:rsid w:val="203D370C"/>
    <w:rsid w:val="20F57F95"/>
    <w:rsid w:val="227902B0"/>
    <w:rsid w:val="240371BF"/>
    <w:rsid w:val="245513DF"/>
    <w:rsid w:val="25711CC6"/>
    <w:rsid w:val="25C741E6"/>
    <w:rsid w:val="27842671"/>
    <w:rsid w:val="29FD04D3"/>
    <w:rsid w:val="2ABE7A3E"/>
    <w:rsid w:val="2CA234A8"/>
    <w:rsid w:val="2EFA178C"/>
    <w:rsid w:val="2F9162F8"/>
    <w:rsid w:val="30B46D73"/>
    <w:rsid w:val="319F7F4E"/>
    <w:rsid w:val="33127CB4"/>
    <w:rsid w:val="33BC07E2"/>
    <w:rsid w:val="33F14D2A"/>
    <w:rsid w:val="351972D3"/>
    <w:rsid w:val="36D352E5"/>
    <w:rsid w:val="374A06D6"/>
    <w:rsid w:val="383D272C"/>
    <w:rsid w:val="39AE70AB"/>
    <w:rsid w:val="3B3B26B4"/>
    <w:rsid w:val="3C0C0783"/>
    <w:rsid w:val="3F9F3A96"/>
    <w:rsid w:val="3FB757AA"/>
    <w:rsid w:val="40DD4814"/>
    <w:rsid w:val="41BA2291"/>
    <w:rsid w:val="44316B84"/>
    <w:rsid w:val="468875D3"/>
    <w:rsid w:val="48834AE5"/>
    <w:rsid w:val="48BF60AB"/>
    <w:rsid w:val="493C27E9"/>
    <w:rsid w:val="496F39ED"/>
    <w:rsid w:val="49FF41D3"/>
    <w:rsid w:val="4BE068DB"/>
    <w:rsid w:val="4BF6002B"/>
    <w:rsid w:val="4ECE2238"/>
    <w:rsid w:val="501E654D"/>
    <w:rsid w:val="51B6256A"/>
    <w:rsid w:val="51DB4B86"/>
    <w:rsid w:val="51E01D1C"/>
    <w:rsid w:val="54521C9F"/>
    <w:rsid w:val="55333C3E"/>
    <w:rsid w:val="57F791C5"/>
    <w:rsid w:val="5DFBF6D3"/>
    <w:rsid w:val="5FBD71EC"/>
    <w:rsid w:val="5FFBEA1B"/>
    <w:rsid w:val="64CA39A1"/>
    <w:rsid w:val="69630ADE"/>
    <w:rsid w:val="6C4A05C8"/>
    <w:rsid w:val="6D3B1A89"/>
    <w:rsid w:val="6F3D391D"/>
    <w:rsid w:val="71BF4EC2"/>
    <w:rsid w:val="72734D90"/>
    <w:rsid w:val="73AA26AC"/>
    <w:rsid w:val="73FA431C"/>
    <w:rsid w:val="7412278C"/>
    <w:rsid w:val="771E2BFD"/>
    <w:rsid w:val="777F3157"/>
    <w:rsid w:val="77DB90E1"/>
    <w:rsid w:val="78174953"/>
    <w:rsid w:val="79E7B28D"/>
    <w:rsid w:val="7A77484E"/>
    <w:rsid w:val="7B2A3852"/>
    <w:rsid w:val="7E9957F7"/>
    <w:rsid w:val="7F9F20EE"/>
    <w:rsid w:val="7FF22424"/>
    <w:rsid w:val="9E3A10E2"/>
    <w:rsid w:val="A74FD4EE"/>
    <w:rsid w:val="F2BCA4A7"/>
    <w:rsid w:val="F2E1F9D4"/>
    <w:rsid w:val="F687C7D7"/>
    <w:rsid w:val="F7880819"/>
    <w:rsid w:val="FFCF3386"/>
    <w:rsid w:val="FFFCF3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26700;&#38754;/WPS&#34920;&#26684;&#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1" i="0" u="none" strike="noStrike" kern="1200" baseline="0">
                <a:solidFill>
                  <a:schemeClr val="tx1"/>
                </a:solidFill>
                <a:latin typeface="+mn-lt"/>
                <a:ea typeface="+mn-ea"/>
                <a:cs typeface="+mn-cs"/>
              </a:defRPr>
            </a:pPr>
            <a:r>
              <a:rPr lang="zh-CN" sz="1400"/>
              <a:t>收、支决算总计变动情况图（单位：万元）</a:t>
            </a:r>
            <a:endParaRPr lang="zh-CN" sz="1400"/>
          </a:p>
        </c:rich>
      </c:tx>
      <c:layout/>
      <c:overlay val="false"/>
    </c:title>
    <c:autoTitleDeleted val="false"/>
    <c:plotArea>
      <c:layout/>
      <c:barChart>
        <c:barDir val="col"/>
        <c:grouping val="clustered"/>
        <c:varyColors val="false"/>
        <c:ser>
          <c:idx val="0"/>
          <c:order val="0"/>
          <c:tx>
            <c:strRef>
              <c:f>Sheet1!$B$1</c:f>
              <c:strCache>
                <c:ptCount val="1"/>
                <c:pt idx="0">
                  <c:v>2021年收入</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金额（万元）</c:v>
                </c:pt>
              </c:strCache>
            </c:strRef>
          </c:cat>
          <c:val>
            <c:numRef>
              <c:f>Sheet1!$B$2</c:f>
              <c:numCache>
                <c:formatCode>General</c:formatCode>
                <c:ptCount val="1"/>
                <c:pt idx="0">
                  <c:v>501.25</c:v>
                </c:pt>
              </c:numCache>
            </c:numRef>
          </c:val>
        </c:ser>
        <c:ser>
          <c:idx val="1"/>
          <c:order val="1"/>
          <c:tx>
            <c:strRef>
              <c:f>Sheet1!$C$1</c:f>
              <c:strCache>
                <c:ptCount val="1"/>
                <c:pt idx="0">
                  <c:v>2022年收入</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金额（万元）</c:v>
                </c:pt>
              </c:strCache>
            </c:strRef>
          </c:cat>
          <c:val>
            <c:numRef>
              <c:f>Sheet1!$C$2</c:f>
              <c:numCache>
                <c:formatCode>General</c:formatCode>
                <c:ptCount val="1"/>
                <c:pt idx="0">
                  <c:v>621.75</c:v>
                </c:pt>
              </c:numCache>
            </c:numRef>
          </c:val>
        </c:ser>
        <c:ser>
          <c:idx val="2"/>
          <c:order val="2"/>
          <c:tx>
            <c:strRef>
              <c:f>Sheet1!$D$1</c:f>
              <c:strCache>
                <c:ptCount val="1"/>
                <c:pt idx="0">
                  <c:v>2021年支出</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金额（万元）</c:v>
                </c:pt>
              </c:strCache>
            </c:strRef>
          </c:cat>
          <c:val>
            <c:numRef>
              <c:f>Sheet1!$D$2</c:f>
              <c:numCache>
                <c:formatCode>General</c:formatCode>
                <c:ptCount val="1"/>
                <c:pt idx="0">
                  <c:v>540</c:v>
                </c:pt>
              </c:numCache>
            </c:numRef>
          </c:val>
        </c:ser>
        <c:ser>
          <c:idx val="3"/>
          <c:order val="3"/>
          <c:tx>
            <c:strRef>
              <c:f>Sheet1!$E$1</c:f>
              <c:strCache>
                <c:ptCount val="1"/>
                <c:pt idx="0">
                  <c:v>2022年支出</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金额（万元）</c:v>
                </c:pt>
              </c:strCache>
            </c:strRef>
          </c:cat>
          <c:val>
            <c:numRef>
              <c:f>Sheet1!$E$2</c:f>
              <c:numCache>
                <c:formatCode>General</c:formatCode>
                <c:ptCount val="1"/>
                <c:pt idx="0">
                  <c:v>630.55</c:v>
                </c:pt>
              </c:numCache>
            </c:numRef>
          </c:val>
        </c:ser>
        <c:dLbls>
          <c:showLegendKey val="false"/>
          <c:showVal val="true"/>
          <c:showCatName val="false"/>
          <c:showSerName val="false"/>
          <c:showPercent val="false"/>
          <c:showBubbleSize val="false"/>
        </c:dLbls>
        <c:gapWidth val="75"/>
        <c:overlap val="-25"/>
        <c:axId val="53200000"/>
        <c:axId val="53203712"/>
      </c:barChart>
      <c:catAx>
        <c:axId val="53200000"/>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3203712"/>
        <c:crosses val="autoZero"/>
        <c:auto val="true"/>
        <c:lblAlgn val="ctr"/>
        <c:lblOffset val="100"/>
        <c:noMultiLvlLbl val="false"/>
      </c:catAx>
      <c:valAx>
        <c:axId val="53203712"/>
        <c:scaling>
          <c:orientation val="minMax"/>
        </c:scaling>
        <c:delete val="false"/>
        <c:axPos val="l"/>
        <c:majorGridlines/>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53200000"/>
        <c:crosses val="autoZero"/>
        <c:crossBetween val="between"/>
      </c:valAx>
    </c:plotArea>
    <c:legend>
      <c:legendPos val="b"/>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a:t>202</a:t>
            </a:r>
            <a:r>
              <a:rPr lang="en-US" altLang="zh-CN"/>
              <a:t>2</a:t>
            </a:r>
            <a:r>
              <a:rPr lang="zh-CN"/>
              <a:t>年收入</a:t>
            </a:r>
            <a:r>
              <a:rPr lang="zh-CN" altLang="en-US"/>
              <a:t>决算构成</a:t>
            </a:r>
            <a:endParaRPr lang="zh-CN"/>
          </a:p>
        </c:rich>
      </c:tx>
      <c:layout/>
      <c:overlay val="false"/>
      <c:spPr>
        <a:ln>
          <a:noFill/>
        </a:ln>
      </c:spPr>
    </c:title>
    <c:autoTitleDeleted val="false"/>
    <c:plotArea>
      <c:layout/>
      <c:pieChart>
        <c:varyColors val="true"/>
        <c:ser>
          <c:idx val="0"/>
          <c:order val="0"/>
          <c:tx>
            <c:strRef>
              <c:f>'Sheet1 (2)'!$B$1</c:f>
              <c:strCache>
                <c:ptCount val="1"/>
                <c:pt idx="0">
                  <c:v>2022年收入合计</c:v>
                </c:pt>
              </c:strCache>
            </c:strRef>
          </c:tx>
          <c:explosion val="0"/>
          <c:dPt>
            <c:idx val="0"/>
            <c:bubble3D val="false"/>
            <c:spPr>
              <a:solidFill>
                <a:srgbClr val="4F81BD"/>
              </a:solidFill>
            </c:spPr>
          </c:dPt>
          <c:dPt>
            <c:idx val="1"/>
            <c:bubble3D val="false"/>
          </c:dPt>
          <c:dLbls>
            <c:numFmt formatCode="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(2)'!$A$2:$A$3</c:f>
              <c:strCache>
                <c:ptCount val="2"/>
                <c:pt idx="0">
                  <c:v>一般公共预算</c:v>
                </c:pt>
                <c:pt idx="1">
                  <c:v>政府性基金预算</c:v>
                </c:pt>
              </c:strCache>
            </c:strRef>
          </c:cat>
          <c:val>
            <c:numRef>
              <c:f>'Sheet1 (2)'!$B$2:$B$3</c:f>
              <c:numCache>
                <c:formatCode>General</c:formatCode>
                <c:ptCount val="2"/>
                <c:pt idx="0">
                  <c:v>592.7</c:v>
                </c:pt>
                <c:pt idx="1">
                  <c:v>29.05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legend>
    <c:plotVisOnly val="true"/>
    <c:dispBlanksAs val="zero"/>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en-US" sz="1200"/>
              <a:t>支出决算结构图（单位：万元）</a:t>
            </a:r>
            <a:endParaRPr lang="zh-CN" altLang="en-US" sz="1200"/>
          </a:p>
        </c:rich>
      </c:tx>
      <c:layout/>
      <c:overlay val="false"/>
    </c:title>
    <c:autoTitleDeleted val="false"/>
    <c:plotArea>
      <c:layout/>
      <c:pieChart>
        <c:varyColors val="true"/>
        <c:ser>
          <c:idx val="0"/>
          <c:order val="0"/>
          <c:tx>
            <c:strRef>
              <c:f>Sheet1!$B$1</c:f>
              <c:strCache>
                <c:ptCount val="1"/>
                <c:pt idx="0">
                  <c:v>金额（万元）</c:v>
                </c:pt>
              </c:strCache>
            </c:strRef>
          </c:tx>
          <c:explosion val="0"/>
          <c:dPt>
            <c:idx val="0"/>
            <c:bubble3D val="false"/>
          </c:dPt>
          <c:dPt>
            <c:idx val="1"/>
            <c:bubble3D val="false"/>
          </c:dPt>
          <c:dLbls>
            <c:dLbl>
              <c:idx val="0"/>
              <c:layout>
                <c:manualLayout>
                  <c:x val="-0.143847424914366"/>
                  <c:y val="-0.20795577294881"/>
                </c:manualLayout>
              </c:layout>
              <c:tx>
                <c:rich>
                  <a:bodyPr rot="0" spcFirstLastPara="0" vertOverflow="ellipsis" vert="horz" wrap="square" lIns="38100" tIns="19050" rIns="38100" bIns="19050" anchor="ctr" anchorCtr="true"/>
                  <a:lstStyle/>
                  <a:p>
                    <a:pPr>
                      <a:defRPr lang="zh-CN" sz="1000" b="1" i="0" u="none" strike="noStrike" kern="1200" cap="none" spc="0" normalizeH="0" baseline="0">
                        <a:solidFill>
                          <a:schemeClr val="tx1"/>
                        </a:solidFill>
                        <a:uFill>
                          <a:solidFill>
                            <a:schemeClr val="tx1"/>
                          </a:solidFill>
                        </a:uFill>
                        <a:latin typeface="+mn-lt"/>
                        <a:ea typeface="+mn-ea"/>
                        <a:cs typeface="+mn-cs"/>
                      </a:defRPr>
                    </a:pPr>
                    <a:r>
                      <a:rPr lang="zh-CN" altLang="en-US" b="1" u="none" strike="noStrike" cap="none" normalizeH="0">
                        <a:solidFill>
                          <a:schemeClr val="tx1"/>
                        </a:solidFill>
                        <a:uFill>
                          <a:solidFill>
                            <a:schemeClr val="tx1"/>
                          </a:solidFill>
                        </a:uFill>
                      </a:rPr>
                      <a:t>
基本支出
</a:t>
                    </a:r>
                    <a:r>
                      <a:rPr lang="en-US" altLang="zh-CN" b="1" u="none" strike="noStrike" cap="none" normalizeH="0">
                        <a:solidFill>
                          <a:schemeClr val="tx1"/>
                        </a:solidFill>
                        <a:uFill>
                          <a:solidFill>
                            <a:schemeClr val="tx1"/>
                          </a:solidFill>
                        </a:uFill>
                      </a:rPr>
                      <a:t>355.85</a:t>
                    </a:r>
                    <a:r>
                      <a:rPr altLang="en-US" b="1" u="none" strike="noStrike" cap="none" normalizeH="0">
                        <a:solidFill>
                          <a:schemeClr val="tx1"/>
                        </a:solidFill>
                        <a:uFill>
                          <a:solidFill>
                            <a:schemeClr val="tx1"/>
                          </a:solidFill>
                        </a:uFill>
                      </a:rPr>
                      <a:t>万元</a:t>
                    </a:r>
                    <a:endParaRPr altLang="en-US" b="1" u="none" strike="noStrike" cap="none" normalizeH="0">
                      <a:solidFill>
                        <a:schemeClr val="tx1"/>
                      </a:solidFill>
                      <a:uFill>
                        <a:solidFill>
                          <a:schemeClr val="tx1"/>
                        </a:solidFill>
                      </a:uFill>
                    </a:endParaRPr>
                  </a:p>
                  <a:p>
                    <a:pPr>
                      <a:defRPr lang="zh-CN" sz="1000" b="1" i="0" u="none" strike="noStrike" kern="1200" cap="none" spc="0" normalizeH="0" baseline="0">
                        <a:solidFill>
                          <a:schemeClr val="tx1"/>
                        </a:solidFill>
                        <a:uFill>
                          <a:solidFill>
                            <a:schemeClr val="tx1"/>
                          </a:solidFill>
                        </a:uFill>
                        <a:latin typeface="+mn-lt"/>
                        <a:ea typeface="+mn-ea"/>
                        <a:cs typeface="+mn-cs"/>
                      </a:defRPr>
                    </a:pPr>
                    <a:r>
                      <a:rPr lang="zh-CN" altLang="en-US" b="1" u="none" strike="noStrike" cap="none" normalizeH="0">
                        <a:solidFill>
                          <a:schemeClr val="tx1"/>
                        </a:solidFill>
                        <a:uFill>
                          <a:solidFill>
                            <a:schemeClr val="tx1"/>
                          </a:solidFill>
                        </a:uFill>
                      </a:rPr>
                      <a:t>占</a:t>
                    </a:r>
                    <a:r>
                      <a:rPr lang="en-US" altLang="zh-CN" b="1" u="none" strike="noStrike" cap="none" normalizeH="0">
                        <a:solidFill>
                          <a:schemeClr val="tx1"/>
                        </a:solidFill>
                        <a:uFill>
                          <a:solidFill>
                            <a:schemeClr val="tx1"/>
                          </a:solidFill>
                        </a:uFill>
                      </a:rPr>
                      <a:t>56.43%</a:t>
                    </a:r>
                    <a:endParaRPr lang="en-US" altLang="zh-CN" b="1" u="none" strike="noStrike" cap="none" normalizeH="0">
                      <a:solidFill>
                        <a:schemeClr val="tx1"/>
                      </a:solidFill>
                      <a:uFill>
                        <a:solidFill>
                          <a:schemeClr val="tx1"/>
                        </a:solidFill>
                      </a:uFill>
                    </a:endParaRP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1000" b="1" i="0" u="none" strike="noStrike" kern="1200" cap="none" spc="0" normalizeH="0" baseline="0">
                      <a:solidFill>
                        <a:schemeClr val="tx1"/>
                      </a:solidFill>
                      <a:uFill>
                        <a:solidFill>
                          <a:schemeClr val="tx1"/>
                        </a:solidFill>
                      </a:uFill>
                      <a:latin typeface="+mn-lt"/>
                      <a:ea typeface="+mn-ea"/>
                      <a:cs typeface="+mn-cs"/>
                    </a:defRPr>
                  </a:pPr>
                </a:p>
              </c:txPr>
              <c:dLblPos val="bestFit"/>
              <c:showLegendKey val="false"/>
              <c:showVal val="true"/>
              <c:showCatName val="true"/>
              <c:showSerName val="true"/>
              <c:showPercent val="true"/>
              <c:showBubbleSize val="false"/>
              <c:extLst>
                <c:ext xmlns:c15="http://schemas.microsoft.com/office/drawing/2012/chart" uri="{CE6537A1-D6FC-4f65-9D91-7224C49458BB}">
                  <c15:layout>
                    <c:manualLayout>
                      <c:w val="0.22216605585745"/>
                      <c:h val="0.228023203926818"/>
                    </c:manualLayout>
                  </c15:layout>
                </c:ext>
              </c:extLst>
            </c:dLbl>
            <c:dLbl>
              <c:idx val="1"/>
              <c:layout>
                <c:manualLayout>
                  <c:x val="0.0847261857163716"/>
                  <c:y val="0.186982985891702"/>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zh-CN" altLang="en-US" b="1">
                        <a:solidFill>
                          <a:schemeClr val="tx1"/>
                        </a:solidFill>
                        <a:uFillTx/>
                      </a:rPr>
                      <a:t>
项目支出
</a:t>
                    </a:r>
                    <a:r>
                      <a:rPr lang="en-US" altLang="zh-CN" b="1">
                        <a:solidFill>
                          <a:schemeClr val="tx1"/>
                        </a:solidFill>
                        <a:uFillTx/>
                      </a:rPr>
                      <a:t>274.70</a:t>
                    </a:r>
                    <a:r>
                      <a:rPr altLang="en-US" b="1">
                        <a:solidFill>
                          <a:schemeClr val="tx1"/>
                        </a:solidFill>
                        <a:uFillTx/>
                      </a:rPr>
                      <a:t>万元，</a:t>
                    </a:r>
                    <a:endParaRPr altLang="en-US" b="1">
                      <a:solidFill>
                        <a:schemeClr val="tx1"/>
                      </a:solidFill>
                      <a:uFillTx/>
                    </a:endParaRPr>
                  </a:p>
                  <a:p>
                    <a:pPr>
                      <a:defRPr lang="zh-CN" sz="1000" b="0" i="0" u="none" strike="noStrike" kern="1200" baseline="0">
                        <a:solidFill>
                          <a:schemeClr val="tx1"/>
                        </a:solidFill>
                        <a:latin typeface="+mn-lt"/>
                        <a:ea typeface="+mn-ea"/>
                        <a:cs typeface="+mn-cs"/>
                      </a:defRPr>
                    </a:pPr>
                    <a:r>
                      <a:rPr lang="zh-CN" altLang="en-US" b="1">
                        <a:solidFill>
                          <a:schemeClr val="tx1"/>
                        </a:solidFill>
                        <a:uFillTx/>
                      </a:rPr>
                      <a:t>占</a:t>
                    </a:r>
                    <a:r>
                      <a:rPr lang="en-US" altLang="zh-CN" b="1">
                        <a:solidFill>
                          <a:schemeClr val="tx1"/>
                        </a:solidFill>
                        <a:uFillTx/>
                      </a:rPr>
                      <a:t>43.57%</a:t>
                    </a:r>
                    <a:endParaRPr lang="en-US" altLang="zh-CN" b="1">
                      <a:solidFill>
                        <a:schemeClr val="tx1"/>
                      </a:solidFill>
                      <a:uFillTx/>
                    </a:endParaRPr>
                  </a:p>
                </c:rich>
              </c:tx>
              <c:dLblPos val="bestFit"/>
              <c:showLegendKey val="false"/>
              <c:showVal val="true"/>
              <c:showCatName val="true"/>
              <c:showSerName val="tru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ctr"/>
            <c:showLegendKey val="false"/>
            <c:showVal val="true"/>
            <c:showCatName val="true"/>
            <c:showSerName val="tru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2022年基本支出</c:v>
                </c:pt>
                <c:pt idx="1">
                  <c:v>2022年项目支出</c:v>
                </c:pt>
              </c:strCache>
            </c:strRef>
          </c:cat>
          <c:val>
            <c:numRef>
              <c:f>Sheet1!$B$2:$B$3</c:f>
              <c:numCache>
                <c:formatCode>General</c:formatCode>
                <c:ptCount val="2"/>
                <c:pt idx="0">
                  <c:v>355.85</c:v>
                </c:pt>
                <c:pt idx="1">
                  <c:v>274.7</c:v>
                </c:pt>
              </c:numCache>
            </c:numRef>
          </c:val>
        </c:ser>
        <c:dLbls>
          <c:showLegendKey val="false"/>
          <c:showVal val="true"/>
          <c:showCatName val="true"/>
          <c:showSerName val="tru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en-US" sz="1200"/>
              <a:t>财政拨款收、支决算总计变动情况图</a:t>
            </a:r>
            <a:endParaRPr lang="zh-CN" altLang="en-US" sz="1200"/>
          </a:p>
        </c:rich>
      </c:tx>
      <c:layout/>
      <c:overlay val="false"/>
    </c:title>
    <c:autoTitleDeleted val="false"/>
    <c:plotArea>
      <c:layout/>
      <c:barChart>
        <c:barDir val="col"/>
        <c:grouping val="clustered"/>
        <c:varyColors val="false"/>
        <c:ser>
          <c:idx val="0"/>
          <c:order val="0"/>
          <c:tx>
            <c:strRef>
              <c:f>Sheet1!$B$1</c:f>
              <c:strCache>
                <c:ptCount val="1"/>
                <c:pt idx="0">
                  <c:v>金额（万元）</c:v>
                </c:pt>
              </c:strCache>
            </c:strRef>
          </c:tx>
          <c:invertIfNegative val="false"/>
          <c:dLbls>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1252.3</a:t>
                    </a:r>
                    <a:endParaRPr lang="en-US" altLang="en-US"/>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2021年财政拨款收支总额</c:v>
                </c:pt>
                <c:pt idx="1">
                  <c:v>2022年财政拨款收支总额</c:v>
                </c:pt>
              </c:strCache>
            </c:strRef>
          </c:cat>
          <c:val>
            <c:numRef>
              <c:f>Sheet1!$B$2:$B$3</c:f>
              <c:numCache>
                <c:formatCode>General</c:formatCode>
                <c:ptCount val="2"/>
                <c:pt idx="0">
                  <c:v>1041.25</c:v>
                </c:pt>
                <c:pt idx="1">
                  <c:v>1252.3</c:v>
                </c:pt>
              </c:numCache>
            </c:numRef>
          </c:val>
        </c:ser>
        <c:dLbls>
          <c:showLegendKey val="false"/>
          <c:showVal val="true"/>
          <c:showCatName val="false"/>
          <c:showSerName val="false"/>
          <c:showPercent val="false"/>
          <c:showBubbleSize val="false"/>
        </c:dLbls>
        <c:gapWidth val="150"/>
        <c:axId val="98530816"/>
        <c:axId val="98532352"/>
      </c:barChart>
      <c:catAx>
        <c:axId val="9853081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8532352"/>
        <c:crosses val="autoZero"/>
        <c:auto val="true"/>
        <c:lblAlgn val="ctr"/>
        <c:lblOffset val="100"/>
        <c:noMultiLvlLbl val="false"/>
      </c:catAx>
      <c:valAx>
        <c:axId val="9853235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853081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a:defRPr lang="zh-CN" sz="1200" b="0" i="0" u="none" strike="noStrike" kern="1200" baseline="0">
                <a:solidFill>
                  <a:srgbClr val="000000"/>
                </a:solidFill>
                <a:latin typeface="Times New Roman" panose="02020603050405020304"/>
                <a:ea typeface="宋体" panose="02010600030101010101" charset="-122"/>
                <a:cs typeface="Arial" panose="020B0604020202020204" pitchFamily="2"/>
              </a:defRPr>
            </a:pPr>
            <a:endParaRPr lang="en-US" altLang="zh-CN" sz="1050"/>
          </a:p>
          <a:p>
            <a:pPr algn="ctr">
              <a:defRPr lang="zh-CN" sz="12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sz="1050"/>
              <a:t>一般公共预算财政拨款支出决算变动情况</a:t>
            </a:r>
            <a:endParaRPr lang="en-US" altLang="zh-CN" sz="1050"/>
          </a:p>
          <a:p>
            <a:pPr algn="ctr">
              <a:defRPr lang="zh-CN" sz="1200" b="0" i="0" u="none" strike="noStrike" kern="1200" baseline="0">
                <a:solidFill>
                  <a:srgbClr val="000000"/>
                </a:solidFill>
                <a:latin typeface="Times New Roman" panose="02020603050405020304"/>
                <a:ea typeface="宋体" panose="02010600030101010101" charset="-122"/>
                <a:cs typeface="Arial" panose="020B0604020202020204" pitchFamily="2"/>
              </a:defRPr>
            </a:pPr>
            <a:r>
              <a:rPr lang="zh-CN" sz="1050"/>
              <a:t>（单位：万元）</a:t>
            </a:r>
            <a:endParaRPr lang="zh-CN" sz="1050"/>
          </a:p>
        </c:rich>
      </c:tx>
      <c:layout>
        <c:manualLayout>
          <c:xMode val="edge"/>
          <c:yMode val="edge"/>
          <c:x val="0.301868595539482"/>
          <c:y val="0"/>
        </c:manualLayout>
      </c:layout>
      <c:overlay val="true"/>
    </c:title>
    <c:autoTitleDeleted val="false"/>
    <c:plotArea>
      <c:layout>
        <c:manualLayout>
          <c:layoutTarget val="inner"/>
          <c:xMode val="edge"/>
          <c:yMode val="edge"/>
          <c:x val="0.139770946353225"/>
          <c:y val="0.223529411764706"/>
          <c:w val="0.76145272980118"/>
          <c:h val="0.66678431372549"/>
        </c:manualLayout>
      </c:layout>
      <c:barChart>
        <c:barDir val="col"/>
        <c:grouping val="clustered"/>
        <c:varyColors val="false"/>
        <c:ser>
          <c:idx val="0"/>
          <c:order val="0"/>
          <c:tx>
            <c:strRef>
              <c:f>'Sheet1 (5)'!$B$1</c:f>
              <c:strCache>
                <c:ptCount val="1"/>
                <c:pt idx="0">
                  <c:v>2021年</c:v>
                </c:pt>
              </c:strCache>
            </c:strRef>
          </c:tx>
          <c:spPr>
            <a:solidFill>
              <a:srgbClr val="4F81BD"/>
            </a:solidFill>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(5)'!$A$2:$A$3</c:f>
              <c:strCache>
                <c:ptCount val="2"/>
                <c:pt idx="0">
                  <c:v>2021年</c:v>
                </c:pt>
                <c:pt idx="1">
                  <c:v>2022年</c:v>
                </c:pt>
              </c:strCache>
            </c:strRef>
          </c:cat>
          <c:val>
            <c:numRef>
              <c:f>'Sheet1 (5)'!$B$2:$B$3</c:f>
              <c:numCache>
                <c:formatCode>General</c:formatCode>
                <c:ptCount val="2"/>
                <c:pt idx="0">
                  <c:v>530.66</c:v>
                </c:pt>
              </c:numCache>
            </c:numRef>
          </c:val>
        </c:ser>
        <c:ser>
          <c:idx val="1"/>
          <c:order val="1"/>
          <c:tx>
            <c:strRef>
              <c:f>'Sheet1 (5)'!$C$1</c:f>
              <c:strCache>
                <c:ptCount val="1"/>
                <c:pt idx="0">
                  <c:v>2022年</c:v>
                </c:pt>
              </c:strCache>
            </c:strRef>
          </c:tx>
          <c:spPr>
            <a:solidFill>
              <a:srgbClr val="C0504D"/>
            </a:solidFill>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 (5)'!$A$2:$A$3</c:f>
              <c:strCache>
                <c:ptCount val="2"/>
                <c:pt idx="0">
                  <c:v>2021年</c:v>
                </c:pt>
                <c:pt idx="1">
                  <c:v>2022年</c:v>
                </c:pt>
              </c:strCache>
            </c:strRef>
          </c:cat>
          <c:val>
            <c:numRef>
              <c:f>'Sheet1 (5)'!$C$2:$C$3</c:f>
              <c:numCache>
                <c:formatCode>General</c:formatCode>
                <c:ptCount val="2"/>
                <c:pt idx="1">
                  <c:v>601.5</c:v>
                </c:pt>
              </c:numCache>
            </c:numRef>
          </c:val>
        </c:ser>
        <c:dLbls>
          <c:showLegendKey val="false"/>
          <c:showVal val="true"/>
          <c:showCatName val="false"/>
          <c:showSerName val="false"/>
          <c:showPercent val="false"/>
          <c:showBubbleSize val="false"/>
        </c:dLbls>
        <c:gapWidth val="150"/>
        <c:axId val="102534528"/>
        <c:axId val="167920768"/>
      </c:barChart>
      <c:catAx>
        <c:axId val="102534528"/>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crossAx val="167920768"/>
        <c:crosses val="autoZero"/>
        <c:auto val="true"/>
        <c:lblAlgn val="ctr"/>
        <c:lblOffset val="100"/>
        <c:noMultiLvlLbl val="false"/>
      </c:catAx>
      <c:valAx>
        <c:axId val="16792076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crossAx val="102534528"/>
        <c:crossesAt val="1"/>
        <c:crossBetween val="between"/>
      </c:valAx>
      <c:spPr>
        <a:solidFill>
          <a:srgbClr val="FFFFFF"/>
        </a:solidFill>
      </c:spPr>
    </c:plotArea>
    <c:legend>
      <c:legendPos val="r"/>
      <c:layout/>
      <c:overlay val="false"/>
      <c:spPr>
        <a:noFill/>
        <a:ln>
          <a:noFill/>
        </a:ln>
      </c:spPr>
      <c:txPr>
        <a:bodyPr rot="0" spcFirstLastPara="0" vertOverflow="ellipsis" vert="horz" wrap="square" anchor="ctr" anchorCtr="true"/>
        <a:lstStyle/>
        <a:p>
          <a:pPr>
            <a:defRPr lang="zh-CN" sz="1000" b="0" i="0" u="none" strike="noStrike" kern="1200" baseline="0">
              <a:solidFill>
                <a:srgbClr val="000000"/>
              </a:solidFill>
              <a:latin typeface="Times New Roman" panose="02020603050405020304"/>
              <a:ea typeface="宋体" panose="02010600030101010101" charset="-122"/>
              <a:cs typeface="Arial" panose="020B0604020202020204" pitchFamily="2"/>
            </a:defRPr>
          </a:pPr>
        </a:p>
      </c:txPr>
    </c:legend>
    <c:plotVisOnly val="true"/>
    <c:dispBlanksAs val="gap"/>
    <c:showDLblsOverMax val="false"/>
  </c:chart>
  <c:txPr>
    <a:bodyPr/>
    <a:lstStyle/>
    <a:p>
      <a:pPr>
        <a:defRPr lang="zh-CN" sz="1000" b="0" i="0" u="none" strike="noStrike" baseline="0">
          <a:solidFill>
            <a:srgbClr val="000000"/>
          </a:solidFill>
          <a:latin typeface="Times New Roman" panose="02020603050405020304"/>
          <a:ea typeface="宋体" panose="02010600030101010101" charset="-122"/>
          <a:cs typeface="Arial" panose="020B0604020202020204" pitchFamily="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true"/>
          <a:lstStyle/>
          <a:p>
            <a:pPr>
              <a:defRPr lang="zh-CN" sz="1200" b="1" i="0" u="none" strike="noStrike" kern="1200" baseline="0">
                <a:solidFill>
                  <a:schemeClr val="tx1"/>
                </a:solidFill>
                <a:latin typeface="+mn-lt"/>
                <a:ea typeface="+mn-ea"/>
                <a:cs typeface="+mn-cs"/>
              </a:defRPr>
            </a:pPr>
            <a:r>
              <a:rPr lang="zh-CN" altLang="en-US" sz="1200"/>
              <a:t>一般公共预算财政拨款支出决算结构图（单位：万元）</a:t>
            </a:r>
            <a:endParaRPr lang="zh-CN" altLang="en-US" sz="1200"/>
          </a:p>
        </c:rich>
      </c:tx>
      <c:layout>
        <c:manualLayout>
          <c:xMode val="edge"/>
          <c:yMode val="edge"/>
          <c:x val="0.13775636273783"/>
          <c:y val="0.0874938210578349"/>
        </c:manualLayout>
      </c:layout>
      <c:overlay val="false"/>
    </c:title>
    <c:autoTitleDeleted val="false"/>
    <c:plotArea>
      <c:layout/>
      <c:pieChart>
        <c:varyColors val="true"/>
        <c:ser>
          <c:idx val="0"/>
          <c:order val="0"/>
          <c:tx>
            <c:strRef>
              <c:f>Sheet1!$B$1</c:f>
              <c:strCache>
                <c:ptCount val="1"/>
                <c:pt idx="0">
                  <c:v>金额（万元）</c:v>
                </c:pt>
              </c:strCache>
            </c:strRef>
          </c:tx>
          <c:explosion val="0"/>
          <c:dPt>
            <c:idx val="0"/>
            <c:bubble3D val="false"/>
          </c:dPt>
          <c:dPt>
            <c:idx val="1"/>
            <c:bubble3D val="false"/>
          </c:dPt>
          <c:dLbls>
            <c:dLbl>
              <c:idx val="0"/>
              <c:layout>
                <c:manualLayout>
                  <c:x val="-0.0132612312186508"/>
                  <c:y val="0.023428734401905"/>
                </c:manualLayout>
              </c:layout>
              <c:tx>
                <c:rich>
                  <a:bodyPr rot="0" spcFirstLastPara="0" vertOverflow="ellipsis" vert="horz" wrap="square" lIns="38100" tIns="19050" rIns="38100" bIns="19050" anchor="ctr" anchorCtr="true"/>
                  <a:lstStyle/>
                  <a:p>
                    <a:pPr>
                      <a:defRPr lang="zh-CN" sz="1000" b="1" i="0" u="none" strike="noStrike" kern="1200" cap="none" spc="0" normalizeH="0" baseline="0">
                        <a:solidFill>
                          <a:schemeClr val="tx1"/>
                        </a:solidFill>
                        <a:uFill>
                          <a:solidFill>
                            <a:schemeClr val="tx1"/>
                          </a:solidFill>
                        </a:uFill>
                        <a:latin typeface="+mn-lt"/>
                        <a:ea typeface="+mn-ea"/>
                        <a:cs typeface="+mn-cs"/>
                      </a:defRPr>
                    </a:pPr>
                    <a:r>
                      <a:rPr lang="zh-CN" altLang="en-US" b="1" u="none" strike="noStrike" cap="none" normalizeH="0">
                        <a:solidFill>
                          <a:schemeClr val="tx1"/>
                        </a:solidFill>
                        <a:uFill>
                          <a:solidFill>
                            <a:schemeClr val="tx1"/>
                          </a:solidFill>
                        </a:uFill>
                      </a:rPr>
                      <a:t>社会保障和就业支出</a:t>
                    </a:r>
                    <a:r>
                      <a:rPr lang="en-US" altLang="zh-CN" b="1" u="none" strike="noStrike" cap="none" normalizeH="0">
                        <a:solidFill>
                          <a:schemeClr val="tx1"/>
                        </a:solidFill>
                        <a:uFill>
                          <a:solidFill>
                            <a:schemeClr val="tx1"/>
                          </a:solidFill>
                        </a:uFill>
                      </a:rPr>
                      <a:t>573.51</a:t>
                    </a:r>
                    <a:r>
                      <a:rPr altLang="en-US" b="1" u="none" strike="noStrike" cap="none" normalizeH="0">
                        <a:solidFill>
                          <a:schemeClr val="tx1"/>
                        </a:solidFill>
                        <a:uFill>
                          <a:solidFill>
                            <a:schemeClr val="tx1"/>
                          </a:solidFill>
                        </a:uFill>
                      </a:rPr>
                      <a:t>万元，占</a:t>
                    </a:r>
                    <a:r>
                      <a:rPr lang="en-US" altLang="zh-CN" b="1" u="none" strike="noStrike" cap="none" normalizeH="0">
                        <a:solidFill>
                          <a:schemeClr val="tx1"/>
                        </a:solidFill>
                        <a:uFill>
                          <a:solidFill>
                            <a:schemeClr val="tx1"/>
                          </a:solidFill>
                        </a:uFill>
                      </a:rPr>
                      <a:t>95.35%</a:t>
                    </a:r>
                    <a:endParaRPr lang="en-US" altLang="zh-CN" b="1" u="none" strike="noStrike" cap="none" normalizeH="0">
                      <a:solidFill>
                        <a:schemeClr val="tx1"/>
                      </a:solidFill>
                      <a:uFill>
                        <a:solidFill>
                          <a:schemeClr val="tx1"/>
                        </a:solidFill>
                      </a:uFill>
                    </a:endParaRPr>
                  </a:p>
                </c:rich>
              </c:tx>
              <c:dLblPos val="ctr"/>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00265224624373015"/>
                  <c:y val="-0.0281144812822859"/>
                </c:manualLayout>
              </c:layout>
              <c:tx>
                <c:rich>
                  <a:bodyPr rot="0" spcFirstLastPara="0" vertOverflow="ellipsis" vert="horz" wrap="square" lIns="38100" tIns="19050" rIns="38100" bIns="19050" anchor="ctr" anchorCtr="true"/>
                  <a:lstStyle/>
                  <a:p>
                    <a:pPr>
                      <a:defRPr lang="zh-CN" sz="1000" b="1" i="0" u="none" strike="noStrike" kern="1200" cap="none" spc="0" normalizeH="0" baseline="0">
                        <a:solidFill>
                          <a:schemeClr val="tx1"/>
                        </a:solidFill>
                        <a:uFill>
                          <a:solidFill>
                            <a:schemeClr val="tx1"/>
                          </a:solidFill>
                        </a:uFill>
                        <a:latin typeface="+mn-lt"/>
                        <a:ea typeface="+mn-ea"/>
                        <a:cs typeface="+mn-cs"/>
                      </a:defRPr>
                    </a:pPr>
                    <a:r>
                      <a:rPr lang="zh-CN" altLang="en-US" b="1" u="none" strike="noStrike" cap="none" normalizeH="0">
                        <a:solidFill>
                          <a:schemeClr val="tx1"/>
                        </a:solidFill>
                        <a:uFill>
                          <a:solidFill>
                            <a:schemeClr val="tx1"/>
                          </a:solidFill>
                        </a:uFill>
                      </a:rPr>
                      <a:t>
住房保障支出</a:t>
                    </a:r>
                    <a:r>
                      <a:rPr lang="en-US" altLang="zh-CN" b="1" u="none" strike="noStrike" cap="none" normalizeH="0">
                        <a:solidFill>
                          <a:schemeClr val="tx1"/>
                        </a:solidFill>
                        <a:uFill>
                          <a:solidFill>
                            <a:schemeClr val="tx1"/>
                          </a:solidFill>
                        </a:uFill>
                      </a:rPr>
                      <a:t>27.99</a:t>
                    </a:r>
                    <a:r>
                      <a:rPr lang="zh-CN" altLang="en-US" b="1" u="none" strike="noStrike" cap="none" normalizeH="0">
                        <a:solidFill>
                          <a:schemeClr val="tx1"/>
                        </a:solidFill>
                        <a:uFill>
                          <a:solidFill>
                            <a:schemeClr val="tx1"/>
                          </a:solidFill>
                        </a:uFill>
                      </a:rPr>
                      <a:t>万元</a:t>
                    </a:r>
                    <a:r>
                      <a:rPr lang="en-US" altLang="zh-CN" b="1" u="none" strike="noStrike" cap="none" normalizeH="0">
                        <a:solidFill>
                          <a:schemeClr val="tx1"/>
                        </a:solidFill>
                        <a:uFill>
                          <a:solidFill>
                            <a:schemeClr val="tx1"/>
                          </a:solidFill>
                        </a:uFill>
                      </a:rPr>
                      <a:t>
</a:t>
                    </a:r>
                    <a:r>
                      <a:rPr altLang="en-US" b="1" u="none" strike="noStrike" cap="none" normalizeH="0">
                        <a:solidFill>
                          <a:schemeClr val="tx1"/>
                        </a:solidFill>
                        <a:uFill>
                          <a:solidFill>
                            <a:schemeClr val="tx1"/>
                          </a:solidFill>
                        </a:uFill>
                      </a:rPr>
                      <a:t>占</a:t>
                    </a:r>
                    <a:r>
                      <a:rPr lang="en-US" altLang="zh-CN" b="1" u="none" strike="noStrike" cap="none" normalizeH="0">
                        <a:solidFill>
                          <a:schemeClr val="tx1"/>
                        </a:solidFill>
                        <a:uFill>
                          <a:solidFill>
                            <a:schemeClr val="tx1"/>
                          </a:solidFill>
                        </a:uFill>
                      </a:rPr>
                      <a:t>4.654%</a:t>
                    </a:r>
                    <a:endParaRPr lang="en-US" altLang="zh-CN" b="1" u="none" strike="noStrike" cap="none" normalizeH="0">
                      <a:solidFill>
                        <a:schemeClr val="tx1"/>
                      </a:solidFill>
                      <a:uFill>
                        <a:solidFill>
                          <a:schemeClr val="tx1"/>
                        </a:solidFill>
                      </a:uFill>
                    </a:endParaRPr>
                  </a:p>
                </c:rich>
              </c:tx>
              <c:dLblPos val="ctr"/>
              <c:showLegendKey val="false"/>
              <c:showVal val="true"/>
              <c:showCatName val="true"/>
              <c:showSerName val="false"/>
              <c:showPercent val="tru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1" i="0" u="none" strike="noStrike" kern="1200" cap="none" spc="0" normalizeH="0" baseline="0">
                    <a:solidFill>
                      <a:schemeClr val="tx1"/>
                    </a:solidFill>
                    <a:uFill>
                      <a:solidFill>
                        <a:schemeClr val="tx1"/>
                      </a:solidFill>
                    </a:uFill>
                    <a:latin typeface="+mn-lt"/>
                    <a:ea typeface="+mn-ea"/>
                    <a:cs typeface="+mn-cs"/>
                  </a:defRPr>
                </a:pPr>
              </a:p>
            </c:txPr>
            <c:dLblPos val="ctr"/>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2022年社会保障和就业支出</c:v>
                </c:pt>
                <c:pt idx="1">
                  <c:v>2022年住房保障支出</c:v>
                </c:pt>
              </c:strCache>
            </c:strRef>
          </c:cat>
          <c:val>
            <c:numRef>
              <c:f>Sheet1!$B$2:$B$3</c:f>
              <c:numCache>
                <c:formatCode>General</c:formatCode>
                <c:ptCount val="2"/>
                <c:pt idx="0">
                  <c:v>483.3</c:v>
                </c:pt>
                <c:pt idx="1">
                  <c:v>32.15</c:v>
                </c:pt>
              </c:numCache>
            </c:numRef>
          </c:val>
        </c:ser>
        <c:dLbls>
          <c:showLegendKey val="false"/>
          <c:showVal val="true"/>
          <c:showCatName val="true"/>
          <c:showSerName val="fals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年“三公”经费财政拨款决算支出</a:t>
            </a:r>
            <a:endParaRPr altLang="en-US"/>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[WPS表格工作表.xlsx]Sheet1!$A$1:$A$2</c:f>
              <c:strCache>
                <c:ptCount val="2"/>
                <c:pt idx="0">
                  <c:v>公务车运行维护费</c:v>
                </c:pt>
                <c:pt idx="1">
                  <c:v>公务接待费</c:v>
                </c:pt>
              </c:strCache>
            </c:strRef>
          </c:cat>
          <c:val>
            <c:numRef>
              <c:f>[WPS表格工作表.xlsx]Sheet1!$B$1:$B$2</c:f>
              <c:numCache>
                <c:formatCode>0.00%</c:formatCode>
                <c:ptCount val="2"/>
                <c:pt idx="0">
                  <c:v>0.8312</c:v>
                </c:pt>
                <c:pt idx="1">
                  <c:v>0.1688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4292</Words>
  <Characters>2233</Characters>
  <Lines>18</Lines>
  <Paragraphs>13</Paragraphs>
  <TotalTime>31</TotalTime>
  <ScaleCrop>false</ScaleCrop>
  <LinksUpToDate>false</LinksUpToDate>
  <CharactersWithSpaces>6512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2020-08-06T09:49:00Z</dcterms:created>
  <dc:creator>曹颖</dc:creator>
  <cp:lastModifiedBy>user</cp:lastModifiedBy>
  <cp:lastPrinted>2023-08-01T10:35:00Z</cp:lastPrinted>
  <dcterms:modified xsi:type="dcterms:W3CDTF">2024-12-19T11:18:32Z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8DD9EEF03EC3405493523592F967FD8C_13</vt:lpwstr>
  </property>
</Properties>
</file>