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C714D">
      <w:pPr>
        <w:spacing w:line="600" w:lineRule="exact"/>
        <w:jc w:val="center"/>
        <w:outlineLvl w:val="0"/>
        <w:rPr>
          <w:rFonts w:ascii="方正小标宋简体" w:hAnsi="宋体" w:eastAsia="方正小标宋简体"/>
          <w:sz w:val="72"/>
          <w:szCs w:val="72"/>
        </w:rPr>
      </w:pPr>
      <w:bookmarkStart w:id="0" w:name="_Toc15306267"/>
    </w:p>
    <w:p w14:paraId="3FB4F8E1">
      <w:pPr>
        <w:spacing w:line="600" w:lineRule="exact"/>
        <w:jc w:val="center"/>
        <w:outlineLvl w:val="0"/>
        <w:rPr>
          <w:rFonts w:ascii="方正小标宋简体" w:hAnsi="宋体" w:eastAsia="方正小标宋简体"/>
          <w:sz w:val="72"/>
          <w:szCs w:val="72"/>
        </w:rPr>
      </w:pPr>
    </w:p>
    <w:p w14:paraId="62A438D5">
      <w:pPr>
        <w:spacing w:line="600" w:lineRule="exact"/>
        <w:jc w:val="center"/>
        <w:outlineLvl w:val="0"/>
        <w:rPr>
          <w:rFonts w:ascii="方正小标宋简体" w:hAnsi="宋体" w:eastAsia="方正小标宋简体"/>
          <w:sz w:val="72"/>
          <w:szCs w:val="72"/>
        </w:rPr>
      </w:pPr>
    </w:p>
    <w:p w14:paraId="34A9CF00">
      <w:pPr>
        <w:jc w:val="center"/>
        <w:rPr>
          <w:rFonts w:hint="eastAsia" w:ascii="方正小标宋_GBK" w:eastAsia="方正小标宋_GBK"/>
          <w:spacing w:val="-10"/>
          <w:sz w:val="44"/>
          <w:szCs w:val="44"/>
        </w:rPr>
      </w:pPr>
    </w:p>
    <w:p w14:paraId="35319112">
      <w:pPr>
        <w:widowControl/>
        <w:suppressAutoHyphens/>
        <w:jc w:val="center"/>
        <w:outlineLvl w:val="9"/>
        <w:rPr>
          <w:rFonts w:hint="eastAsia" w:ascii="方正小标宋_GBK" w:hAnsi="Times New Roman" w:eastAsia="方正小标宋_GBK" w:cs="Times New Roman"/>
          <w:spacing w:val="0"/>
          <w:kern w:val="70"/>
          <w:sz w:val="44"/>
          <w:szCs w:val="44"/>
        </w:rPr>
      </w:pPr>
      <w:bookmarkStart w:id="1" w:name="_Toc15396475"/>
      <w:bookmarkStart w:id="2" w:name="_Toc15396597"/>
      <w:bookmarkStart w:id="3" w:name="_Toc15377425"/>
      <w:bookmarkStart w:id="4" w:name="_Toc15378441"/>
      <w:bookmarkStart w:id="5" w:name="_Toc15377193"/>
      <w:r>
        <w:rPr>
          <w:rFonts w:hint="eastAsia" w:ascii="方正小标宋_GBK" w:hAnsi="Times New Roman" w:eastAsia="方正小标宋_GBK" w:cs="Times New Roman"/>
          <w:spacing w:val="0"/>
          <w:kern w:val="70"/>
          <w:sz w:val="44"/>
          <w:szCs w:val="44"/>
        </w:rPr>
        <w:t>攀枝花市儿童福利院</w:t>
      </w:r>
    </w:p>
    <w:p w14:paraId="7AE43C89">
      <w:pPr>
        <w:widowControl/>
        <w:suppressAutoHyphens/>
        <w:jc w:val="center"/>
        <w:outlineLvl w:val="9"/>
        <w:rPr>
          <w:rFonts w:hint="eastAsia" w:ascii="方正小标宋_GBK" w:hAnsi="Times New Roman" w:eastAsia="方正小标宋_GBK" w:cs="Times New Roman"/>
          <w:spacing w:val="0"/>
          <w:kern w:val="70"/>
          <w:sz w:val="44"/>
          <w:szCs w:val="44"/>
        </w:rPr>
      </w:pPr>
      <w:r>
        <w:rPr>
          <w:rFonts w:hint="eastAsia" w:ascii="方正小标宋_GBK" w:hAnsi="Times New Roman" w:eastAsia="方正小标宋_GBK" w:cs="Times New Roman"/>
          <w:spacing w:val="0"/>
          <w:kern w:val="70"/>
          <w:sz w:val="44"/>
          <w:szCs w:val="44"/>
        </w:rPr>
        <w:t>2021年度</w:t>
      </w:r>
      <w:bookmarkEnd w:id="0"/>
      <w:bookmarkEnd w:id="1"/>
      <w:bookmarkEnd w:id="2"/>
      <w:bookmarkEnd w:id="3"/>
      <w:bookmarkEnd w:id="4"/>
      <w:bookmarkEnd w:id="5"/>
      <w:bookmarkStart w:id="6" w:name="_Toc15396598"/>
      <w:bookmarkStart w:id="7" w:name="_Toc15378442"/>
      <w:bookmarkStart w:id="8" w:name="_Toc15377426"/>
      <w:bookmarkStart w:id="9" w:name="_Toc15377194"/>
      <w:bookmarkStart w:id="10" w:name="_Toc15396476"/>
      <w:bookmarkStart w:id="11" w:name="_Toc15306268"/>
      <w:r>
        <w:rPr>
          <w:rFonts w:hint="eastAsia" w:ascii="方正小标宋_GBK" w:hAnsi="Times New Roman" w:eastAsia="方正小标宋_GBK" w:cs="Times New Roman"/>
          <w:spacing w:val="0"/>
          <w:kern w:val="70"/>
          <w:sz w:val="44"/>
          <w:szCs w:val="44"/>
        </w:rPr>
        <w:t>单位决算</w:t>
      </w:r>
      <w:bookmarkEnd w:id="6"/>
      <w:bookmarkEnd w:id="7"/>
      <w:bookmarkEnd w:id="8"/>
      <w:bookmarkEnd w:id="9"/>
      <w:bookmarkEnd w:id="10"/>
      <w:bookmarkEnd w:id="11"/>
    </w:p>
    <w:p w14:paraId="6C07E70C">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4"/>
          <w:szCs w:val="44"/>
        </w:rPr>
        <w:t>目录</w:t>
      </w:r>
    </w:p>
    <w:p w14:paraId="400394AB">
      <w:pPr>
        <w:widowControl/>
        <w:jc w:val="center"/>
        <w:rPr>
          <w:rFonts w:ascii="黑体" w:hAnsi="黑体" w:eastAsia="黑体" w:cstheme="minorBidi"/>
          <w:sz w:val="28"/>
          <w:szCs w:val="28"/>
        </w:rPr>
      </w:pPr>
    </w:p>
    <w:p w14:paraId="25791B54">
      <w:pPr>
        <w:pStyle w:val="12"/>
      </w:pPr>
      <w:r>
        <w:rPr>
          <w:rFonts w:hint="eastAsia"/>
        </w:rPr>
        <w:t>公开时间：2022年9月14日</w:t>
      </w:r>
    </w:p>
    <w:p w14:paraId="0BE5CDE3">
      <w:pPr>
        <w:pStyle w:val="13"/>
        <w:adjustRightInd w:val="0"/>
        <w:snapToGrid w:val="0"/>
        <w:spacing w:line="440" w:lineRule="exact"/>
        <w:ind w:left="0" w:leftChars="0"/>
        <w:jc w:val="left"/>
        <w:rPr>
          <w:sz w:val="24"/>
        </w:rPr>
      </w:pPr>
      <w:r>
        <w:rPr>
          <w:rFonts w:hint="eastAsia"/>
          <w:sz w:val="24"/>
        </w:rPr>
        <w:t>第一部分 部门概况</w:t>
      </w:r>
    </w:p>
    <w:p w14:paraId="59F44EA7">
      <w:pPr>
        <w:pStyle w:val="13"/>
        <w:adjustRightInd w:val="0"/>
        <w:snapToGrid w:val="0"/>
        <w:spacing w:line="440" w:lineRule="exact"/>
        <w:ind w:left="632"/>
        <w:jc w:val="left"/>
        <w:rPr>
          <w:rFonts w:ascii="仿宋" w:hAnsi="仿宋" w:eastAsia="仿宋"/>
          <w:sz w:val="24"/>
        </w:rPr>
      </w:pPr>
      <w:r>
        <w:rPr>
          <w:rFonts w:hint="eastAsia"/>
          <w:sz w:val="24"/>
        </w:rPr>
        <w:t>一、职能简介---------------------------------------------------------------------------4</w:t>
      </w:r>
    </w:p>
    <w:p w14:paraId="675871AF">
      <w:pPr>
        <w:pStyle w:val="13"/>
        <w:adjustRightInd w:val="0"/>
        <w:snapToGrid w:val="0"/>
        <w:spacing w:line="440" w:lineRule="exact"/>
        <w:ind w:left="632"/>
        <w:jc w:val="left"/>
        <w:rPr>
          <w:rFonts w:hint="eastAsia"/>
          <w:sz w:val="24"/>
        </w:rPr>
      </w:pPr>
      <w:r>
        <w:rPr>
          <w:rFonts w:hint="eastAsia"/>
          <w:sz w:val="24"/>
        </w:rPr>
        <w:t>二、</w:t>
      </w:r>
      <w:r>
        <w:rPr>
          <w:rFonts w:hint="eastAsia"/>
          <w:sz w:val="24"/>
          <w:lang w:val="en-US" w:eastAsia="zh-CN"/>
        </w:rPr>
        <w:t>机构设置情况</w:t>
      </w:r>
      <w:r>
        <w:rPr>
          <w:rFonts w:hint="eastAsia"/>
          <w:sz w:val="24"/>
        </w:rPr>
        <w:t>------------------------------------------</w:t>
      </w:r>
      <w:r>
        <w:rPr>
          <w:rFonts w:hint="eastAsia"/>
          <w:sz w:val="24"/>
          <w:lang w:val="en-US" w:eastAsia="zh-CN"/>
        </w:rPr>
        <w:t>----------</w:t>
      </w:r>
      <w:r>
        <w:rPr>
          <w:rFonts w:hint="eastAsia"/>
          <w:sz w:val="24"/>
        </w:rPr>
        <w:t>-----------------4</w:t>
      </w:r>
    </w:p>
    <w:p w14:paraId="2911A379">
      <w:pPr>
        <w:pStyle w:val="13"/>
        <w:adjustRightInd w:val="0"/>
        <w:snapToGrid w:val="0"/>
        <w:spacing w:line="440" w:lineRule="exact"/>
        <w:ind w:left="632"/>
        <w:jc w:val="left"/>
        <w:rPr>
          <w:rFonts w:hint="default" w:eastAsia="仿宋_GB2312"/>
          <w:sz w:val="24"/>
          <w:lang w:val="en-US" w:eastAsia="zh-CN"/>
        </w:rPr>
      </w:pPr>
      <w:r>
        <w:rPr>
          <w:rFonts w:hint="eastAsia"/>
          <w:sz w:val="24"/>
          <w:lang w:val="en-US" w:eastAsia="zh-CN"/>
        </w:rPr>
        <w:t>三、</w:t>
      </w:r>
      <w:r>
        <w:rPr>
          <w:rFonts w:hint="eastAsia"/>
          <w:sz w:val="24"/>
        </w:rPr>
        <w:t>2021年重点工作完成情况-----------------------------------------</w:t>
      </w:r>
      <w:r>
        <w:rPr>
          <w:rFonts w:hint="eastAsia"/>
          <w:sz w:val="24"/>
          <w:lang w:val="en-US" w:eastAsia="zh-CN"/>
        </w:rPr>
        <w:t>-</w:t>
      </w:r>
      <w:r>
        <w:rPr>
          <w:rFonts w:hint="eastAsia"/>
          <w:sz w:val="24"/>
        </w:rPr>
        <w:t>-----------</w:t>
      </w:r>
      <w:r>
        <w:rPr>
          <w:rFonts w:hint="eastAsia"/>
          <w:sz w:val="24"/>
          <w:lang w:val="en-US" w:eastAsia="zh-CN"/>
        </w:rPr>
        <w:t>4</w:t>
      </w:r>
    </w:p>
    <w:p w14:paraId="284C3874">
      <w:pPr>
        <w:pStyle w:val="13"/>
        <w:adjustRightInd w:val="0"/>
        <w:snapToGrid w:val="0"/>
        <w:spacing w:line="440" w:lineRule="exact"/>
        <w:ind w:left="0" w:leftChars="0"/>
        <w:jc w:val="left"/>
        <w:rPr>
          <w:sz w:val="24"/>
        </w:rPr>
      </w:pPr>
      <w:r>
        <w:rPr>
          <w:rFonts w:hint="eastAsia"/>
          <w:sz w:val="24"/>
        </w:rPr>
        <w:t>第二部分2021年度单位决算情况说明</w:t>
      </w:r>
    </w:p>
    <w:p w14:paraId="21B86135">
      <w:pPr>
        <w:pStyle w:val="13"/>
        <w:adjustRightInd w:val="0"/>
        <w:snapToGrid w:val="0"/>
        <w:spacing w:line="440" w:lineRule="exact"/>
        <w:ind w:left="632"/>
        <w:jc w:val="left"/>
        <w:rPr>
          <w:rFonts w:hint="eastAsia" w:ascii="仿宋" w:hAnsi="仿宋" w:eastAsia="仿宋_GB2312"/>
          <w:sz w:val="24"/>
          <w:lang w:val="en-US" w:eastAsia="zh-CN"/>
        </w:rPr>
      </w:pPr>
      <w:r>
        <w:rPr>
          <w:rFonts w:hint="eastAsia"/>
          <w:sz w:val="24"/>
        </w:rPr>
        <w:t>一、收入支出决算总体情况说明---------------------------------------------------1</w:t>
      </w:r>
      <w:r>
        <w:rPr>
          <w:rFonts w:hint="eastAsia"/>
          <w:sz w:val="24"/>
          <w:lang w:val="en-US" w:eastAsia="zh-CN"/>
        </w:rPr>
        <w:t>2</w:t>
      </w:r>
    </w:p>
    <w:p w14:paraId="42C6BB4A">
      <w:pPr>
        <w:pStyle w:val="13"/>
        <w:adjustRightInd w:val="0"/>
        <w:snapToGrid w:val="0"/>
        <w:spacing w:line="440" w:lineRule="exact"/>
        <w:ind w:left="632"/>
        <w:jc w:val="left"/>
        <w:rPr>
          <w:rFonts w:ascii="仿宋" w:hAnsi="仿宋"/>
          <w:sz w:val="24"/>
        </w:rPr>
      </w:pPr>
      <w:r>
        <w:rPr>
          <w:rFonts w:hint="eastAsia"/>
          <w:sz w:val="24"/>
        </w:rPr>
        <w:t>二、收入决算情况说明---------------------------------------------------------------12</w:t>
      </w:r>
    </w:p>
    <w:p w14:paraId="001C4E8D">
      <w:pPr>
        <w:pStyle w:val="13"/>
        <w:adjustRightInd w:val="0"/>
        <w:snapToGrid w:val="0"/>
        <w:spacing w:line="440" w:lineRule="exact"/>
        <w:ind w:left="632"/>
        <w:jc w:val="left"/>
        <w:rPr>
          <w:rFonts w:ascii="仿宋" w:hAnsi="仿宋"/>
          <w:sz w:val="24"/>
        </w:rPr>
      </w:pPr>
      <w:r>
        <w:rPr>
          <w:rFonts w:hint="eastAsia"/>
          <w:sz w:val="24"/>
        </w:rPr>
        <w:t>三、支出决算情况说明---------------------------------------------------------------13</w:t>
      </w:r>
    </w:p>
    <w:p w14:paraId="49FAF115">
      <w:pPr>
        <w:pStyle w:val="13"/>
        <w:adjustRightInd w:val="0"/>
        <w:snapToGrid w:val="0"/>
        <w:spacing w:line="440" w:lineRule="exact"/>
        <w:ind w:left="632"/>
        <w:jc w:val="left"/>
        <w:rPr>
          <w:rFonts w:ascii="仿宋" w:hAnsi="仿宋"/>
          <w:sz w:val="24"/>
        </w:rPr>
      </w:pPr>
      <w:r>
        <w:rPr>
          <w:rFonts w:hint="eastAsia"/>
          <w:sz w:val="24"/>
        </w:rPr>
        <w:t>四、财政拨款收入支出决算总体情况说明---------------------------------------13</w:t>
      </w:r>
    </w:p>
    <w:p w14:paraId="3A2A6728">
      <w:pPr>
        <w:pStyle w:val="13"/>
        <w:adjustRightInd w:val="0"/>
        <w:snapToGrid w:val="0"/>
        <w:spacing w:line="440" w:lineRule="exact"/>
        <w:ind w:left="632"/>
        <w:jc w:val="left"/>
        <w:rPr>
          <w:rFonts w:ascii="仿宋" w:hAnsi="仿宋"/>
          <w:sz w:val="24"/>
        </w:rPr>
      </w:pPr>
      <w:r>
        <w:rPr>
          <w:rFonts w:hint="eastAsia"/>
          <w:sz w:val="24"/>
        </w:rPr>
        <w:t>五、一般公共预算财政拨款支出决算情况说明---------------------------------14</w:t>
      </w:r>
    </w:p>
    <w:p w14:paraId="3A6A0FF6">
      <w:pPr>
        <w:pStyle w:val="13"/>
        <w:adjustRightInd w:val="0"/>
        <w:snapToGrid w:val="0"/>
        <w:spacing w:line="440" w:lineRule="exact"/>
        <w:ind w:left="632"/>
        <w:jc w:val="left"/>
        <w:rPr>
          <w:rFonts w:hint="eastAsia" w:ascii="仿宋" w:hAnsi="仿宋" w:eastAsia="仿宋_GB2312"/>
          <w:sz w:val="24"/>
          <w:lang w:val="en-US" w:eastAsia="zh-CN"/>
        </w:rPr>
      </w:pPr>
      <w:r>
        <w:rPr>
          <w:rFonts w:hint="eastAsia"/>
          <w:sz w:val="24"/>
        </w:rPr>
        <w:t>六、一般公共预算财政拨款基本支出决算情况说明---------------------------1</w:t>
      </w:r>
      <w:r>
        <w:rPr>
          <w:rFonts w:hint="eastAsia"/>
          <w:sz w:val="24"/>
          <w:lang w:val="en-US" w:eastAsia="zh-CN"/>
        </w:rPr>
        <w:t>6</w:t>
      </w:r>
    </w:p>
    <w:p w14:paraId="5A79B382">
      <w:pPr>
        <w:pStyle w:val="13"/>
        <w:adjustRightInd w:val="0"/>
        <w:snapToGrid w:val="0"/>
        <w:spacing w:line="440" w:lineRule="exact"/>
        <w:ind w:left="632"/>
        <w:jc w:val="left"/>
        <w:rPr>
          <w:rFonts w:ascii="仿宋" w:hAnsi="仿宋"/>
          <w:sz w:val="24"/>
        </w:rPr>
      </w:pPr>
      <w:r>
        <w:rPr>
          <w:rFonts w:hint="eastAsia"/>
          <w:sz w:val="24"/>
        </w:rPr>
        <w:t>七、</w:t>
      </w:r>
      <w:r>
        <w:rPr>
          <w:sz w:val="24"/>
        </w:rPr>
        <w:t>“</w:t>
      </w:r>
      <w:r>
        <w:rPr>
          <w:rFonts w:hint="eastAsia"/>
          <w:sz w:val="24"/>
        </w:rPr>
        <w:t>三公”经费财政拨款支出决算情况说明-----------------------------------16</w:t>
      </w:r>
    </w:p>
    <w:p w14:paraId="24A37248">
      <w:pPr>
        <w:pStyle w:val="13"/>
        <w:adjustRightInd w:val="0"/>
        <w:snapToGrid w:val="0"/>
        <w:spacing w:line="440" w:lineRule="exact"/>
        <w:ind w:left="632"/>
        <w:jc w:val="left"/>
        <w:rPr>
          <w:rFonts w:ascii="仿宋" w:hAnsi="仿宋"/>
          <w:sz w:val="24"/>
        </w:rPr>
      </w:pPr>
      <w:r>
        <w:rPr>
          <w:rFonts w:hint="eastAsia"/>
          <w:sz w:val="24"/>
        </w:rPr>
        <w:t>八、政府性基金预算支出决算情况说明------------------------------------------18</w:t>
      </w:r>
    </w:p>
    <w:p w14:paraId="5C245614">
      <w:pPr>
        <w:pStyle w:val="13"/>
        <w:adjustRightInd w:val="0"/>
        <w:snapToGrid w:val="0"/>
        <w:spacing w:line="440" w:lineRule="exact"/>
        <w:ind w:left="632"/>
        <w:jc w:val="left"/>
        <w:rPr>
          <w:sz w:val="24"/>
        </w:rPr>
      </w:pPr>
      <w:r>
        <w:rPr>
          <w:rFonts w:hint="eastAsia"/>
          <w:sz w:val="24"/>
        </w:rPr>
        <w:t>九、国有资本经营预算支出决算情况说明---------------------------------------18</w:t>
      </w:r>
    </w:p>
    <w:p w14:paraId="5F490CFC">
      <w:pPr>
        <w:pStyle w:val="13"/>
        <w:adjustRightInd w:val="0"/>
        <w:snapToGrid w:val="0"/>
        <w:spacing w:line="440" w:lineRule="exact"/>
        <w:ind w:left="632"/>
        <w:jc w:val="left"/>
        <w:rPr>
          <w:sz w:val="24"/>
        </w:rPr>
      </w:pPr>
      <w:r>
        <w:rPr>
          <w:rFonts w:hint="eastAsia"/>
          <w:sz w:val="24"/>
        </w:rPr>
        <w:t>十、其他重要事项的情况说明------------------------------------------------------18</w:t>
      </w:r>
    </w:p>
    <w:p w14:paraId="0E349D39">
      <w:pPr>
        <w:pStyle w:val="13"/>
        <w:adjustRightInd w:val="0"/>
        <w:snapToGrid w:val="0"/>
        <w:spacing w:line="440" w:lineRule="exact"/>
        <w:ind w:left="0" w:leftChars="0"/>
        <w:jc w:val="left"/>
        <w:rPr>
          <w:sz w:val="24"/>
        </w:rPr>
      </w:pPr>
      <w:r>
        <w:rPr>
          <w:rFonts w:hint="eastAsia"/>
          <w:sz w:val="24"/>
        </w:rPr>
        <w:t>第三部分 名词解释 ------------------------------------------------------------------- ------20</w:t>
      </w:r>
    </w:p>
    <w:p w14:paraId="513A4BE4">
      <w:pPr>
        <w:pStyle w:val="13"/>
        <w:adjustRightInd w:val="0"/>
        <w:snapToGrid w:val="0"/>
        <w:spacing w:line="440" w:lineRule="exact"/>
        <w:ind w:left="0" w:leftChars="0"/>
        <w:jc w:val="left"/>
        <w:rPr>
          <w:sz w:val="24"/>
        </w:rPr>
      </w:pPr>
      <w:r>
        <w:rPr>
          <w:rFonts w:hint="eastAsia"/>
          <w:sz w:val="24"/>
        </w:rPr>
        <w:t>第四部分 附件</w:t>
      </w:r>
    </w:p>
    <w:p w14:paraId="64E97806">
      <w:pPr>
        <w:pStyle w:val="13"/>
        <w:adjustRightInd w:val="0"/>
        <w:snapToGrid w:val="0"/>
        <w:spacing w:line="440" w:lineRule="exact"/>
        <w:ind w:left="632"/>
        <w:jc w:val="left"/>
        <w:rPr>
          <w:rFonts w:ascii="仿宋" w:hAnsi="仿宋"/>
          <w:sz w:val="24"/>
        </w:rPr>
      </w:pPr>
      <w:r>
        <w:rPr>
          <w:rFonts w:hint="eastAsia"/>
          <w:sz w:val="24"/>
        </w:rPr>
        <w:t>附件</w:t>
      </w:r>
      <w:r>
        <w:rPr>
          <w:sz w:val="24"/>
        </w:rPr>
        <w:t>1</w:t>
      </w:r>
      <w:r>
        <w:rPr>
          <w:rFonts w:hint="eastAsia"/>
          <w:sz w:val="24"/>
        </w:rPr>
        <w:t>-------------------------------------------------------------------------------------22</w:t>
      </w:r>
    </w:p>
    <w:p w14:paraId="3B156182">
      <w:pPr>
        <w:pStyle w:val="13"/>
        <w:adjustRightInd w:val="0"/>
        <w:snapToGrid w:val="0"/>
        <w:spacing w:line="440" w:lineRule="exact"/>
        <w:ind w:left="632"/>
        <w:jc w:val="left"/>
        <w:rPr>
          <w:sz w:val="24"/>
        </w:rPr>
      </w:pPr>
      <w:r>
        <w:rPr>
          <w:rFonts w:hint="eastAsia"/>
          <w:sz w:val="24"/>
        </w:rPr>
        <w:t>附件</w:t>
      </w:r>
      <w:r>
        <w:rPr>
          <w:sz w:val="24"/>
        </w:rPr>
        <w:t>2</w:t>
      </w:r>
      <w:r>
        <w:rPr>
          <w:rFonts w:hint="eastAsia"/>
          <w:sz w:val="24"/>
        </w:rPr>
        <w:t>-------------------------------------------------------------------------------------23</w:t>
      </w:r>
    </w:p>
    <w:p w14:paraId="4F76E078">
      <w:pPr>
        <w:pStyle w:val="13"/>
        <w:adjustRightInd w:val="0"/>
        <w:snapToGrid w:val="0"/>
        <w:spacing w:line="440" w:lineRule="exact"/>
        <w:ind w:left="632"/>
        <w:jc w:val="left"/>
        <w:rPr>
          <w:rFonts w:ascii="仿宋" w:hAnsi="仿宋"/>
          <w:sz w:val="24"/>
        </w:rPr>
      </w:pPr>
      <w:r>
        <w:rPr>
          <w:rFonts w:hint="eastAsia"/>
          <w:sz w:val="24"/>
        </w:rPr>
        <w:t>附件3-------------------------------------------------------------------------------------24</w:t>
      </w:r>
    </w:p>
    <w:p w14:paraId="59E43444">
      <w:pPr>
        <w:pStyle w:val="13"/>
        <w:adjustRightInd w:val="0"/>
        <w:snapToGrid w:val="0"/>
        <w:spacing w:line="440" w:lineRule="exact"/>
        <w:ind w:left="632"/>
        <w:jc w:val="left"/>
        <w:rPr>
          <w:rFonts w:ascii="仿宋" w:hAnsi="仿宋"/>
          <w:sz w:val="24"/>
        </w:rPr>
      </w:pPr>
      <w:r>
        <w:rPr>
          <w:rFonts w:hint="eastAsia"/>
          <w:sz w:val="24"/>
        </w:rPr>
        <w:t>附件4-------------------------------------------------------------------------------------25</w:t>
      </w:r>
    </w:p>
    <w:p w14:paraId="0D5AD23C">
      <w:pPr>
        <w:pStyle w:val="13"/>
        <w:adjustRightInd w:val="0"/>
        <w:snapToGrid w:val="0"/>
        <w:spacing w:line="440" w:lineRule="exact"/>
        <w:ind w:left="632"/>
        <w:jc w:val="left"/>
        <w:rPr>
          <w:rFonts w:ascii="仿宋" w:hAnsi="仿宋"/>
          <w:sz w:val="24"/>
        </w:rPr>
      </w:pPr>
      <w:r>
        <w:rPr>
          <w:rFonts w:hint="eastAsia"/>
          <w:sz w:val="24"/>
        </w:rPr>
        <w:t>附件5-------------------------------------------------------------------------------------26</w:t>
      </w:r>
    </w:p>
    <w:p w14:paraId="02DD5605">
      <w:pPr>
        <w:pStyle w:val="13"/>
        <w:adjustRightInd w:val="0"/>
        <w:snapToGrid w:val="0"/>
        <w:spacing w:line="440" w:lineRule="exact"/>
        <w:ind w:left="0" w:leftChars="0"/>
        <w:jc w:val="left"/>
        <w:rPr>
          <w:sz w:val="24"/>
        </w:rPr>
      </w:pPr>
      <w:r>
        <w:rPr>
          <w:rFonts w:hint="eastAsia"/>
          <w:sz w:val="24"/>
        </w:rPr>
        <w:t>第五部分 附表</w:t>
      </w:r>
    </w:p>
    <w:p w14:paraId="5F938011">
      <w:pPr>
        <w:pStyle w:val="13"/>
        <w:adjustRightInd w:val="0"/>
        <w:snapToGrid w:val="0"/>
        <w:spacing w:line="440" w:lineRule="exact"/>
        <w:ind w:left="632"/>
        <w:jc w:val="left"/>
        <w:rPr>
          <w:sz w:val="24"/>
        </w:rPr>
      </w:pPr>
      <w:r>
        <w:rPr>
          <w:rFonts w:hint="eastAsia"/>
          <w:sz w:val="24"/>
        </w:rPr>
        <w:t>一、收入支出决算总表---------------------------------------------------------------27</w:t>
      </w:r>
    </w:p>
    <w:p w14:paraId="366BB6AA">
      <w:pPr>
        <w:pStyle w:val="13"/>
        <w:adjustRightInd w:val="0"/>
        <w:snapToGrid w:val="0"/>
        <w:spacing w:line="440" w:lineRule="exact"/>
        <w:ind w:left="632"/>
        <w:jc w:val="left"/>
        <w:rPr>
          <w:sz w:val="24"/>
        </w:rPr>
      </w:pPr>
      <w:r>
        <w:rPr>
          <w:rFonts w:hint="eastAsia"/>
          <w:sz w:val="24"/>
        </w:rPr>
        <w:t>二、收入决算表------------------------------------------------------------------------27</w:t>
      </w:r>
    </w:p>
    <w:p w14:paraId="7836CEAD">
      <w:pPr>
        <w:pStyle w:val="13"/>
        <w:adjustRightInd w:val="0"/>
        <w:snapToGrid w:val="0"/>
        <w:spacing w:line="440" w:lineRule="exact"/>
        <w:ind w:left="632"/>
        <w:jc w:val="left"/>
        <w:rPr>
          <w:sz w:val="24"/>
        </w:rPr>
      </w:pPr>
      <w:r>
        <w:rPr>
          <w:rFonts w:hint="eastAsia"/>
          <w:sz w:val="24"/>
        </w:rPr>
        <w:t>三、支出决算表------------------------------------------------------------------------27</w:t>
      </w:r>
    </w:p>
    <w:p w14:paraId="15F378A0">
      <w:pPr>
        <w:pStyle w:val="13"/>
        <w:adjustRightInd w:val="0"/>
        <w:snapToGrid w:val="0"/>
        <w:spacing w:line="440" w:lineRule="exact"/>
        <w:ind w:left="632"/>
        <w:jc w:val="left"/>
        <w:rPr>
          <w:sz w:val="24"/>
        </w:rPr>
      </w:pPr>
      <w:r>
        <w:rPr>
          <w:rFonts w:hint="eastAsia"/>
          <w:sz w:val="24"/>
        </w:rPr>
        <w:t>四、财政拨款收入支出决算总表---------------------------------------------------27</w:t>
      </w:r>
    </w:p>
    <w:p w14:paraId="7A17885F">
      <w:pPr>
        <w:pStyle w:val="13"/>
        <w:adjustRightInd w:val="0"/>
        <w:snapToGrid w:val="0"/>
        <w:spacing w:line="440" w:lineRule="exact"/>
        <w:ind w:left="632"/>
        <w:jc w:val="left"/>
        <w:rPr>
          <w:sz w:val="24"/>
        </w:rPr>
      </w:pPr>
      <w:r>
        <w:rPr>
          <w:rFonts w:hint="eastAsia"/>
          <w:sz w:val="24"/>
        </w:rPr>
        <w:t>五、财政拨款支出决算明细表------------------------------------------------------27</w:t>
      </w:r>
    </w:p>
    <w:p w14:paraId="4A97060D">
      <w:pPr>
        <w:pStyle w:val="13"/>
        <w:adjustRightInd w:val="0"/>
        <w:snapToGrid w:val="0"/>
        <w:spacing w:line="440" w:lineRule="exact"/>
        <w:ind w:left="632"/>
        <w:jc w:val="left"/>
        <w:rPr>
          <w:sz w:val="24"/>
        </w:rPr>
      </w:pPr>
      <w:r>
        <w:rPr>
          <w:rFonts w:hint="eastAsia"/>
          <w:sz w:val="24"/>
        </w:rPr>
        <w:t>六、一般公共预算财政拨款支出决算表------------------------------------------27</w:t>
      </w:r>
    </w:p>
    <w:p w14:paraId="6C99BE5F">
      <w:pPr>
        <w:pStyle w:val="13"/>
        <w:adjustRightInd w:val="0"/>
        <w:snapToGrid w:val="0"/>
        <w:spacing w:line="440" w:lineRule="exact"/>
        <w:ind w:left="632"/>
        <w:jc w:val="left"/>
        <w:rPr>
          <w:sz w:val="24"/>
        </w:rPr>
      </w:pPr>
      <w:r>
        <w:rPr>
          <w:rFonts w:hint="eastAsia"/>
          <w:sz w:val="24"/>
        </w:rPr>
        <w:t>七、一般公共预算财政拨款支出决算明细表------------------------------------27</w:t>
      </w:r>
    </w:p>
    <w:p w14:paraId="49C41EB7">
      <w:pPr>
        <w:pStyle w:val="13"/>
        <w:adjustRightInd w:val="0"/>
        <w:snapToGrid w:val="0"/>
        <w:spacing w:line="440" w:lineRule="exact"/>
        <w:ind w:left="632"/>
        <w:jc w:val="left"/>
        <w:rPr>
          <w:sz w:val="24"/>
        </w:rPr>
      </w:pPr>
      <w:r>
        <w:rPr>
          <w:rFonts w:hint="eastAsia"/>
          <w:sz w:val="24"/>
        </w:rPr>
        <w:t>八、一般公共预算财政拨款基本支出决算表------------------------------------27</w:t>
      </w:r>
    </w:p>
    <w:p w14:paraId="1F8933A8">
      <w:pPr>
        <w:pStyle w:val="13"/>
        <w:adjustRightInd w:val="0"/>
        <w:snapToGrid w:val="0"/>
        <w:spacing w:line="440" w:lineRule="exact"/>
        <w:ind w:left="632"/>
        <w:jc w:val="left"/>
        <w:rPr>
          <w:sz w:val="24"/>
        </w:rPr>
      </w:pPr>
      <w:r>
        <w:rPr>
          <w:rFonts w:hint="eastAsia"/>
          <w:sz w:val="24"/>
        </w:rPr>
        <w:t>九、一般公共预算财政拨款项目支出决算表------------------------------------27</w:t>
      </w:r>
    </w:p>
    <w:p w14:paraId="19BEE91E">
      <w:pPr>
        <w:pStyle w:val="13"/>
        <w:adjustRightInd w:val="0"/>
        <w:snapToGrid w:val="0"/>
        <w:spacing w:line="440" w:lineRule="exact"/>
        <w:ind w:left="632"/>
        <w:jc w:val="left"/>
        <w:rPr>
          <w:sz w:val="24"/>
        </w:rPr>
      </w:pPr>
      <w:r>
        <w:rPr>
          <w:rFonts w:hint="eastAsia"/>
          <w:sz w:val="24"/>
        </w:rPr>
        <w:t>十、一般公共预算财政拨款“三公”经费支出决算表------------------------27</w:t>
      </w:r>
    </w:p>
    <w:p w14:paraId="1E8E87E6">
      <w:pPr>
        <w:pStyle w:val="13"/>
        <w:adjustRightInd w:val="0"/>
        <w:snapToGrid w:val="0"/>
        <w:spacing w:line="440" w:lineRule="exact"/>
        <w:ind w:left="632"/>
        <w:jc w:val="left"/>
        <w:rPr>
          <w:sz w:val="24"/>
        </w:rPr>
      </w:pPr>
      <w:r>
        <w:rPr>
          <w:rFonts w:hint="eastAsia"/>
          <w:sz w:val="24"/>
        </w:rPr>
        <w:t>十一、政府性基金预算财政拨款收入支出决算表------------------------------27</w:t>
      </w:r>
    </w:p>
    <w:p w14:paraId="65E3CB83">
      <w:pPr>
        <w:pStyle w:val="13"/>
        <w:adjustRightInd w:val="0"/>
        <w:snapToGrid w:val="0"/>
        <w:spacing w:line="440" w:lineRule="exact"/>
        <w:ind w:left="632"/>
        <w:jc w:val="left"/>
        <w:rPr>
          <w:sz w:val="24"/>
        </w:rPr>
      </w:pPr>
      <w:r>
        <w:rPr>
          <w:rFonts w:hint="eastAsia"/>
          <w:sz w:val="24"/>
        </w:rPr>
        <w:t>十二、政府性基金预算财政拨款“三公”经费支出决算表------------------27</w:t>
      </w:r>
    </w:p>
    <w:p w14:paraId="52CFC876">
      <w:pPr>
        <w:pStyle w:val="13"/>
        <w:adjustRightInd w:val="0"/>
        <w:snapToGrid w:val="0"/>
        <w:spacing w:line="440" w:lineRule="exact"/>
        <w:ind w:left="632"/>
        <w:jc w:val="left"/>
        <w:rPr>
          <w:sz w:val="24"/>
        </w:rPr>
      </w:pPr>
      <w:r>
        <w:rPr>
          <w:rFonts w:hint="eastAsia"/>
          <w:sz w:val="24"/>
        </w:rPr>
        <w:t>十三、国有资本经营预算财政拨款收入支出决算表---------------------------27</w:t>
      </w:r>
    </w:p>
    <w:p w14:paraId="19AB8518">
      <w:pPr>
        <w:pStyle w:val="13"/>
        <w:adjustRightInd w:val="0"/>
        <w:snapToGrid w:val="0"/>
        <w:spacing w:line="440" w:lineRule="exact"/>
        <w:ind w:left="632"/>
        <w:jc w:val="left"/>
        <w:rPr>
          <w:sz w:val="24"/>
        </w:rPr>
      </w:pPr>
      <w:r>
        <w:rPr>
          <w:rFonts w:hint="eastAsia"/>
          <w:sz w:val="24"/>
        </w:rPr>
        <w:t>十四、国有资本经营预算财政拨款支出决算表---------------------------------27</w:t>
      </w:r>
    </w:p>
    <w:p w14:paraId="4B20B91C">
      <w:pPr>
        <w:pStyle w:val="13"/>
        <w:adjustRightInd w:val="0"/>
        <w:snapToGrid w:val="0"/>
        <w:spacing w:line="440" w:lineRule="exact"/>
        <w:ind w:left="632"/>
        <w:jc w:val="left"/>
        <w:rPr>
          <w:sz w:val="24"/>
        </w:rPr>
      </w:pPr>
    </w:p>
    <w:p w14:paraId="18C27B34"/>
    <w:p w14:paraId="7F6A3346">
      <w:pPr>
        <w:pStyle w:val="2"/>
        <w:spacing w:before="166"/>
      </w:pPr>
    </w:p>
    <w:p w14:paraId="2620CC66">
      <w:pPr>
        <w:pStyle w:val="2"/>
        <w:spacing w:before="166"/>
      </w:pPr>
    </w:p>
    <w:p w14:paraId="1FD29CDC">
      <w:pPr>
        <w:pStyle w:val="2"/>
        <w:spacing w:before="166"/>
      </w:pPr>
    </w:p>
    <w:p w14:paraId="232C0E4B">
      <w:pPr>
        <w:pStyle w:val="2"/>
        <w:spacing w:before="166"/>
      </w:pPr>
    </w:p>
    <w:p w14:paraId="7E74A390">
      <w:pPr>
        <w:pStyle w:val="2"/>
        <w:spacing w:before="166"/>
      </w:pPr>
    </w:p>
    <w:p w14:paraId="4685C5E2">
      <w:pPr>
        <w:pStyle w:val="2"/>
        <w:spacing w:before="166"/>
      </w:pPr>
    </w:p>
    <w:p w14:paraId="421A4106">
      <w:pPr>
        <w:pStyle w:val="2"/>
        <w:spacing w:before="166"/>
      </w:pPr>
    </w:p>
    <w:p w14:paraId="73B79172">
      <w:pPr>
        <w:pStyle w:val="2"/>
        <w:spacing w:before="166"/>
      </w:pPr>
    </w:p>
    <w:p w14:paraId="1BD9B424">
      <w:pPr>
        <w:pStyle w:val="3"/>
        <w:jc w:val="center"/>
        <w:rPr>
          <w:rStyle w:val="26"/>
          <w:rFonts w:ascii="黑体" w:hAnsi="黑体" w:eastAsia="黑体"/>
          <w:b w:val="0"/>
          <w:bCs/>
        </w:rPr>
      </w:pPr>
      <w:r>
        <w:rPr>
          <w:rFonts w:hint="eastAsia" w:ascii="方正小标宋_GBK" w:hAnsi="方正小标宋_GBK" w:eastAsia="方正小标宋_GBK" w:cs="方正小标宋_GBK"/>
          <w:b w:val="0"/>
        </w:rPr>
        <w:t xml:space="preserve">第一部分 </w:t>
      </w:r>
      <w:r>
        <w:rPr>
          <w:rStyle w:val="26"/>
          <w:rFonts w:hint="eastAsia" w:ascii="方正小标宋_GBK" w:hAnsi="方正小标宋_GBK" w:eastAsia="方正小标宋_GBK" w:cs="方正小标宋_GBK"/>
          <w:b w:val="0"/>
          <w:bCs w:val="0"/>
        </w:rPr>
        <w:t>单位概况</w:t>
      </w:r>
    </w:p>
    <w:p w14:paraId="328F7258">
      <w:pPr>
        <w:pStyle w:val="2"/>
        <w:adjustRightInd w:val="0"/>
        <w:snapToGrid w:val="0"/>
        <w:spacing w:beforeLines="0" w:line="580" w:lineRule="exact"/>
        <w:ind w:firstLine="664" w:firstLineChars="210"/>
        <w:outlineLvl w:val="2"/>
        <w:rPr>
          <w:rFonts w:ascii="黑体" w:hAnsi="黑体" w:eastAsia="黑体"/>
          <w:bCs/>
          <w:sz w:val="32"/>
          <w:szCs w:val="32"/>
        </w:rPr>
      </w:pPr>
      <w:bookmarkStart w:id="12" w:name="_Toc15377199"/>
      <w:bookmarkStart w:id="13" w:name="_Toc15378446"/>
      <w:r>
        <w:rPr>
          <w:rFonts w:hint="eastAsia" w:ascii="黑体" w:hAnsi="黑体" w:eastAsia="黑体"/>
          <w:bCs/>
          <w:sz w:val="32"/>
          <w:szCs w:val="32"/>
        </w:rPr>
        <w:t>一、职能简介</w:t>
      </w:r>
    </w:p>
    <w:p w14:paraId="04A1DB6F">
      <w:pPr>
        <w:spacing w:line="580" w:lineRule="exact"/>
        <w:ind w:firstLine="632" w:firstLineChars="200"/>
        <w:rPr>
          <w:rFonts w:ascii="仿宋" w:hAnsi="仿宋" w:eastAsia="仿宋"/>
          <w:szCs w:val="32"/>
        </w:rPr>
      </w:pPr>
      <w:r>
        <w:rPr>
          <w:rFonts w:hint="eastAsia" w:ascii="仿宋" w:hAnsi="仿宋" w:eastAsia="仿宋"/>
          <w:szCs w:val="32"/>
        </w:rPr>
        <w:t>攀枝花市儿童福利院为市民政局下属全额拨款事业单位，承担全市无依无靠、无生活来源孤儿的收养、保育护理、康复治疗、特殊教学、就业培训以及为社会残疾孤儿提供代养、康复治疗服务等工作。</w:t>
      </w:r>
    </w:p>
    <w:p w14:paraId="02131AA8">
      <w:pPr>
        <w:pStyle w:val="25"/>
        <w:numPr>
          <w:ilvl w:val="0"/>
          <w:numId w:val="0"/>
        </w:numPr>
        <w:spacing w:line="600" w:lineRule="exact"/>
        <w:ind w:left="640" w:leftChars="0"/>
        <w:outlineLvl w:val="1"/>
        <w:rPr>
          <w:rFonts w:hint="eastAsia" w:ascii="黑体" w:hAnsi="黑体" w:eastAsia="黑体" w:cs="Times New Roman"/>
          <w:szCs w:val="32"/>
          <w:lang w:val="en-US" w:eastAsia="zh-CN"/>
        </w:rPr>
      </w:pPr>
      <w:r>
        <w:rPr>
          <w:rFonts w:hint="eastAsia" w:ascii="黑体" w:hAnsi="黑体" w:eastAsia="黑体"/>
          <w:bCs/>
          <w:sz w:val="32"/>
          <w:szCs w:val="32"/>
        </w:rPr>
        <w:t>二、</w:t>
      </w:r>
      <w:bookmarkEnd w:id="12"/>
      <w:bookmarkEnd w:id="13"/>
      <w:r>
        <w:rPr>
          <w:rFonts w:hint="eastAsia" w:ascii="黑体" w:hAnsi="黑体" w:eastAsia="黑体" w:cs="Times New Roman"/>
          <w:szCs w:val="32"/>
          <w:lang w:val="en-US" w:eastAsia="zh-CN"/>
        </w:rPr>
        <w:t>机构设置情况</w:t>
      </w:r>
    </w:p>
    <w:p w14:paraId="4818EDFC">
      <w:pPr>
        <w:spacing w:line="600" w:lineRule="exact"/>
        <w:ind w:firstLine="632" w:firstLineChars="200"/>
        <w:outlineLvl w:val="1"/>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攀枝花市儿童福利院</w:t>
      </w:r>
      <w:r>
        <w:rPr>
          <w:rFonts w:hint="eastAsia" w:ascii="Times New Roman" w:hAnsi="Times New Roman" w:eastAsia="仿宋" w:cs="Times New Roman"/>
          <w:sz w:val="32"/>
          <w:szCs w:val="32"/>
          <w:lang w:val="en-US" w:eastAsia="zh-CN"/>
        </w:rPr>
        <w:t>属于攀枝花市民政局下属的二级预算单位，下设独立编制机构0个，其中行政机构0个，参照公务员法管理的事业机构0个，其他事业机构0个。</w:t>
      </w:r>
    </w:p>
    <w:p w14:paraId="354FE6F3">
      <w:pPr>
        <w:pStyle w:val="2"/>
        <w:rPr>
          <w:rFonts w:hint="eastAsia" w:eastAsia="仿宋_GB2312"/>
          <w:lang w:val="en-US" w:eastAsia="zh-CN"/>
        </w:rPr>
      </w:pPr>
      <w:r>
        <w:rPr>
          <w:rFonts w:hint="eastAsia" w:ascii="Times New Roman" w:hAnsi="Times New Roman" w:eastAsia="仿宋" w:cs="Times New Roman"/>
          <w:sz w:val="32"/>
          <w:szCs w:val="32"/>
          <w:lang w:val="en-US" w:eastAsia="zh-CN"/>
        </w:rPr>
        <w:t xml:space="preserve">    纳入2021年度单位决算编制范围的独立编制机构包括：无。</w:t>
      </w:r>
    </w:p>
    <w:p w14:paraId="12BC3D85">
      <w:pPr>
        <w:pStyle w:val="2"/>
        <w:adjustRightInd w:val="0"/>
        <w:snapToGrid w:val="0"/>
        <w:spacing w:beforeLines="0" w:line="580" w:lineRule="exact"/>
        <w:ind w:firstLine="622" w:firstLineChars="210"/>
        <w:outlineLvl w:val="2"/>
        <w:rPr>
          <w:rFonts w:ascii="黑体" w:hAnsi="黑体" w:eastAsia="黑体"/>
          <w:bCs/>
          <w:sz w:val="32"/>
          <w:szCs w:val="32"/>
        </w:rPr>
      </w:pPr>
      <w:r>
        <w:rPr>
          <w:rFonts w:hint="eastAsia" w:ascii="黑体" w:hAnsi="黑体" w:eastAsia="黑体" w:cs="Times New Roman"/>
          <w:szCs w:val="32"/>
          <w:lang w:val="en-US" w:eastAsia="zh-CN"/>
        </w:rPr>
        <w:t>三、</w:t>
      </w:r>
      <w:r>
        <w:rPr>
          <w:rFonts w:ascii="黑体" w:hAnsi="黑体" w:eastAsia="黑体"/>
          <w:bCs/>
          <w:sz w:val="32"/>
          <w:szCs w:val="32"/>
        </w:rPr>
        <w:t>202</w:t>
      </w:r>
      <w:r>
        <w:rPr>
          <w:rFonts w:hint="eastAsia" w:ascii="黑体" w:hAnsi="黑体" w:eastAsia="黑体"/>
          <w:bCs/>
          <w:sz w:val="32"/>
          <w:szCs w:val="32"/>
        </w:rPr>
        <w:t>1年重点工作完成</w:t>
      </w:r>
      <w:r>
        <w:rPr>
          <w:rFonts w:hint="eastAsia" w:ascii="黑体" w:hAnsi="黑体" w:eastAsia="黑体"/>
          <w:bCs/>
          <w:color w:val="auto"/>
          <w:sz w:val="32"/>
          <w:szCs w:val="32"/>
        </w:rPr>
        <w:t>情况</w:t>
      </w:r>
    </w:p>
    <w:p w14:paraId="458E7A68">
      <w:pPr>
        <w:spacing w:line="580" w:lineRule="exact"/>
        <w:ind w:firstLine="632" w:firstLineChars="200"/>
        <w:rPr>
          <w:rFonts w:ascii="仿宋" w:hAnsi="仿宋" w:eastAsia="仿宋"/>
          <w:szCs w:val="32"/>
        </w:rPr>
      </w:pPr>
      <w:r>
        <w:rPr>
          <w:rFonts w:hint="eastAsia" w:ascii="仿宋" w:hAnsi="仿宋" w:eastAsia="仿宋"/>
          <w:szCs w:val="32"/>
        </w:rPr>
        <w:t>我院为孤、弃等特殊儿童提供养育、医疗保健、康复、教育、安置等服务，公安机关暂未查找到监护人的弃婴（童）的临时看护。2021养育儿童35名</w:t>
      </w:r>
      <w:r>
        <w:rPr>
          <w:rFonts w:ascii="仿宋" w:hAnsi="仿宋" w:eastAsia="仿宋"/>
          <w:szCs w:val="32"/>
        </w:rPr>
        <w:t>（孤弃儿童3</w:t>
      </w:r>
      <w:r>
        <w:rPr>
          <w:rFonts w:hint="eastAsia" w:ascii="仿宋" w:hAnsi="仿宋" w:eastAsia="仿宋"/>
          <w:szCs w:val="32"/>
        </w:rPr>
        <w:t>1</w:t>
      </w:r>
      <w:r>
        <w:rPr>
          <w:rFonts w:ascii="仿宋" w:hAnsi="仿宋" w:eastAsia="仿宋"/>
          <w:szCs w:val="32"/>
        </w:rPr>
        <w:t>人，代养儿童</w:t>
      </w:r>
      <w:r>
        <w:rPr>
          <w:rFonts w:hint="eastAsia" w:ascii="仿宋" w:hAnsi="仿宋" w:eastAsia="仿宋"/>
          <w:szCs w:val="32"/>
        </w:rPr>
        <w:t>4</w:t>
      </w:r>
      <w:r>
        <w:rPr>
          <w:rFonts w:ascii="仿宋" w:hAnsi="仿宋" w:eastAsia="仿宋"/>
          <w:szCs w:val="32"/>
        </w:rPr>
        <w:t>人）</w:t>
      </w:r>
      <w:r>
        <w:rPr>
          <w:rFonts w:hint="eastAsia" w:ascii="仿宋" w:hAnsi="仿宋" w:eastAsia="仿宋"/>
          <w:szCs w:val="32"/>
        </w:rPr>
        <w:t>。 </w:t>
      </w:r>
    </w:p>
    <w:p w14:paraId="5DFF1E97">
      <w:pPr>
        <w:pStyle w:val="36"/>
        <w:snapToGrid w:val="0"/>
        <w:spacing w:line="580" w:lineRule="exact"/>
        <w:rPr>
          <w:rFonts w:ascii="Times New Roman" w:hAnsi="Times New Roman" w:eastAsia="楷体"/>
          <w:sz w:val="32"/>
          <w:szCs w:val="32"/>
        </w:rPr>
      </w:pPr>
      <w:bookmarkStart w:id="14" w:name="_Toc15396601"/>
      <w:bookmarkStart w:id="15" w:name="_Toc15377200"/>
      <w:r>
        <w:rPr>
          <w:rFonts w:ascii="Times New Roman" w:hAnsi="Times New Roman"/>
          <w:sz w:val="32"/>
          <w:szCs w:val="32"/>
        </w:rPr>
        <w:t xml:space="preserve">   </w:t>
      </w:r>
      <w:r>
        <w:rPr>
          <w:rFonts w:hint="eastAsia" w:ascii="楷体_GB2312" w:hAnsi="楷体_GB2312" w:eastAsia="楷体_GB2312" w:cs="楷体_GB2312"/>
          <w:bCs/>
          <w:sz w:val="32"/>
          <w:szCs w:val="32"/>
        </w:rPr>
        <w:t>（一）做好弃婴（弃童）收养、送养、寄养工作</w:t>
      </w:r>
    </w:p>
    <w:p w14:paraId="09DE80DA">
      <w:pPr>
        <w:snapToGrid w:val="0"/>
        <w:spacing w:line="580" w:lineRule="exact"/>
        <w:rPr>
          <w:rFonts w:ascii="仿宋" w:hAnsi="仿宋" w:eastAsia="仿宋"/>
          <w:szCs w:val="32"/>
        </w:rPr>
      </w:pPr>
      <w:r>
        <w:t xml:space="preserve">  </w:t>
      </w:r>
      <w:r>
        <w:rPr>
          <w:rFonts w:ascii="仿宋" w:hAnsi="仿宋" w:eastAsia="仿宋"/>
          <w:szCs w:val="32"/>
        </w:rPr>
        <w:t xml:space="preserve">  1、严把弃婴（弃童）入院手续。按照弃婴（弃童）出入院管理办法严格接收弃婴（弃童），做好弃婴入院相片、手脚印的采集工作，报送审批等工作。</w:t>
      </w:r>
      <w:r>
        <w:rPr>
          <w:rFonts w:hint="eastAsia" w:ascii="仿宋" w:hAnsi="仿宋" w:eastAsia="仿宋"/>
          <w:szCs w:val="32"/>
        </w:rPr>
        <w:t>2021</w:t>
      </w:r>
      <w:r>
        <w:rPr>
          <w:rFonts w:ascii="仿宋" w:hAnsi="仿宋" w:eastAsia="仿宋"/>
          <w:szCs w:val="32"/>
        </w:rPr>
        <w:t>年，正式办理入院登记手续的有</w:t>
      </w:r>
      <w:r>
        <w:rPr>
          <w:rFonts w:hint="eastAsia" w:ascii="仿宋" w:hAnsi="仿宋" w:eastAsia="仿宋"/>
          <w:szCs w:val="32"/>
        </w:rPr>
        <w:t>2</w:t>
      </w:r>
      <w:r>
        <w:rPr>
          <w:rFonts w:ascii="仿宋" w:hAnsi="仿宋" w:eastAsia="仿宋"/>
          <w:szCs w:val="32"/>
        </w:rPr>
        <w:t>人。</w:t>
      </w:r>
    </w:p>
    <w:p w14:paraId="098B6DF2">
      <w:pPr>
        <w:tabs>
          <w:tab w:val="left" w:pos="1605"/>
        </w:tabs>
        <w:snapToGrid w:val="0"/>
        <w:spacing w:line="580" w:lineRule="exact"/>
        <w:ind w:firstLine="632" w:firstLineChars="200"/>
        <w:rPr>
          <w:rFonts w:ascii="仿宋" w:hAnsi="仿宋" w:eastAsia="仿宋"/>
          <w:szCs w:val="32"/>
        </w:rPr>
      </w:pPr>
      <w:r>
        <w:rPr>
          <w:rFonts w:ascii="仿宋" w:hAnsi="仿宋" w:eastAsia="仿宋"/>
          <w:szCs w:val="32"/>
        </w:rPr>
        <w:t>2、认真做好寄养和孤弃儿童国内送养工作。依据《家庭寄养管理办法》的具体要求切实做好家庭寄养工作。202</w:t>
      </w:r>
      <w:r>
        <w:rPr>
          <w:rFonts w:hint="eastAsia" w:ascii="仿宋" w:hAnsi="仿宋" w:eastAsia="仿宋"/>
          <w:szCs w:val="32"/>
        </w:rPr>
        <w:t>1</w:t>
      </w:r>
      <w:r>
        <w:rPr>
          <w:rFonts w:ascii="仿宋" w:hAnsi="仿宋" w:eastAsia="仿宋"/>
          <w:szCs w:val="32"/>
        </w:rPr>
        <w:t>年在外寄养儿童1人。</w:t>
      </w:r>
    </w:p>
    <w:p w14:paraId="204673DC">
      <w:pPr>
        <w:snapToGrid w:val="0"/>
        <w:spacing w:line="580" w:lineRule="exact"/>
        <w:ind w:firstLine="632" w:firstLineChars="200"/>
        <w:rPr>
          <w:rFonts w:ascii="仿宋" w:hAnsi="仿宋" w:eastAsia="仿宋"/>
          <w:szCs w:val="32"/>
        </w:rPr>
      </w:pPr>
      <w:r>
        <w:rPr>
          <w:rFonts w:ascii="仿宋" w:hAnsi="仿宋" w:eastAsia="仿宋"/>
          <w:szCs w:val="32"/>
        </w:rPr>
        <w:t>3、完善儿童个人档案。根据《儿童福利机构抚育工作指导纲要》建立科学合理的各类台账，做好弃婴个人档案的收集、整理、归档。</w:t>
      </w:r>
    </w:p>
    <w:p w14:paraId="4797A25E">
      <w:pPr>
        <w:snapToGrid w:val="0"/>
        <w:spacing w:line="580" w:lineRule="exact"/>
        <w:ind w:firstLine="632" w:firstLineChars="200"/>
        <w:rPr>
          <w:rFonts w:ascii="仿宋" w:hAnsi="仿宋" w:eastAsia="仿宋"/>
          <w:szCs w:val="32"/>
        </w:rPr>
      </w:pPr>
      <w:r>
        <w:rPr>
          <w:rFonts w:ascii="仿宋" w:hAnsi="仿宋" w:eastAsia="仿宋"/>
          <w:szCs w:val="32"/>
        </w:rPr>
        <w:t>4、及时更新儿童福利管理系统儿童教育、康复相关信息，整理录入四川省儿童福利机构孤儿基本生活费发放申请审批表，清理孤儿信息系统人数。</w:t>
      </w:r>
    </w:p>
    <w:p w14:paraId="1CDCDE22">
      <w:pPr>
        <w:spacing w:line="580" w:lineRule="exact"/>
        <w:ind w:firstLine="632" w:firstLineChars="200"/>
        <w:rPr>
          <w:rFonts w:hAnsi="楷体" w:eastAsia="楷体"/>
          <w:bCs/>
          <w:szCs w:val="32"/>
        </w:rPr>
      </w:pPr>
      <w:r>
        <w:rPr>
          <w:rFonts w:hint="eastAsia" w:ascii="楷体_GB2312" w:hAnsi="楷体_GB2312" w:eastAsia="楷体_GB2312" w:cs="楷体_GB2312"/>
          <w:bCs/>
          <w:szCs w:val="32"/>
        </w:rPr>
        <w:t>（二）规范护理流程，提高护理专业化服务水平</w:t>
      </w:r>
    </w:p>
    <w:p w14:paraId="3B3CAC59">
      <w:pPr>
        <w:widowControl/>
        <w:shd w:val="clear" w:color="auto" w:fill="FFFFFF"/>
        <w:spacing w:line="580" w:lineRule="exact"/>
        <w:rPr>
          <w:rFonts w:ascii="仿宋" w:hAnsi="仿宋" w:eastAsia="仿宋"/>
          <w:szCs w:val="32"/>
        </w:rPr>
      </w:pPr>
      <w:r>
        <w:rPr>
          <w:rFonts w:hAnsi="仿宋_GB2312"/>
          <w:kern w:val="0"/>
        </w:rPr>
        <w:t>　</w:t>
      </w:r>
      <w:r>
        <w:rPr>
          <w:kern w:val="0"/>
        </w:rPr>
        <w:t xml:space="preserve"> </w:t>
      </w:r>
      <w:r>
        <w:rPr>
          <w:rFonts w:ascii="仿宋" w:hAnsi="仿宋" w:eastAsia="仿宋"/>
          <w:szCs w:val="32"/>
        </w:rPr>
        <w:t xml:space="preserve"> 一是完善工作流程，严格执行护理操作规范，切实为孩子提供专业化的护理服务；二是制定护理工作实施方案，开展个性化护理服务，严格按照要求给孩子洗澡、换衣、剪指甲、用餐等；三是做好养护工作童居室“四无”标准，严格执行儿童日常生活用品、衣物、被褥洗涤等制度，培养儿童良好的生活学习习惯，促进他们健康成长；四是按要求进行体检，建立个人病历档案；五是按时完善儿童成长记录及相关影像等资料；六是配合康复股、教育股做好儿童康复教育及外出的实践活动；七是生活区域按要求每天严格消毒及安全隐患的排查，并做好相关记录。</w:t>
      </w:r>
    </w:p>
    <w:p w14:paraId="77223A37">
      <w:pPr>
        <w:spacing w:line="580" w:lineRule="exact"/>
        <w:ind w:firstLine="632" w:firstLineChars="200"/>
        <w:rPr>
          <w:rFonts w:hAnsi="楷体" w:eastAsia="楷体"/>
          <w:bCs/>
          <w:szCs w:val="32"/>
        </w:rPr>
      </w:pPr>
      <w:r>
        <w:rPr>
          <w:rFonts w:hint="eastAsia" w:ascii="楷体_GB2312" w:hAnsi="楷体_GB2312" w:eastAsia="楷体_GB2312" w:cs="楷体_GB2312"/>
          <w:bCs/>
          <w:szCs w:val="32"/>
        </w:rPr>
        <w:t>（三）全力抓好安全维稳工作，保障全院工作顺利开展</w:t>
      </w:r>
    </w:p>
    <w:p w14:paraId="0025575E">
      <w:pPr>
        <w:spacing w:line="580" w:lineRule="exact"/>
        <w:ind w:firstLine="632" w:firstLineChars="200"/>
        <w:rPr>
          <w:rFonts w:ascii="仿宋" w:hAnsi="仿宋" w:eastAsia="仿宋"/>
          <w:szCs w:val="32"/>
        </w:rPr>
      </w:pPr>
      <w:r>
        <w:rPr>
          <w:rFonts w:ascii="仿宋" w:hAnsi="仿宋" w:eastAsia="仿宋"/>
          <w:szCs w:val="32"/>
        </w:rPr>
        <w:t>安全稳定工作是各项工作的基础，继续把安全工作纳入了单位日常管理，做到了天天检查、每周督查、每月培训、每季度点评的工作机制，做到了安全知识技能月月讲、安全工作每周灌，安全工作人人做。一是每月定期组织职工学习食品安全、消防安全及学生交通安全等知识。通过以上安全学习及实际操作，使全院在各个安全环节的意识和技能得以提升；二是定期不定期检查和日常防范相结合的安全管理制度及各项应急预案，始终把安全工作放在单位工作的首位；三是每周对消防、食品卫生、大型设备设施、供水、电、热、排污系统、交通安全进行检查并记录, 发现问题做到了及时维修、及时上报。四是查找院内</w:t>
      </w:r>
      <w:bookmarkStart w:id="16" w:name="_GoBack"/>
      <w:bookmarkEnd w:id="16"/>
      <w:r>
        <w:rPr>
          <w:rFonts w:ascii="仿宋" w:hAnsi="仿宋" w:eastAsia="仿宋"/>
          <w:szCs w:val="32"/>
        </w:rPr>
        <w:t>安全隐患，如开关、电器、食品卫生、消毒情况、消防栓、灭火器、户外大型运动器械等,发现问题及时采取措施加以消除，并认真作好台账记录；五是及时通报各类安全信息情况。六是组织</w:t>
      </w:r>
      <w:r>
        <w:rPr>
          <w:rFonts w:hint="eastAsia" w:ascii="仿宋" w:hAnsi="仿宋" w:eastAsia="仿宋"/>
          <w:szCs w:val="32"/>
        </w:rPr>
        <w:t>消防及新冠疫情处置</w:t>
      </w:r>
      <w:r>
        <w:rPr>
          <w:rFonts w:ascii="仿宋" w:hAnsi="仿宋" w:eastAsia="仿宋"/>
          <w:szCs w:val="32"/>
        </w:rPr>
        <w:t>应急演练，进一步提高职工应急转移处置能力。</w:t>
      </w:r>
    </w:p>
    <w:p w14:paraId="78A160A5">
      <w:pPr>
        <w:spacing w:line="580" w:lineRule="exact"/>
        <w:ind w:firstLine="632" w:firstLineChars="200"/>
        <w:rPr>
          <w:rFonts w:ascii="仿宋" w:hAnsi="仿宋" w:eastAsia="仿宋"/>
          <w:szCs w:val="32"/>
        </w:rPr>
      </w:pPr>
      <w:r>
        <w:rPr>
          <w:rFonts w:ascii="仿宋" w:hAnsi="仿宋" w:eastAsia="仿宋"/>
          <w:szCs w:val="32"/>
        </w:rPr>
        <w:t>按照“ 巩固、完善、防范、提高”的要求，不断加强社会治安综合治理工作，全面落实综治各项措施，一是及时排查消防、安防系统设施设备运转情况；二是及时排查水电线路、医疗健身器材、电梯等设备的安全情况；三是做好各项工程项目的安全管理；四是做好食堂食品安全卫生情况的检查工作；五是做好节假日及周末值班安排情况的检查工作；六是抓好绿化管理，适时做好花草树木的除草、施肥、修剪等工作；七是护楼守院及防盗措施使我院治安状况良好，内部安定团结，工作有序开展。</w:t>
      </w:r>
    </w:p>
    <w:p w14:paraId="56F5A50F">
      <w:pPr>
        <w:pStyle w:val="36"/>
        <w:snapToGrid w:val="0"/>
        <w:spacing w:line="580" w:lineRule="exact"/>
        <w:ind w:firstLine="465" w:firstLineChars="147"/>
        <w:rPr>
          <w:rFonts w:ascii="Times New Roman" w:hAnsi="楷体" w:eastAsia="楷体"/>
          <w:bCs/>
          <w:sz w:val="32"/>
          <w:szCs w:val="32"/>
        </w:rPr>
      </w:pPr>
      <w:r>
        <w:rPr>
          <w:rFonts w:hint="eastAsia" w:ascii="楷体_GB2312" w:hAnsi="楷体_GB2312" w:eastAsia="楷体_GB2312" w:cs="楷体_GB2312"/>
          <w:bCs/>
          <w:sz w:val="32"/>
          <w:szCs w:val="32"/>
        </w:rPr>
        <w:t>（四）严格制度管理，合理膳食</w:t>
      </w:r>
    </w:p>
    <w:p w14:paraId="76443DBC">
      <w:pPr>
        <w:spacing w:line="580" w:lineRule="exact"/>
        <w:ind w:firstLine="632" w:firstLineChars="200"/>
        <w:rPr>
          <w:rFonts w:ascii="仿宋" w:hAnsi="仿宋" w:eastAsia="仿宋"/>
          <w:szCs w:val="32"/>
        </w:rPr>
      </w:pPr>
      <w:r>
        <w:rPr>
          <w:rFonts w:ascii="仿宋" w:hAnsi="仿宋" w:eastAsia="仿宋"/>
          <w:szCs w:val="32"/>
        </w:rPr>
        <w:t>膳食工作是后勤保障中一项非常重要的工作，为保证孤弃儿童每天摄入营养多样化，一是严格执行各项饮食卫生、消毒制度；二是根据时节变化每月编排应季食谱，交院营养师审核把关，保证孩子们的营养供给；三是严把采购、运输、验收、加工制作环节关。院询价小组定期到菜市场、干杂店等对各类蔬菜、水果、肉类进行比选，最终选择鲜美、价廉的优质食材，同时工作人员对于每天的食材进行严格验收，肉类进行分类存放，确保了质量关；四是食堂工作人员严格按照操作流程制作，保证制作环节的干净卫生，每餐做好食谱留样记录工作，及时明确当班人员的责任。</w:t>
      </w:r>
    </w:p>
    <w:p w14:paraId="063C4B95">
      <w:pPr>
        <w:pStyle w:val="36"/>
        <w:snapToGrid w:val="0"/>
        <w:spacing w:line="580" w:lineRule="exact"/>
        <w:ind w:firstLine="781" w:firstLineChars="247"/>
        <w:rPr>
          <w:rFonts w:ascii="Times New Roman" w:hAnsi="楷体" w:eastAsia="楷体"/>
          <w:bCs/>
          <w:sz w:val="32"/>
          <w:szCs w:val="32"/>
        </w:rPr>
      </w:pPr>
      <w:r>
        <w:rPr>
          <w:rFonts w:hint="eastAsia" w:ascii="楷体_GB2312" w:hAnsi="楷体_GB2312" w:eastAsia="楷体_GB2312" w:cs="楷体_GB2312"/>
          <w:bCs/>
          <w:sz w:val="32"/>
          <w:szCs w:val="32"/>
        </w:rPr>
        <w:t>（五）扎实做好孤弃儿童医疗康复工作</w:t>
      </w:r>
    </w:p>
    <w:p w14:paraId="71B3A3F5">
      <w:pPr>
        <w:spacing w:line="580" w:lineRule="exact"/>
        <w:ind w:firstLine="630"/>
        <w:jc w:val="left"/>
        <w:rPr>
          <w:rFonts w:ascii="仿宋" w:hAnsi="仿宋" w:eastAsia="仿宋"/>
          <w:szCs w:val="32"/>
        </w:rPr>
      </w:pPr>
      <w:r>
        <w:rPr>
          <w:rFonts w:ascii="仿宋" w:hAnsi="仿宋" w:eastAsia="仿宋"/>
          <w:szCs w:val="32"/>
        </w:rPr>
        <w:t>本着为儿童全心全意服务的原则，一是着重抓好卫生防疫和医疗保健工作，做好医护、查房等工作，有效保障孤弃儿童身体健康；二是办理居民医疗保险续保3</w:t>
      </w:r>
      <w:r>
        <w:rPr>
          <w:rFonts w:hint="eastAsia" w:ascii="仿宋" w:hAnsi="仿宋" w:eastAsia="仿宋"/>
          <w:szCs w:val="32"/>
        </w:rPr>
        <w:t>5</w:t>
      </w:r>
      <w:r>
        <w:rPr>
          <w:rFonts w:ascii="仿宋" w:hAnsi="仿宋" w:eastAsia="仿宋"/>
          <w:szCs w:val="32"/>
        </w:rPr>
        <w:t>人，孤弃儿童明天计划3人。孤弃儿童身体健康权益得到有效保证；三是综合运用医学、教育、心理和社会等多种手段，遵照循序渐进的康复原则，中西综合疗法的康复模式，科学合理地制订各类儿童的康复计划，建立康复档案，做好康复评估工作，有效地保障了各类弃障儿童的健康成长；四是根据康复计划安排工作人员，每天坚持不懈的为肢体不便的弃疾儿童实行康复治疗。院内康复儿童</w:t>
      </w:r>
      <w:r>
        <w:rPr>
          <w:rFonts w:hint="eastAsia" w:ascii="仿宋" w:hAnsi="仿宋" w:eastAsia="仿宋"/>
          <w:szCs w:val="32"/>
        </w:rPr>
        <w:t>7</w:t>
      </w:r>
      <w:r>
        <w:rPr>
          <w:rFonts w:ascii="仿宋" w:hAnsi="仿宋" w:eastAsia="仿宋"/>
          <w:szCs w:val="32"/>
        </w:rPr>
        <w:t>人，均为重度脑瘫儿童。根据儿童情况因人而异做好评估，确定康复目标， 制定康复方案和康复工作流程，每日训练记录并交接。人员分工，责任到人，将</w:t>
      </w:r>
      <w:r>
        <w:rPr>
          <w:rFonts w:hint="eastAsia" w:ascii="仿宋" w:hAnsi="仿宋" w:eastAsia="仿宋"/>
          <w:szCs w:val="32"/>
        </w:rPr>
        <w:t>7</w:t>
      </w:r>
      <w:r>
        <w:rPr>
          <w:rFonts w:ascii="仿宋" w:hAnsi="仿宋" w:eastAsia="仿宋"/>
          <w:szCs w:val="32"/>
        </w:rPr>
        <w:t>个需康复儿童分配到到康复人员手中，根据康复工作流程开展生活自理能力训练，做好分管孩子交接及康复训练记录，每季度进行一次小结，每年一次全面总结，取得了一定的成效；五是我院与东区残联签订康复协议，认真贯彻落实脑瘫儿童康复训练项目，接受省市区残联组织对康复对象的检查、评比督导工作，规范填写制作并保存脑瘫儿童康复档案，以及影像等资料收集工作等。顺利完成脑瘫康复目标，对</w:t>
      </w:r>
      <w:r>
        <w:rPr>
          <w:rFonts w:hint="eastAsia" w:ascii="仿宋" w:hAnsi="仿宋" w:eastAsia="仿宋"/>
          <w:szCs w:val="32"/>
        </w:rPr>
        <w:t>2</w:t>
      </w:r>
      <w:r>
        <w:rPr>
          <w:rFonts w:ascii="仿宋" w:hAnsi="仿宋" w:eastAsia="仿宋"/>
          <w:szCs w:val="32"/>
        </w:rPr>
        <w:t>名脑瘫儿童康复训练，完成康复儿童康复计划、小结，康复记录等康复训练档案资料，脑瘫儿童康复训练有效率85%，资料完成率达到100%。</w:t>
      </w:r>
    </w:p>
    <w:p w14:paraId="5B5B0B3F">
      <w:pPr>
        <w:pStyle w:val="36"/>
        <w:snapToGrid w:val="0"/>
        <w:spacing w:line="580" w:lineRule="exact"/>
        <w:ind w:firstLine="620" w:firstLineChars="196"/>
        <w:rPr>
          <w:rFonts w:ascii="Times New Roman" w:hAnsi="楷体" w:eastAsia="楷体"/>
          <w:bCs/>
          <w:sz w:val="32"/>
          <w:szCs w:val="32"/>
        </w:rPr>
      </w:pPr>
      <w:r>
        <w:rPr>
          <w:rFonts w:hint="eastAsia" w:ascii="楷体_GB2312" w:hAnsi="楷体_GB2312" w:eastAsia="楷体_GB2312" w:cs="楷体_GB2312"/>
          <w:bCs/>
          <w:sz w:val="32"/>
          <w:szCs w:val="32"/>
        </w:rPr>
        <w:t>（六）开展特色教育，持续提高孤弃儿童生活质量</w:t>
      </w:r>
    </w:p>
    <w:p w14:paraId="3E931972">
      <w:pPr>
        <w:adjustRightInd w:val="0"/>
        <w:snapToGrid w:val="0"/>
        <w:spacing w:line="580" w:lineRule="exact"/>
        <w:ind w:firstLine="790" w:firstLineChars="250"/>
        <w:rPr>
          <w:rFonts w:ascii="仿宋" w:hAnsi="仿宋" w:eastAsia="仿宋"/>
          <w:szCs w:val="32"/>
        </w:rPr>
      </w:pPr>
      <w:r>
        <w:rPr>
          <w:rFonts w:ascii="仿宋" w:hAnsi="仿宋" w:eastAsia="仿宋"/>
          <w:szCs w:val="32"/>
        </w:rPr>
        <w:t>严格按照国家教学要求，一是加强义务教育管理工作。现有义务教育学生</w:t>
      </w:r>
      <w:r>
        <w:rPr>
          <w:rFonts w:hint="eastAsia" w:ascii="仿宋" w:hAnsi="仿宋" w:eastAsia="仿宋"/>
          <w:szCs w:val="32"/>
        </w:rPr>
        <w:t>6</w:t>
      </w:r>
      <w:r>
        <w:rPr>
          <w:rFonts w:ascii="仿宋" w:hAnsi="仿宋" w:eastAsia="仿宋"/>
          <w:szCs w:val="32"/>
        </w:rPr>
        <w:t>名及高中生2名，一方面积极配合学校老师做好教育工作。另一方面，我们积极主动地为学生寻找到了晚辅老师，每晚按时到院为学生进行课业辅导，并将当日学生课业辅导情况记录在册；第三，每月对学生在校情况做一次调查并记录在册，参加学校组织的家长会、亲子活动等，参与率达到100%，积极配合学校老师解决学生在校发生的问题，做好学生个案分析，参与率达到100%。第四，抓好学生德育教育。每月对学生进行思想品德教育、禁毒教育、行为教育、文明教育等。第五，通过游戏、个案访谈和团队活动等形式，开展符合我院儿童心理发展需求的心理健康辅导，帮助儿童正确认识自己，克服自卑，懂得感恩和回报；现阶段教育股学生基本上都处于青春期，对青春期儿童给予特别关注，进行青春期教育，引导儿童掌握青春期相关知识，对于青春期特征表现较明显的儿童，我们要求负责老师进行思想动态跟踪，并结合实际情况做好个案记录，发现问题与儿童及时沟通，进行心理疏导，帮助其顺利通过青春期；第六，加强日常行为规范教育，培养讲文明、懂礼貌，守纪律的良好品质。争做德、智、体全面发展的优秀学生，开展“比、学、赶、帮、超”的学习竞争活动，营造浓厚的学习氛围，组织体育和各种比赛活动，增强集体荣誉感，树立典型，培养良好的生活、学习习惯，树立正确的人生观和价值观，培养健全的人格，将来成为对社会有用的人。第七，加强学生院内安全管理和监督，实行天天安全大检查，发现问题及时上报，杜绝一切安全隐患；二是做好职业教育学生的管理，职业教育在校学生5名，每月通过电话的方式与职业教育学生的班主任老师进行沟通，积极配合班主任老师解决学生在校问题，了解学生在校情况，并做好记录；每月至少一次与职业教育学生进行沟通与交流，及时了解他们的动态，帮助他们顺利完成学业。</w:t>
      </w:r>
    </w:p>
    <w:p w14:paraId="7EC8155F">
      <w:pPr>
        <w:pStyle w:val="36"/>
        <w:snapToGrid w:val="0"/>
        <w:spacing w:line="580" w:lineRule="exact"/>
        <w:ind w:firstLine="620"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（七）加强资金管理，确保专款专用</w:t>
      </w:r>
    </w:p>
    <w:p w14:paraId="36717F93">
      <w:pPr>
        <w:spacing w:line="580" w:lineRule="exact"/>
        <w:ind w:firstLine="632" w:firstLineChars="200"/>
        <w:rPr>
          <w:rFonts w:ascii="仿宋" w:hAnsi="仿宋" w:eastAsia="仿宋"/>
          <w:szCs w:val="32"/>
        </w:rPr>
      </w:pPr>
      <w:r>
        <w:rPr>
          <w:rFonts w:ascii="仿宋" w:hAnsi="仿宋" w:eastAsia="仿宋"/>
          <w:szCs w:val="32"/>
        </w:rPr>
        <w:t>一是严格遵守《行政事业单位会计制度》，依法执行事业单位财务核算，设置财务账簿、会计凭证。会计核算合规，会计资料真实完整，账实相符、账证相符，银行账户管理规范。二是积极完善内部财务管理制度。三是各项收入均完整列入部门预算，按照财政要求规范的编制基本支出和项目支出。严格遵循先预算后支出的原则，不符合财务报销管理制度的任何经费支出一律不予报销。四是中央专项资金、省市下</w:t>
      </w:r>
      <w:r>
        <w:rPr>
          <w:rFonts w:hint="eastAsia" w:ascii="仿宋" w:hAnsi="仿宋" w:eastAsia="仿宋"/>
          <w:szCs w:val="32"/>
        </w:rPr>
        <w:t>拨</w:t>
      </w:r>
      <w:r>
        <w:rPr>
          <w:rFonts w:ascii="仿宋" w:hAnsi="仿宋" w:eastAsia="仿宋"/>
          <w:szCs w:val="32"/>
        </w:rPr>
        <w:t xml:space="preserve">孤儿保障经费等专项资金严格按照资金文件规定的范围管理使用。五是认真开展“四清”自查自纠。 </w:t>
      </w:r>
    </w:p>
    <w:p w14:paraId="1E834FFC">
      <w:pPr>
        <w:pStyle w:val="36"/>
        <w:snapToGrid w:val="0"/>
        <w:spacing w:line="580" w:lineRule="exact"/>
        <w:rPr>
          <w:rFonts w:ascii="Times New Roman" w:hAnsi="楷体" w:eastAsia="楷体"/>
          <w:bCs/>
          <w:sz w:val="32"/>
          <w:szCs w:val="32"/>
        </w:rPr>
      </w:pPr>
      <w:r>
        <w:rPr>
          <w:rFonts w:ascii="Times New Roman" w:hAnsi="仿宋_GB2312"/>
          <w:b/>
        </w:rPr>
        <w:t>　</w:t>
      </w:r>
      <w:r>
        <w:rPr>
          <w:rFonts w:ascii="Times New Roman" w:hAnsi="楷体" w:eastAsia="楷体"/>
          <w:b/>
          <w:bCs/>
          <w:sz w:val="32"/>
          <w:szCs w:val="32"/>
        </w:rPr>
        <w:t xml:space="preserve">  </w:t>
      </w:r>
      <w:r>
        <w:rPr>
          <w:rFonts w:hint="eastAsia" w:ascii="楷体_GB2312" w:hAnsi="楷体_GB2312" w:eastAsia="楷体_GB2312" w:cs="楷体_GB2312"/>
          <w:bCs/>
          <w:sz w:val="32"/>
          <w:szCs w:val="32"/>
        </w:rPr>
        <w:t>（八）切实做好新冠肺炎疫情防控工作，保障孤弃儿童和职工生命健康安全</w:t>
      </w:r>
    </w:p>
    <w:p w14:paraId="5FEFF15B">
      <w:pPr>
        <w:pStyle w:val="34"/>
        <w:spacing w:line="580" w:lineRule="exact"/>
        <w:ind w:firstLine="620" w:firstLineChars="196"/>
        <w:rPr>
          <w:rFonts w:ascii="仿宋" w:hAnsi="仿宋" w:eastAsia="仿宋"/>
          <w:szCs w:val="32"/>
        </w:rPr>
      </w:pPr>
      <w:r>
        <w:rPr>
          <w:rFonts w:ascii="仿宋" w:hAnsi="仿宋" w:eastAsia="仿宋"/>
          <w:szCs w:val="32"/>
        </w:rPr>
        <w:t>进一步抓好新冠肺炎疫情防控各项具体措施的落地落实，一是加强组织领导，强化统一调度指挥。组织成立疫情防控工作领导小组；研讨制定疫情防控实施方案；领导亲临一线做表率；及时总结分析与整改。二是加强宣传引导，提升儿童及职工防控意识。开展疫情防控宣传，传达落实工作部署。三是认真落实疫情防控措施。严格管理，划分区域；实行封闭管理，做好内部防控；为复学学生划分区域，规划上下学路线，避免交叉接触，保障身体健康和生命安全；加强就餐管理，实行分餐制；保证营养，提升健康素质；开展心理健康辅导，疏解职工心理压力；做好防控物资储备，落实个人防护措施。</w:t>
      </w:r>
    </w:p>
    <w:p w14:paraId="161150A7">
      <w:pPr>
        <w:pStyle w:val="34"/>
        <w:numPr>
          <w:ilvl w:val="0"/>
          <w:numId w:val="1"/>
        </w:numPr>
        <w:spacing w:line="580" w:lineRule="exact"/>
        <w:ind w:left="640" w:firstLine="0" w:firstLineChars="0"/>
        <w:rPr>
          <w:rFonts w:ascii="楷体_GB2312" w:hAnsi="楷体_GB2312" w:eastAsia="楷体_GB2312" w:cs="楷体_GB2312"/>
          <w:bCs/>
          <w:color w:val="auto"/>
          <w:szCs w:val="32"/>
        </w:rPr>
      </w:pPr>
      <w:r>
        <w:rPr>
          <w:rFonts w:hint="eastAsia" w:ascii="楷体_GB2312" w:hAnsi="楷体_GB2312" w:eastAsia="楷体_GB2312" w:cs="楷体_GB2312"/>
          <w:bCs/>
          <w:color w:val="auto"/>
          <w:szCs w:val="32"/>
        </w:rPr>
        <w:t>有序推进“阳光童行”喘息服务</w:t>
      </w:r>
    </w:p>
    <w:p w14:paraId="442DFE9E">
      <w:pPr>
        <w:pStyle w:val="34"/>
        <w:spacing w:line="580" w:lineRule="exact"/>
        <w:ind w:firstLine="620" w:firstLineChars="196"/>
        <w:rPr>
          <w:rFonts w:ascii="仿宋" w:hAnsi="仿宋" w:eastAsia="仿宋"/>
          <w:szCs w:val="32"/>
        </w:rPr>
      </w:pPr>
      <w:r>
        <w:rPr>
          <w:rFonts w:ascii="仿宋" w:hAnsi="仿宋" w:eastAsia="仿宋"/>
          <w:szCs w:val="32"/>
        </w:rPr>
        <w:t>一是开展前期调研。通过入户走访、电话访问等方式对360余户残疾儿童家庭喘息服务需求情况进行调研，初步确定第一批喘息服务对象，制定个性化服务方案。二是加强组织领导。成立工作专班，专班工作组由办公室、护理、康复及特教构成，制定《攀枝花市儿童福利院“阳光童行”喘息服务实施方案》《攀枝花市儿童福利院“阳光童行”喘息服务工作方案》，统筹推进喘息服务。三是加强硬件设施打造。改造喘息服务生活场所及购置康复器械，为喘息服务儿童创造良好的生活康复条件。四是强化人员培养。开展志愿者招募，制作《喘息服务护理知识手册》，组织“阳光童行”喘息服务护理技能培训。五是把好儿童入院关。组织喘息服务儿童开展入院前体检、评估工作，确保全面掌握儿童身体健康、运动功能、运动能力、康复功能等情况。六是积极开展护理、康复、特教工作。根据体检和评估情况，制定护理、康复、特教实施方案，为喘息服务儿童提供全方位服务。七是做好宣传工作。与攀枝花日报社签订宣传协议为“阳光同行”喘息服务等民政工作宣传；为每一位儿童制作成长相册，记录在院的点点滴滴。截止12月底，入院儿童6名。</w:t>
      </w:r>
    </w:p>
    <w:p w14:paraId="55942406">
      <w:pPr>
        <w:numPr>
          <w:ilvl w:val="0"/>
          <w:numId w:val="1"/>
        </w:numPr>
        <w:spacing w:line="580" w:lineRule="exact"/>
        <w:ind w:left="640" w:leftChars="0" w:firstLine="0" w:firstLineChars="0"/>
        <w:rPr>
          <w:rFonts w:hint="eastAsia" w:ascii="楷体_GB2312" w:hAnsi="楷体_GB2312" w:eastAsia="楷体_GB2312" w:cs="楷体_GB2312"/>
          <w:bCs/>
          <w:color w:val="auto"/>
          <w:szCs w:val="32"/>
        </w:rPr>
      </w:pPr>
      <w:r>
        <w:rPr>
          <w:rFonts w:hint="eastAsia" w:ascii="楷体_GB2312" w:hAnsi="楷体_GB2312" w:eastAsia="楷体_GB2312" w:cs="楷体_GB2312"/>
          <w:bCs/>
          <w:szCs w:val="32"/>
        </w:rPr>
        <w:t>继续做好关心下一代工作和精神文明建设、爱国卫生、档案、初保、计划生育等</w:t>
      </w:r>
      <w:r>
        <w:rPr>
          <w:rFonts w:hint="eastAsia" w:ascii="楷体_GB2312" w:hAnsi="楷体_GB2312" w:eastAsia="楷体_GB2312" w:cs="楷体_GB2312"/>
          <w:bCs/>
          <w:color w:val="auto"/>
          <w:szCs w:val="32"/>
        </w:rPr>
        <w:t>工作。</w:t>
      </w:r>
    </w:p>
    <w:p w14:paraId="742B524F">
      <w:pPr>
        <w:pStyle w:val="3"/>
        <w:ind w:right="440"/>
        <w:jc w:val="center"/>
        <w:rPr>
          <w:rFonts w:ascii="方正小标宋_GBK" w:hAnsi="方正小标宋_GBK" w:eastAsia="方正小标宋_GBK" w:cs="方正小标宋_GBK"/>
          <w:b w:val="0"/>
        </w:rPr>
      </w:pPr>
      <w:r>
        <w:rPr>
          <w:rFonts w:hint="eastAsia" w:ascii="方正小标宋_GBK" w:hAnsi="方正小标宋_GBK" w:eastAsia="方正小标宋_GBK" w:cs="方正小标宋_GBK"/>
          <w:b w:val="0"/>
        </w:rPr>
        <w:t>第二部分 2021年度</w:t>
      </w:r>
      <w:r>
        <w:rPr>
          <w:rStyle w:val="26"/>
          <w:rFonts w:hint="eastAsia" w:ascii="方正小标宋_GBK" w:hAnsi="方正小标宋_GBK" w:eastAsia="方正小标宋_GBK" w:cs="方正小标宋_GBK"/>
          <w:b w:val="0"/>
          <w:bCs/>
        </w:rPr>
        <w:t>单位决算情况说明</w:t>
      </w:r>
    </w:p>
    <w:p w14:paraId="3D75F9BE">
      <w:pPr>
        <w:pStyle w:val="25"/>
        <w:numPr>
          <w:ilvl w:val="0"/>
          <w:numId w:val="2"/>
        </w:numPr>
        <w:spacing w:line="600" w:lineRule="exact"/>
        <w:ind w:firstLineChars="0"/>
        <w:outlineLvl w:val="1"/>
        <w:rPr>
          <w:rStyle w:val="27"/>
          <w:rFonts w:ascii="黑体" w:hAnsi="黑体" w:eastAsia="黑体"/>
          <w:b w:val="0"/>
        </w:rPr>
      </w:pPr>
      <w:r>
        <w:rPr>
          <w:rFonts w:hint="eastAsia" w:ascii="黑体" w:hAnsi="黑体" w:eastAsia="黑体"/>
          <w:szCs w:val="32"/>
        </w:rPr>
        <w:t>收</w:t>
      </w:r>
      <w:r>
        <w:rPr>
          <w:rStyle w:val="27"/>
          <w:rFonts w:hint="eastAsia" w:ascii="黑体" w:hAnsi="黑体" w:eastAsia="黑体"/>
          <w:b w:val="0"/>
        </w:rPr>
        <w:t>入支出决算总体情况说明</w:t>
      </w:r>
    </w:p>
    <w:p w14:paraId="558843CB">
      <w:pPr>
        <w:spacing w:line="600" w:lineRule="exact"/>
        <w:ind w:firstLine="632" w:firstLineChars="200"/>
        <w:rPr>
          <w:rFonts w:ascii="仿宋" w:hAnsi="仿宋" w:eastAsia="仿宋"/>
          <w:szCs w:val="32"/>
        </w:rPr>
      </w:pPr>
      <w:r>
        <w:rPr>
          <w:rFonts w:hint="eastAsia" w:ascii="仿宋" w:hAnsi="仿宋" w:eastAsia="仿宋"/>
          <w:szCs w:val="32"/>
        </w:rPr>
        <w:t>2021年度收、支总计1248.85万元。与2020年相比，财政拨款收入增加58.98万元、增长11.15</w:t>
      </w:r>
      <w:r>
        <w:rPr>
          <w:rFonts w:ascii="仿宋" w:hAnsi="仿宋" w:eastAsia="仿宋"/>
          <w:szCs w:val="32"/>
        </w:rPr>
        <w:t>%</w:t>
      </w:r>
      <w:r>
        <w:rPr>
          <w:rFonts w:hint="eastAsia" w:ascii="仿宋" w:hAnsi="仿宋" w:eastAsia="仿宋"/>
          <w:szCs w:val="32"/>
        </w:rPr>
        <w:t>；财政拨款支出减少22.41元，</w:t>
      </w:r>
      <w:r>
        <w:rPr>
          <w:rFonts w:ascii="仿宋" w:hAnsi="仿宋" w:eastAsia="仿宋"/>
          <w:szCs w:val="32"/>
        </w:rPr>
        <w:t>下降</w:t>
      </w:r>
      <w:r>
        <w:rPr>
          <w:rFonts w:hint="eastAsia" w:ascii="仿宋" w:hAnsi="仿宋" w:eastAsia="仿宋"/>
          <w:szCs w:val="32"/>
        </w:rPr>
        <w:t>3.28%。主要变动原因是2021年人员经费收入增加，2021年项目经费支出减少。</w:t>
      </w:r>
    </w:p>
    <w:p w14:paraId="138F2146">
      <w:pPr>
        <w:pStyle w:val="2"/>
        <w:spacing w:before="166"/>
      </w:pPr>
      <w:r>
        <w:rPr>
          <w:rFonts w:hint="eastAsia"/>
        </w:rPr>
        <w:drawing>
          <wp:inline distT="0" distB="0" distL="0" distR="0">
            <wp:extent cx="5400675" cy="2901950"/>
            <wp:effectExtent l="4445" t="4445" r="5080" b="82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86D0FC">
      <w:pPr>
        <w:spacing w:line="600" w:lineRule="exact"/>
        <w:ind w:firstLine="1106" w:firstLineChars="350"/>
        <w:rPr>
          <w:rFonts w:eastAsia="仿宋"/>
        </w:rPr>
      </w:pPr>
      <w:r>
        <w:rPr>
          <w:rFonts w:hint="eastAsia" w:ascii="仿宋" w:hAnsi="仿宋" w:eastAsia="仿宋"/>
          <w:szCs w:val="32"/>
        </w:rPr>
        <w:t>（图</w:t>
      </w:r>
      <w:r>
        <w:rPr>
          <w:rFonts w:ascii="仿宋" w:hAnsi="仿宋" w:eastAsia="仿宋"/>
          <w:szCs w:val="32"/>
        </w:rPr>
        <w:t>1</w:t>
      </w:r>
      <w:r>
        <w:rPr>
          <w:rFonts w:hint="eastAsia" w:ascii="仿宋" w:hAnsi="仿宋" w:eastAsia="仿宋"/>
          <w:szCs w:val="32"/>
        </w:rPr>
        <w:t>：收、支决算总计变动情况图）（柱状图）</w:t>
      </w:r>
    </w:p>
    <w:p w14:paraId="1397FB2B">
      <w:pPr>
        <w:pStyle w:val="25"/>
        <w:numPr>
          <w:ilvl w:val="0"/>
          <w:numId w:val="2"/>
        </w:numPr>
        <w:spacing w:line="600" w:lineRule="exact"/>
        <w:ind w:firstLineChars="0"/>
        <w:outlineLvl w:val="1"/>
        <w:rPr>
          <w:rStyle w:val="27"/>
          <w:rFonts w:ascii="黑体" w:hAnsi="黑体" w:eastAsia="黑体"/>
          <w:b w:val="0"/>
        </w:rPr>
      </w:pPr>
      <w:r>
        <w:rPr>
          <w:rFonts w:hint="eastAsia" w:ascii="黑体" w:hAnsi="黑体" w:eastAsia="黑体"/>
          <w:szCs w:val="32"/>
        </w:rPr>
        <w:t>收</w:t>
      </w:r>
      <w:r>
        <w:rPr>
          <w:rStyle w:val="27"/>
          <w:rFonts w:hint="eastAsia" w:ascii="黑体" w:hAnsi="黑体" w:eastAsia="黑体"/>
          <w:b w:val="0"/>
        </w:rPr>
        <w:t>入决算情况说明</w:t>
      </w:r>
    </w:p>
    <w:p w14:paraId="3041BCF8">
      <w:pPr>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21年本年收入合计587.75万元，其中：一般公共预算财政拨款收入</w:t>
      </w:r>
      <w:r>
        <w:rPr>
          <w:rFonts w:ascii="仿宋" w:hAnsi="仿宋" w:eastAsia="仿宋"/>
          <w:szCs w:val="32"/>
        </w:rPr>
        <w:t>524.15</w:t>
      </w:r>
      <w:r>
        <w:rPr>
          <w:rFonts w:hint="eastAsia" w:ascii="仿宋" w:hAnsi="仿宋" w:eastAsia="仿宋"/>
          <w:szCs w:val="32"/>
        </w:rPr>
        <w:t>万元，占89.18</w:t>
      </w:r>
      <w:r>
        <w:rPr>
          <w:rFonts w:ascii="仿宋" w:hAnsi="仿宋" w:eastAsia="仿宋"/>
          <w:szCs w:val="32"/>
        </w:rPr>
        <w:t>%</w:t>
      </w:r>
      <w:r>
        <w:rPr>
          <w:rFonts w:hint="eastAsia" w:ascii="仿宋" w:hAnsi="仿宋" w:eastAsia="仿宋"/>
          <w:szCs w:val="32"/>
        </w:rPr>
        <w:t>；政府性基金预算财政拨款收入</w:t>
      </w:r>
      <w:r>
        <w:rPr>
          <w:rFonts w:ascii="仿宋" w:hAnsi="仿宋" w:eastAsia="仿宋"/>
          <w:szCs w:val="32"/>
        </w:rPr>
        <w:t>40.23</w:t>
      </w:r>
      <w:r>
        <w:rPr>
          <w:rFonts w:hint="eastAsia" w:ascii="仿宋" w:hAnsi="仿宋" w:eastAsia="仿宋"/>
          <w:szCs w:val="32"/>
        </w:rPr>
        <w:t>万元，占6.84</w:t>
      </w:r>
      <w:r>
        <w:rPr>
          <w:rFonts w:ascii="仿宋" w:hAnsi="仿宋" w:eastAsia="仿宋"/>
          <w:szCs w:val="32"/>
        </w:rPr>
        <w:t>%</w:t>
      </w:r>
      <w:r>
        <w:rPr>
          <w:rFonts w:hint="eastAsia" w:ascii="仿宋" w:hAnsi="仿宋" w:eastAsia="仿宋"/>
          <w:szCs w:val="32"/>
        </w:rPr>
        <w:t>；其他收入</w:t>
      </w:r>
      <w:r>
        <w:rPr>
          <w:rFonts w:ascii="仿宋" w:hAnsi="仿宋" w:eastAsia="仿宋"/>
          <w:szCs w:val="32"/>
        </w:rPr>
        <w:t>23.37</w:t>
      </w:r>
      <w:r>
        <w:rPr>
          <w:rFonts w:hint="eastAsia" w:ascii="仿宋" w:hAnsi="仿宋" w:eastAsia="仿宋"/>
          <w:szCs w:val="32"/>
        </w:rPr>
        <w:t>万元，占3.98</w:t>
      </w:r>
      <w:r>
        <w:rPr>
          <w:rFonts w:ascii="仿宋" w:hAnsi="仿宋" w:eastAsia="仿宋"/>
          <w:szCs w:val="32"/>
        </w:rPr>
        <w:t>%</w:t>
      </w:r>
      <w:r>
        <w:rPr>
          <w:rFonts w:hint="eastAsia" w:ascii="仿宋" w:hAnsi="仿宋" w:eastAsia="仿宋"/>
          <w:szCs w:val="32"/>
        </w:rPr>
        <w:t>。</w:t>
      </w:r>
    </w:p>
    <w:p w14:paraId="11B82089">
      <w:pPr>
        <w:rPr>
          <w:rFonts w:ascii="仿宋_GB2312"/>
          <w:szCs w:val="32"/>
        </w:rPr>
      </w:pPr>
      <w:r>
        <w:rPr>
          <w:rFonts w:ascii="仿宋_GB2312"/>
          <w:szCs w:val="32"/>
        </w:rPr>
        <w:drawing>
          <wp:inline distT="0" distB="0" distL="0" distR="0">
            <wp:extent cx="4990465" cy="1938020"/>
            <wp:effectExtent l="19050" t="0" r="19164" b="4791"/>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A9252B">
      <w:pPr>
        <w:spacing w:line="600" w:lineRule="exact"/>
        <w:ind w:firstLine="1896" w:firstLineChars="600"/>
      </w:pPr>
      <w:r>
        <w:rPr>
          <w:rFonts w:hint="eastAsia" w:ascii="仿宋" w:hAnsi="仿宋" w:eastAsia="仿宋"/>
          <w:szCs w:val="32"/>
        </w:rPr>
        <w:t>（图2：收入决算结构图）（饼状图）</w:t>
      </w:r>
    </w:p>
    <w:p w14:paraId="43D51E36">
      <w:pPr>
        <w:pStyle w:val="25"/>
        <w:numPr>
          <w:ilvl w:val="0"/>
          <w:numId w:val="2"/>
        </w:numPr>
        <w:spacing w:line="600" w:lineRule="exact"/>
        <w:ind w:firstLineChars="0"/>
        <w:outlineLvl w:val="1"/>
        <w:rPr>
          <w:rStyle w:val="27"/>
          <w:rFonts w:ascii="黑体" w:hAnsi="黑体" w:eastAsia="黑体"/>
          <w:b w:val="0"/>
        </w:rPr>
      </w:pPr>
      <w:r>
        <w:rPr>
          <w:rFonts w:hint="eastAsia" w:ascii="黑体" w:hAnsi="黑体" w:eastAsia="黑体"/>
          <w:szCs w:val="32"/>
        </w:rPr>
        <w:t>支</w:t>
      </w:r>
      <w:r>
        <w:rPr>
          <w:rStyle w:val="27"/>
          <w:rFonts w:hint="eastAsia" w:ascii="黑体" w:hAnsi="黑体" w:eastAsia="黑体"/>
          <w:b w:val="0"/>
        </w:rPr>
        <w:t>出决算情况说明</w:t>
      </w:r>
    </w:p>
    <w:p w14:paraId="4CE96E9A">
      <w:pPr>
        <w:spacing w:line="600" w:lineRule="exact"/>
        <w:ind w:firstLine="632" w:firstLineChars="200"/>
        <w:outlineLvl w:val="1"/>
        <w:rPr>
          <w:rFonts w:ascii="仿宋" w:hAnsi="仿宋" w:eastAsia="仿宋"/>
          <w:szCs w:val="32"/>
        </w:rPr>
      </w:pPr>
      <w:r>
        <w:rPr>
          <w:rFonts w:ascii="仿宋" w:hAnsi="仿宋" w:eastAsia="仿宋"/>
          <w:szCs w:val="32"/>
        </w:rPr>
        <w:t>20</w:t>
      </w:r>
      <w:r>
        <w:rPr>
          <w:rFonts w:hint="eastAsia" w:ascii="仿宋" w:hAnsi="仿宋" w:eastAsia="仿宋"/>
          <w:szCs w:val="32"/>
        </w:rPr>
        <w:t>21年本年支出合计</w:t>
      </w:r>
      <w:r>
        <w:rPr>
          <w:rFonts w:ascii="仿宋" w:hAnsi="仿宋" w:eastAsia="仿宋"/>
          <w:szCs w:val="32"/>
        </w:rPr>
        <w:t>661.1</w:t>
      </w:r>
      <w:r>
        <w:rPr>
          <w:rFonts w:hint="eastAsia" w:ascii="仿宋" w:hAnsi="仿宋" w:eastAsia="仿宋"/>
          <w:szCs w:val="32"/>
        </w:rPr>
        <w:t>万元，其中：基本支出406.49万元，占61.49</w:t>
      </w:r>
      <w:r>
        <w:rPr>
          <w:rFonts w:ascii="仿宋" w:hAnsi="仿宋" w:eastAsia="仿宋"/>
          <w:szCs w:val="32"/>
        </w:rPr>
        <w:t>%</w:t>
      </w:r>
      <w:r>
        <w:rPr>
          <w:rFonts w:hint="eastAsia" w:ascii="仿宋" w:hAnsi="仿宋" w:eastAsia="仿宋"/>
          <w:szCs w:val="32"/>
        </w:rPr>
        <w:t>；项目支出254.61万元，占38.51</w:t>
      </w:r>
      <w:r>
        <w:rPr>
          <w:rFonts w:ascii="仿宋" w:hAnsi="仿宋" w:eastAsia="仿宋"/>
          <w:szCs w:val="32"/>
        </w:rPr>
        <w:t>%</w:t>
      </w:r>
      <w:r>
        <w:rPr>
          <w:rFonts w:hint="eastAsia" w:ascii="仿宋" w:hAnsi="仿宋" w:eastAsia="仿宋"/>
          <w:szCs w:val="32"/>
        </w:rPr>
        <w:t>。</w:t>
      </w:r>
    </w:p>
    <w:p w14:paraId="0CF56A80">
      <w:pPr>
        <w:pStyle w:val="2"/>
        <w:spacing w:before="166"/>
        <w:rPr>
          <w:rFonts w:ascii="仿宋" w:hAnsi="仿宋" w:eastAsia="仿宋"/>
          <w:sz w:val="32"/>
          <w:szCs w:val="32"/>
        </w:rPr>
      </w:pPr>
      <w:r>
        <w:rPr>
          <w:rFonts w:hint="eastAsia" w:ascii="仿宋" w:hAnsi="仿宋" w:eastAsia="仿宋"/>
          <w:sz w:val="32"/>
          <w:szCs w:val="32"/>
        </w:rPr>
        <w:drawing>
          <wp:inline distT="0" distB="0" distL="0" distR="0">
            <wp:extent cx="4676140" cy="2172335"/>
            <wp:effectExtent l="19050" t="0" r="10133" b="0"/>
            <wp:docPr id="1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E07229">
      <w:pPr>
        <w:spacing w:line="600" w:lineRule="exact"/>
        <w:ind w:firstLine="632" w:firstLineChars="200"/>
        <w:rPr>
          <w:rFonts w:ascii="仿宋" w:hAnsi="仿宋" w:eastAsia="仿宋"/>
          <w:szCs w:val="32"/>
        </w:rPr>
      </w:pPr>
      <w:r>
        <w:rPr>
          <w:rFonts w:hint="eastAsia" w:ascii="仿宋" w:hAnsi="仿宋" w:eastAsia="仿宋"/>
          <w:szCs w:val="32"/>
        </w:rPr>
        <w:t>（图3：支出决算结构图）（饼状图）</w:t>
      </w:r>
    </w:p>
    <w:p w14:paraId="310CDDF9">
      <w:pPr>
        <w:spacing w:line="600" w:lineRule="exact"/>
        <w:ind w:firstLine="632" w:firstLineChars="200"/>
        <w:outlineLvl w:val="1"/>
        <w:rPr>
          <w:rStyle w:val="27"/>
          <w:rFonts w:ascii="黑体" w:hAnsi="黑体" w:eastAsia="黑体"/>
          <w:b w:val="0"/>
        </w:rPr>
      </w:pPr>
      <w:r>
        <w:rPr>
          <w:rFonts w:hint="eastAsia" w:ascii="黑体" w:hAnsi="黑体" w:eastAsia="黑体"/>
          <w:szCs w:val="32"/>
        </w:rPr>
        <w:t>四、财</w:t>
      </w:r>
      <w:r>
        <w:rPr>
          <w:rStyle w:val="27"/>
          <w:rFonts w:hint="eastAsia" w:ascii="黑体" w:hAnsi="黑体" w:eastAsia="黑体"/>
          <w:b w:val="0"/>
        </w:rPr>
        <w:t>政拨款收入支出决算总体情况说明</w:t>
      </w:r>
    </w:p>
    <w:p w14:paraId="1BB0AE8B">
      <w:pPr>
        <w:spacing w:line="600" w:lineRule="exact"/>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21年财政拨款收、支总计1248.85万元。与</w:t>
      </w:r>
      <w:r>
        <w:rPr>
          <w:rFonts w:ascii="仿宋" w:hAnsi="仿宋" w:eastAsia="仿宋"/>
          <w:szCs w:val="32"/>
        </w:rPr>
        <w:t>20</w:t>
      </w:r>
      <w:r>
        <w:rPr>
          <w:rFonts w:hint="eastAsia" w:ascii="仿宋" w:hAnsi="仿宋" w:eastAsia="仿宋"/>
          <w:szCs w:val="32"/>
        </w:rPr>
        <w:t>20年相比，财政拨款收入增加58.98万元、增长11.15</w:t>
      </w:r>
      <w:r>
        <w:rPr>
          <w:rFonts w:ascii="仿宋" w:hAnsi="仿宋" w:eastAsia="仿宋"/>
          <w:szCs w:val="32"/>
        </w:rPr>
        <w:t>%</w:t>
      </w:r>
      <w:r>
        <w:rPr>
          <w:rFonts w:hint="eastAsia" w:ascii="仿宋" w:hAnsi="仿宋" w:eastAsia="仿宋"/>
          <w:szCs w:val="32"/>
        </w:rPr>
        <w:t>支；财政拨款支出减少22.41元，</w:t>
      </w:r>
      <w:r>
        <w:rPr>
          <w:rFonts w:ascii="仿宋" w:hAnsi="仿宋" w:eastAsia="仿宋"/>
          <w:szCs w:val="32"/>
        </w:rPr>
        <w:t>下降</w:t>
      </w:r>
      <w:r>
        <w:rPr>
          <w:rFonts w:hint="eastAsia" w:ascii="仿宋" w:hAnsi="仿宋" w:eastAsia="仿宋"/>
          <w:szCs w:val="32"/>
        </w:rPr>
        <w:t>3.28%。主要变动原因是2021年人员经费收入增加，2021年项目经费支出减少。</w:t>
      </w:r>
    </w:p>
    <w:p w14:paraId="40B04065">
      <w:pPr>
        <w:pStyle w:val="2"/>
        <w:spacing w:before="166"/>
      </w:pPr>
      <w:r>
        <w:rPr>
          <w:rFonts w:hint="eastAsia"/>
        </w:rPr>
        <w:drawing>
          <wp:inline distT="0" distB="0" distL="0" distR="0">
            <wp:extent cx="4946650" cy="2096770"/>
            <wp:effectExtent l="19050" t="0" r="24868" b="0"/>
            <wp:docPr id="3"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48EB5E">
      <w:pPr>
        <w:spacing w:line="600" w:lineRule="exact"/>
      </w:pPr>
      <w:r>
        <w:rPr>
          <w:rFonts w:hint="eastAsia" w:ascii="仿宋" w:hAnsi="仿宋" w:eastAsia="仿宋"/>
          <w:szCs w:val="32"/>
        </w:rPr>
        <w:t>（图4：财政拨款收、支决算总计变动情况图）（柱状图）</w:t>
      </w:r>
    </w:p>
    <w:p w14:paraId="4CD66DDC">
      <w:pPr>
        <w:spacing w:line="600" w:lineRule="exact"/>
        <w:ind w:firstLine="632" w:firstLineChars="200"/>
        <w:outlineLvl w:val="1"/>
        <w:rPr>
          <w:rStyle w:val="27"/>
          <w:rFonts w:ascii="黑体" w:hAnsi="黑体" w:eastAsia="黑体"/>
          <w:b w:val="0"/>
        </w:rPr>
      </w:pPr>
      <w:r>
        <w:rPr>
          <w:rFonts w:hint="eastAsia" w:ascii="黑体" w:hAnsi="黑体" w:eastAsia="黑体"/>
          <w:szCs w:val="32"/>
        </w:rPr>
        <w:t>五、</w:t>
      </w:r>
      <w:r>
        <w:rPr>
          <w:rFonts w:hint="eastAsia" w:ascii="黑体" w:hAnsi="黑体" w:eastAsia="黑体"/>
          <w:b/>
          <w:szCs w:val="32"/>
        </w:rPr>
        <w:t>一</w:t>
      </w:r>
      <w:r>
        <w:rPr>
          <w:rStyle w:val="27"/>
          <w:rFonts w:hint="eastAsia" w:ascii="黑体" w:hAnsi="黑体" w:eastAsia="黑体"/>
          <w:b w:val="0"/>
        </w:rPr>
        <w:t>般公共预算财政拨款支出决算情况说明</w:t>
      </w:r>
    </w:p>
    <w:p w14:paraId="55462B92">
      <w:pPr>
        <w:spacing w:line="600" w:lineRule="exact"/>
        <w:ind w:firstLine="632" w:firstLineChars="200"/>
        <w:outlineLvl w:val="2"/>
        <w:rPr>
          <w:rFonts w:ascii="楷体_GB2312" w:hAnsi="楷体_GB2312" w:eastAsia="楷体_GB2312" w:cs="楷体_GB2312"/>
          <w:szCs w:val="32"/>
        </w:rPr>
      </w:pPr>
      <w:r>
        <w:rPr>
          <w:rFonts w:hint="eastAsia" w:ascii="楷体_GB2312" w:hAnsi="楷体_GB2312" w:eastAsia="楷体_GB2312" w:cs="楷体_GB2312"/>
          <w:szCs w:val="32"/>
        </w:rPr>
        <w:t>（一）一般公共预算财政拨款支出决算总体情况</w:t>
      </w:r>
    </w:p>
    <w:p w14:paraId="58F81C27">
      <w:pPr>
        <w:spacing w:line="600" w:lineRule="exact"/>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21年一般公共预算财政拨款支出</w:t>
      </w:r>
      <w:r>
        <w:rPr>
          <w:rFonts w:ascii="仿宋" w:hAnsi="仿宋" w:eastAsia="仿宋"/>
          <w:szCs w:val="32"/>
        </w:rPr>
        <w:t>524.15</w:t>
      </w:r>
      <w:r>
        <w:rPr>
          <w:rFonts w:hint="eastAsia" w:ascii="仿宋" w:hAnsi="仿宋" w:eastAsia="仿宋"/>
          <w:szCs w:val="32"/>
        </w:rPr>
        <w:t>万元，占本年支出合计的79.28</w:t>
      </w:r>
      <w:r>
        <w:rPr>
          <w:rFonts w:ascii="仿宋" w:hAnsi="仿宋" w:eastAsia="仿宋"/>
          <w:szCs w:val="32"/>
        </w:rPr>
        <w:t>%</w:t>
      </w:r>
      <w:r>
        <w:rPr>
          <w:rFonts w:hint="eastAsia" w:ascii="仿宋" w:hAnsi="仿宋" w:eastAsia="仿宋"/>
          <w:szCs w:val="32"/>
        </w:rPr>
        <w:t>。与</w:t>
      </w:r>
      <w:r>
        <w:rPr>
          <w:rFonts w:ascii="仿宋" w:hAnsi="仿宋" w:eastAsia="仿宋"/>
          <w:szCs w:val="32"/>
        </w:rPr>
        <w:t>20</w:t>
      </w:r>
      <w:r>
        <w:rPr>
          <w:rFonts w:hint="eastAsia" w:ascii="仿宋" w:hAnsi="仿宋" w:eastAsia="仿宋"/>
          <w:szCs w:val="32"/>
        </w:rPr>
        <w:t>20年相比，一般公共预算财政拨款支出减少46.34万元，下降8.12</w:t>
      </w:r>
      <w:r>
        <w:rPr>
          <w:rFonts w:ascii="仿宋" w:hAnsi="仿宋" w:eastAsia="仿宋"/>
          <w:szCs w:val="32"/>
        </w:rPr>
        <w:t>%</w:t>
      </w:r>
      <w:r>
        <w:rPr>
          <w:rFonts w:hint="eastAsia" w:ascii="仿宋" w:hAnsi="仿宋" w:eastAsia="仿宋"/>
          <w:szCs w:val="32"/>
        </w:rPr>
        <w:t>。主要变动原因是2021年一般公共预算拨款项目支出减少。</w:t>
      </w:r>
    </w:p>
    <w:p w14:paraId="6D5B5023">
      <w:pPr>
        <w:pStyle w:val="2"/>
        <w:spacing w:before="166"/>
      </w:pPr>
      <w:r>
        <w:rPr>
          <w:rFonts w:hint="eastAsia"/>
        </w:rPr>
        <w:drawing>
          <wp:inline distT="0" distB="0" distL="0" distR="0">
            <wp:extent cx="5083810" cy="2080895"/>
            <wp:effectExtent l="19050" t="0" r="21332"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C84030">
      <w:pPr>
        <w:spacing w:line="600" w:lineRule="exact"/>
      </w:pPr>
      <w:r>
        <w:rPr>
          <w:rFonts w:hint="eastAsia" w:ascii="仿宋" w:hAnsi="仿宋" w:eastAsia="仿宋"/>
          <w:szCs w:val="32"/>
        </w:rPr>
        <w:t>（图5：一般公共预算财政拨款支出决算变动情况图）（柱状图）</w:t>
      </w:r>
    </w:p>
    <w:p w14:paraId="77526DCF">
      <w:pPr>
        <w:spacing w:line="600" w:lineRule="exact"/>
        <w:ind w:firstLine="632" w:firstLineChars="200"/>
        <w:outlineLvl w:val="2"/>
        <w:rPr>
          <w:rFonts w:ascii="楷体" w:hAnsi="楷体" w:eastAsia="楷体"/>
          <w:szCs w:val="32"/>
        </w:rPr>
      </w:pPr>
      <w:r>
        <w:rPr>
          <w:rFonts w:hint="eastAsia" w:ascii="楷体_GB2312" w:hAnsi="楷体_GB2312" w:eastAsia="楷体_GB2312" w:cs="楷体_GB2312"/>
          <w:szCs w:val="32"/>
        </w:rPr>
        <w:t>（二）一般公共预算财政拨款支出决算结构情况</w:t>
      </w:r>
    </w:p>
    <w:p w14:paraId="7FA86465">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21年一般公共预算财政拨款支出</w:t>
      </w:r>
      <w:r>
        <w:rPr>
          <w:rFonts w:ascii="仿宋" w:hAnsi="仿宋" w:eastAsia="仿宋"/>
          <w:szCs w:val="32"/>
        </w:rPr>
        <w:t>524.15</w:t>
      </w:r>
      <w:r>
        <w:rPr>
          <w:rFonts w:hint="eastAsia" w:ascii="仿宋" w:hAnsi="仿宋" w:eastAsia="仿宋"/>
          <w:szCs w:val="32"/>
        </w:rPr>
        <w:t>万元，主要用于以下方面</w:t>
      </w:r>
      <w:r>
        <w:rPr>
          <w:rFonts w:ascii="仿宋" w:hAnsi="仿宋" w:eastAsia="仿宋"/>
          <w:szCs w:val="32"/>
        </w:rPr>
        <w:t>:</w:t>
      </w:r>
      <w:r>
        <w:rPr>
          <w:rFonts w:hint="eastAsia" w:ascii="仿宋" w:hAnsi="仿宋" w:eastAsia="仿宋"/>
          <w:szCs w:val="32"/>
        </w:rPr>
        <w:t>社会保障和就业（类）支出</w:t>
      </w:r>
      <w:r>
        <w:rPr>
          <w:rFonts w:ascii="仿宋" w:hAnsi="仿宋" w:eastAsia="仿宋"/>
          <w:szCs w:val="32"/>
        </w:rPr>
        <w:t>493.03</w:t>
      </w:r>
      <w:r>
        <w:rPr>
          <w:rFonts w:hint="eastAsia" w:ascii="仿宋" w:hAnsi="仿宋" w:eastAsia="仿宋"/>
          <w:szCs w:val="32"/>
        </w:rPr>
        <w:t>万元，占94.06</w:t>
      </w:r>
      <w:r>
        <w:rPr>
          <w:rFonts w:ascii="仿宋" w:hAnsi="仿宋" w:eastAsia="仿宋"/>
          <w:szCs w:val="32"/>
        </w:rPr>
        <w:t>%</w:t>
      </w:r>
      <w:r>
        <w:rPr>
          <w:rFonts w:hint="eastAsia" w:ascii="仿宋" w:hAnsi="仿宋" w:eastAsia="仿宋"/>
          <w:szCs w:val="32"/>
        </w:rPr>
        <w:t>；住房保障支出（类）</w:t>
      </w:r>
      <w:r>
        <w:rPr>
          <w:rFonts w:ascii="仿宋" w:hAnsi="仿宋" w:eastAsia="仿宋"/>
          <w:szCs w:val="32"/>
        </w:rPr>
        <w:t>31.12</w:t>
      </w:r>
      <w:r>
        <w:rPr>
          <w:rFonts w:hint="eastAsia" w:ascii="仿宋" w:hAnsi="仿宋" w:eastAsia="仿宋"/>
          <w:szCs w:val="32"/>
        </w:rPr>
        <w:t>万元，占5.94</w:t>
      </w:r>
      <w:r>
        <w:rPr>
          <w:rFonts w:ascii="仿宋" w:hAnsi="仿宋" w:eastAsia="仿宋"/>
          <w:szCs w:val="32"/>
        </w:rPr>
        <w:t>%</w:t>
      </w:r>
      <w:r>
        <w:rPr>
          <w:rFonts w:hint="eastAsia" w:ascii="仿宋" w:hAnsi="仿宋" w:eastAsia="仿宋"/>
          <w:szCs w:val="32"/>
        </w:rPr>
        <w:t>。</w:t>
      </w:r>
    </w:p>
    <w:p w14:paraId="6322C090">
      <w:pPr>
        <w:pStyle w:val="2"/>
        <w:spacing w:before="166"/>
      </w:pPr>
      <w:r>
        <w:rPr>
          <w:rFonts w:hint="eastAsia"/>
        </w:rPr>
        <w:drawing>
          <wp:inline distT="0" distB="0" distL="0" distR="0">
            <wp:extent cx="5408930" cy="2061210"/>
            <wp:effectExtent l="19050" t="0" r="20266"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48DD44">
      <w:pPr>
        <w:spacing w:line="600" w:lineRule="exact"/>
      </w:pPr>
      <w:r>
        <w:rPr>
          <w:rFonts w:hint="eastAsia" w:ascii="仿宋" w:hAnsi="仿宋" w:eastAsia="仿宋"/>
          <w:szCs w:val="32"/>
        </w:rPr>
        <w:t>（图6：一般公共预算财政拨款支出决算结构图）（饼状图）</w:t>
      </w:r>
    </w:p>
    <w:p w14:paraId="28D05C83">
      <w:pPr>
        <w:spacing w:line="600" w:lineRule="exact"/>
        <w:ind w:firstLine="632" w:firstLineChars="200"/>
        <w:outlineLvl w:val="2"/>
        <w:rPr>
          <w:rFonts w:ascii="楷体_GB2312" w:hAnsi="楷体_GB2312" w:eastAsia="楷体_GB2312" w:cs="楷体_GB2312"/>
          <w:szCs w:val="32"/>
        </w:rPr>
      </w:pPr>
      <w:r>
        <w:rPr>
          <w:rFonts w:hint="eastAsia" w:ascii="楷体_GB2312" w:hAnsi="楷体_GB2312" w:eastAsia="楷体_GB2312" w:cs="楷体_GB2312"/>
          <w:szCs w:val="32"/>
        </w:rPr>
        <w:t>（三）一般公共预算财政拨款支出决算具体情况</w:t>
      </w:r>
    </w:p>
    <w:p w14:paraId="0A069A47">
      <w:pPr>
        <w:spacing w:line="600" w:lineRule="exact"/>
        <w:ind w:firstLine="632" w:firstLineChars="200"/>
        <w:outlineLvl w:val="2"/>
        <w:rPr>
          <w:rFonts w:ascii="仿宋" w:hAnsi="仿宋" w:eastAsia="仿宋"/>
          <w:szCs w:val="32"/>
        </w:rPr>
      </w:pPr>
      <w:r>
        <w:rPr>
          <w:rFonts w:hint="eastAsia" w:ascii="仿宋" w:hAnsi="仿宋" w:eastAsia="仿宋"/>
          <w:szCs w:val="32"/>
        </w:rPr>
        <w:t>2021年一般公共预算支出决算数为</w:t>
      </w:r>
      <w:r>
        <w:rPr>
          <w:rFonts w:ascii="仿宋" w:hAnsi="仿宋" w:eastAsia="仿宋"/>
          <w:szCs w:val="32"/>
        </w:rPr>
        <w:t>524.15万元</w:t>
      </w:r>
      <w:r>
        <w:rPr>
          <w:rFonts w:hint="eastAsia" w:ascii="仿宋" w:hAnsi="仿宋" w:eastAsia="仿宋"/>
          <w:szCs w:val="32"/>
        </w:rPr>
        <w:t>，</w:t>
      </w:r>
      <w:r>
        <w:rPr>
          <w:rStyle w:val="16"/>
          <w:rFonts w:hint="eastAsia" w:ascii="仿宋" w:hAnsi="仿宋" w:eastAsia="仿宋"/>
          <w:b w:val="0"/>
          <w:bCs/>
          <w:szCs w:val="32"/>
        </w:rPr>
        <w:t>完成预算100</w:t>
      </w:r>
      <w:r>
        <w:rPr>
          <w:rStyle w:val="16"/>
          <w:rFonts w:ascii="仿宋" w:hAnsi="仿宋" w:eastAsia="仿宋"/>
          <w:b w:val="0"/>
          <w:bCs/>
          <w:szCs w:val="32"/>
        </w:rPr>
        <w:t>%</w:t>
      </w:r>
      <w:r>
        <w:rPr>
          <w:rStyle w:val="16"/>
          <w:rFonts w:hint="eastAsia" w:ascii="仿宋" w:hAnsi="仿宋" w:eastAsia="仿宋"/>
          <w:b w:val="0"/>
          <w:bCs/>
          <w:szCs w:val="32"/>
        </w:rPr>
        <w:t>。其中：</w:t>
      </w:r>
    </w:p>
    <w:p w14:paraId="05EE4818">
      <w:pPr>
        <w:spacing w:line="600" w:lineRule="exact"/>
        <w:ind w:firstLine="632" w:firstLineChars="200"/>
        <w:rPr>
          <w:rFonts w:ascii="仿宋" w:hAnsi="仿宋" w:eastAsia="仿宋"/>
          <w:szCs w:val="32"/>
        </w:rPr>
      </w:pPr>
      <w:r>
        <w:rPr>
          <w:rStyle w:val="16"/>
          <w:rFonts w:ascii="仿宋" w:hAnsi="仿宋" w:eastAsia="仿宋"/>
          <w:b w:val="0"/>
          <w:bCs/>
          <w:szCs w:val="32"/>
        </w:rPr>
        <w:t>1.</w:t>
      </w:r>
      <w:r>
        <w:rPr>
          <w:rStyle w:val="16"/>
          <w:rFonts w:hint="eastAsia" w:ascii="仿宋" w:hAnsi="仿宋" w:eastAsia="仿宋"/>
          <w:b w:val="0"/>
          <w:bCs/>
          <w:szCs w:val="32"/>
        </w:rPr>
        <w:t>社会保障和就业（类）人力资源和社会保障管理事务（款）其他人力资源和社会保障管理事务支出（项）</w:t>
      </w:r>
      <w:r>
        <w:rPr>
          <w:rStyle w:val="16"/>
          <w:rFonts w:ascii="仿宋" w:hAnsi="仿宋" w:eastAsia="仿宋"/>
          <w:b w:val="0"/>
          <w:bCs/>
          <w:szCs w:val="32"/>
        </w:rPr>
        <w:t>:</w:t>
      </w:r>
      <w:r>
        <w:rPr>
          <w:rStyle w:val="16"/>
          <w:rFonts w:hint="eastAsia" w:ascii="仿宋" w:hAnsi="仿宋" w:eastAsia="仿宋"/>
          <w:b w:val="0"/>
          <w:bCs/>
          <w:szCs w:val="32"/>
        </w:rPr>
        <w:t>支出决算为7.6万元，完成预算100</w:t>
      </w:r>
      <w:r>
        <w:rPr>
          <w:rStyle w:val="16"/>
          <w:rFonts w:ascii="仿宋" w:hAnsi="仿宋" w:eastAsia="仿宋"/>
          <w:b w:val="0"/>
          <w:bCs/>
          <w:szCs w:val="32"/>
        </w:rPr>
        <w:t>%</w:t>
      </w:r>
      <w:r>
        <w:rPr>
          <w:rStyle w:val="16"/>
          <w:rFonts w:hint="eastAsia" w:ascii="仿宋" w:hAnsi="仿宋" w:eastAsia="仿宋"/>
          <w:b w:val="0"/>
          <w:bCs/>
          <w:szCs w:val="32"/>
        </w:rPr>
        <w:t>。</w:t>
      </w:r>
    </w:p>
    <w:p w14:paraId="01C42073">
      <w:pPr>
        <w:spacing w:line="600" w:lineRule="exact"/>
        <w:ind w:firstLine="632" w:firstLineChars="200"/>
        <w:rPr>
          <w:rStyle w:val="16"/>
          <w:rFonts w:ascii="仿宋" w:hAnsi="仿宋" w:eastAsia="仿宋"/>
          <w:b w:val="0"/>
          <w:bCs/>
          <w:szCs w:val="32"/>
        </w:rPr>
      </w:pPr>
      <w:r>
        <w:rPr>
          <w:rStyle w:val="16"/>
          <w:rFonts w:hint="eastAsia" w:ascii="仿宋" w:hAnsi="仿宋" w:eastAsia="仿宋"/>
          <w:b w:val="0"/>
          <w:bCs/>
          <w:szCs w:val="32"/>
        </w:rPr>
        <w:t>2</w:t>
      </w:r>
      <w:r>
        <w:rPr>
          <w:rStyle w:val="16"/>
          <w:rFonts w:ascii="仿宋" w:hAnsi="仿宋" w:eastAsia="仿宋"/>
          <w:b w:val="0"/>
          <w:bCs/>
          <w:szCs w:val="32"/>
        </w:rPr>
        <w:t>.</w:t>
      </w:r>
      <w:r>
        <w:rPr>
          <w:rStyle w:val="16"/>
          <w:rFonts w:hint="eastAsia" w:ascii="仿宋" w:hAnsi="仿宋" w:eastAsia="仿宋"/>
          <w:b w:val="0"/>
          <w:bCs/>
          <w:szCs w:val="32"/>
        </w:rPr>
        <w:t>社会保障和就业（类）行政事业单位养老支出（款）事业单位离退休（项）</w:t>
      </w:r>
      <w:r>
        <w:rPr>
          <w:rStyle w:val="16"/>
          <w:rFonts w:ascii="仿宋" w:hAnsi="仿宋" w:eastAsia="仿宋"/>
          <w:b w:val="0"/>
          <w:bCs/>
          <w:szCs w:val="32"/>
        </w:rPr>
        <w:t>:</w:t>
      </w:r>
      <w:r>
        <w:rPr>
          <w:rStyle w:val="16"/>
          <w:rFonts w:hint="eastAsia" w:ascii="仿宋" w:hAnsi="仿宋" w:eastAsia="仿宋"/>
          <w:b w:val="0"/>
          <w:bCs/>
          <w:szCs w:val="32"/>
        </w:rPr>
        <w:t>支出决算为15.03万元，完成预算100</w:t>
      </w:r>
      <w:r>
        <w:rPr>
          <w:rStyle w:val="16"/>
          <w:rFonts w:ascii="仿宋" w:hAnsi="仿宋" w:eastAsia="仿宋"/>
          <w:b w:val="0"/>
          <w:bCs/>
          <w:szCs w:val="32"/>
        </w:rPr>
        <w:t>%</w:t>
      </w:r>
      <w:r>
        <w:rPr>
          <w:rStyle w:val="16"/>
          <w:rFonts w:hint="eastAsia" w:ascii="仿宋" w:hAnsi="仿宋" w:eastAsia="仿宋"/>
          <w:b w:val="0"/>
          <w:bCs/>
          <w:szCs w:val="32"/>
        </w:rPr>
        <w:t>。</w:t>
      </w:r>
    </w:p>
    <w:p w14:paraId="29BDEDAA">
      <w:pPr>
        <w:spacing w:line="600" w:lineRule="exact"/>
        <w:ind w:firstLine="632" w:firstLineChars="200"/>
        <w:rPr>
          <w:rFonts w:ascii="仿宋" w:hAnsi="仿宋" w:eastAsia="仿宋"/>
          <w:szCs w:val="32"/>
        </w:rPr>
      </w:pPr>
      <w:r>
        <w:rPr>
          <w:rStyle w:val="16"/>
          <w:rFonts w:hint="eastAsia" w:ascii="仿宋" w:hAnsi="仿宋" w:eastAsia="仿宋"/>
          <w:b w:val="0"/>
          <w:bCs/>
          <w:szCs w:val="32"/>
        </w:rPr>
        <w:t>3</w:t>
      </w:r>
      <w:r>
        <w:rPr>
          <w:rStyle w:val="16"/>
          <w:rFonts w:ascii="仿宋" w:hAnsi="仿宋" w:eastAsia="仿宋"/>
          <w:b w:val="0"/>
          <w:bCs/>
          <w:szCs w:val="32"/>
        </w:rPr>
        <w:t>.</w:t>
      </w:r>
      <w:r>
        <w:rPr>
          <w:rStyle w:val="16"/>
          <w:rFonts w:hint="eastAsia" w:ascii="仿宋" w:hAnsi="仿宋" w:eastAsia="仿宋"/>
          <w:b w:val="0"/>
          <w:bCs/>
          <w:szCs w:val="32"/>
        </w:rPr>
        <w:t>社会保障和就业（类）行政事业单位养老支出（款）机关事业单位基本养老保险缴费支出（项）</w:t>
      </w:r>
      <w:r>
        <w:rPr>
          <w:rStyle w:val="16"/>
          <w:rFonts w:ascii="仿宋" w:hAnsi="仿宋" w:eastAsia="仿宋"/>
          <w:b w:val="0"/>
          <w:bCs/>
          <w:szCs w:val="32"/>
        </w:rPr>
        <w:t>:</w:t>
      </w:r>
      <w:r>
        <w:rPr>
          <w:rStyle w:val="16"/>
          <w:rFonts w:hint="eastAsia" w:ascii="仿宋" w:hAnsi="仿宋" w:eastAsia="仿宋"/>
          <w:b w:val="0"/>
          <w:bCs/>
          <w:szCs w:val="32"/>
        </w:rPr>
        <w:t>支出决算为</w:t>
      </w:r>
      <w:r>
        <w:rPr>
          <w:rStyle w:val="16"/>
          <w:rFonts w:ascii="仿宋" w:hAnsi="仿宋" w:eastAsia="仿宋"/>
          <w:b w:val="0"/>
          <w:bCs/>
          <w:szCs w:val="32"/>
        </w:rPr>
        <w:t>27.32</w:t>
      </w:r>
      <w:r>
        <w:rPr>
          <w:rStyle w:val="16"/>
          <w:rFonts w:hint="eastAsia" w:ascii="仿宋" w:hAnsi="仿宋" w:eastAsia="仿宋"/>
          <w:b w:val="0"/>
          <w:bCs/>
          <w:szCs w:val="32"/>
        </w:rPr>
        <w:t>万元，完成预算100</w:t>
      </w:r>
      <w:r>
        <w:rPr>
          <w:rStyle w:val="16"/>
          <w:rFonts w:ascii="仿宋" w:hAnsi="仿宋" w:eastAsia="仿宋"/>
          <w:b w:val="0"/>
          <w:bCs/>
          <w:szCs w:val="32"/>
        </w:rPr>
        <w:t>%</w:t>
      </w:r>
      <w:r>
        <w:rPr>
          <w:rStyle w:val="16"/>
          <w:rFonts w:hint="eastAsia" w:ascii="仿宋" w:hAnsi="仿宋" w:eastAsia="仿宋"/>
          <w:b w:val="0"/>
          <w:bCs/>
          <w:szCs w:val="32"/>
        </w:rPr>
        <w:t>。</w:t>
      </w:r>
    </w:p>
    <w:p w14:paraId="5B0CFFC4">
      <w:pPr>
        <w:spacing w:line="600" w:lineRule="exact"/>
        <w:ind w:firstLine="632" w:firstLineChars="200"/>
        <w:rPr>
          <w:rFonts w:ascii="仿宋" w:hAnsi="仿宋" w:eastAsia="仿宋"/>
          <w:szCs w:val="32"/>
        </w:rPr>
      </w:pPr>
      <w:r>
        <w:rPr>
          <w:rStyle w:val="16"/>
          <w:rFonts w:hint="eastAsia" w:ascii="仿宋" w:hAnsi="仿宋" w:eastAsia="仿宋"/>
          <w:b w:val="0"/>
          <w:bCs/>
          <w:szCs w:val="32"/>
        </w:rPr>
        <w:t>4</w:t>
      </w:r>
      <w:r>
        <w:rPr>
          <w:rStyle w:val="16"/>
          <w:rFonts w:ascii="仿宋" w:hAnsi="仿宋" w:eastAsia="仿宋"/>
          <w:b w:val="0"/>
          <w:bCs/>
          <w:szCs w:val="32"/>
        </w:rPr>
        <w:t>.</w:t>
      </w:r>
      <w:r>
        <w:rPr>
          <w:rStyle w:val="16"/>
          <w:rFonts w:hint="eastAsia" w:ascii="仿宋" w:hAnsi="仿宋" w:eastAsia="仿宋"/>
          <w:b w:val="0"/>
          <w:bCs/>
          <w:szCs w:val="32"/>
        </w:rPr>
        <w:t>社会保障和就业（类）社会福利（款）儿童福利（项）</w:t>
      </w:r>
      <w:r>
        <w:rPr>
          <w:rStyle w:val="16"/>
          <w:rFonts w:ascii="仿宋" w:hAnsi="仿宋" w:eastAsia="仿宋"/>
          <w:b w:val="0"/>
          <w:bCs/>
          <w:szCs w:val="32"/>
        </w:rPr>
        <w:t>:</w:t>
      </w:r>
      <w:r>
        <w:rPr>
          <w:rStyle w:val="16"/>
          <w:rFonts w:hint="eastAsia" w:ascii="仿宋" w:hAnsi="仿宋" w:eastAsia="仿宋"/>
          <w:b w:val="0"/>
          <w:bCs/>
          <w:szCs w:val="32"/>
        </w:rPr>
        <w:t>支出决算为</w:t>
      </w:r>
      <w:r>
        <w:rPr>
          <w:rStyle w:val="16"/>
          <w:rFonts w:ascii="仿宋" w:hAnsi="仿宋" w:eastAsia="仿宋"/>
          <w:b w:val="0"/>
          <w:bCs/>
          <w:szCs w:val="32"/>
        </w:rPr>
        <w:t>443.08</w:t>
      </w:r>
      <w:r>
        <w:rPr>
          <w:rStyle w:val="16"/>
          <w:rFonts w:hint="eastAsia" w:ascii="仿宋" w:hAnsi="仿宋" w:eastAsia="仿宋"/>
          <w:b w:val="0"/>
          <w:bCs/>
          <w:szCs w:val="32"/>
        </w:rPr>
        <w:t>万元，完成预算100</w:t>
      </w:r>
      <w:r>
        <w:rPr>
          <w:rStyle w:val="16"/>
          <w:rFonts w:ascii="仿宋" w:hAnsi="仿宋" w:eastAsia="仿宋"/>
          <w:b w:val="0"/>
          <w:bCs/>
          <w:szCs w:val="32"/>
        </w:rPr>
        <w:t>%</w:t>
      </w:r>
      <w:r>
        <w:rPr>
          <w:rStyle w:val="16"/>
          <w:rFonts w:hint="eastAsia" w:ascii="仿宋" w:hAnsi="仿宋" w:eastAsia="仿宋"/>
          <w:b w:val="0"/>
          <w:bCs/>
          <w:szCs w:val="32"/>
        </w:rPr>
        <w:t>。</w:t>
      </w:r>
    </w:p>
    <w:p w14:paraId="38C3FD7A">
      <w:pPr>
        <w:spacing w:line="600" w:lineRule="exact"/>
        <w:ind w:firstLine="632" w:firstLineChars="200"/>
        <w:rPr>
          <w:rFonts w:ascii="仿宋" w:hAnsi="仿宋" w:eastAsia="仿宋"/>
          <w:szCs w:val="32"/>
        </w:rPr>
      </w:pPr>
      <w:r>
        <w:rPr>
          <w:rStyle w:val="16"/>
          <w:rFonts w:hint="eastAsia" w:eastAsia="仿宋"/>
          <w:b w:val="0"/>
          <w:bCs/>
          <w:szCs w:val="32"/>
        </w:rPr>
        <w:t>5.住房保障支出（类）住房改革支出（款）住房公积金（项）</w:t>
      </w:r>
      <w:r>
        <w:rPr>
          <w:rStyle w:val="16"/>
          <w:rFonts w:eastAsia="仿宋"/>
          <w:b w:val="0"/>
          <w:bCs/>
          <w:szCs w:val="32"/>
        </w:rPr>
        <w:t xml:space="preserve">: </w:t>
      </w:r>
      <w:r>
        <w:rPr>
          <w:rStyle w:val="16"/>
          <w:rFonts w:hint="eastAsia" w:eastAsia="仿宋"/>
          <w:b w:val="0"/>
          <w:bCs/>
          <w:szCs w:val="32"/>
        </w:rPr>
        <w:t>支出决算为</w:t>
      </w:r>
      <w:r>
        <w:rPr>
          <w:rStyle w:val="16"/>
          <w:rFonts w:eastAsia="仿宋"/>
          <w:b w:val="0"/>
          <w:bCs/>
          <w:szCs w:val="32"/>
        </w:rPr>
        <w:t>31.12</w:t>
      </w:r>
      <w:r>
        <w:rPr>
          <w:rStyle w:val="16"/>
          <w:rFonts w:hint="eastAsia" w:eastAsia="仿宋"/>
          <w:b w:val="0"/>
          <w:bCs/>
          <w:szCs w:val="32"/>
        </w:rPr>
        <w:t>万元，完成预算100</w:t>
      </w:r>
      <w:r>
        <w:rPr>
          <w:rStyle w:val="16"/>
          <w:rFonts w:eastAsia="仿宋"/>
          <w:b w:val="0"/>
          <w:bCs/>
          <w:szCs w:val="32"/>
        </w:rPr>
        <w:t>%。</w:t>
      </w:r>
    </w:p>
    <w:p w14:paraId="1F8AFF2E">
      <w:pPr>
        <w:tabs>
          <w:tab w:val="right" w:pos="8306"/>
        </w:tabs>
        <w:spacing w:line="600" w:lineRule="exact"/>
        <w:ind w:firstLine="640"/>
        <w:outlineLvl w:val="1"/>
        <w:rPr>
          <w:rStyle w:val="27"/>
        </w:rPr>
      </w:pPr>
      <w:r>
        <w:rPr>
          <w:rFonts w:hint="eastAsia" w:ascii="黑体" w:eastAsia="黑体"/>
          <w:szCs w:val="32"/>
        </w:rPr>
        <w:t>六</w:t>
      </w:r>
      <w:r>
        <w:rPr>
          <w:rFonts w:hint="eastAsia" w:ascii="黑体" w:eastAsia="黑体"/>
          <w:b/>
          <w:szCs w:val="32"/>
        </w:rPr>
        <w:t>、</w:t>
      </w:r>
      <w:r>
        <w:rPr>
          <w:rFonts w:hint="eastAsia" w:ascii="黑体" w:hAnsi="黑体" w:eastAsia="黑体"/>
          <w:b/>
          <w:szCs w:val="32"/>
        </w:rPr>
        <w:t>一</w:t>
      </w:r>
      <w:r>
        <w:rPr>
          <w:rStyle w:val="27"/>
          <w:rFonts w:hint="eastAsia" w:ascii="黑体" w:hAnsi="黑体" w:eastAsia="黑体"/>
          <w:b w:val="0"/>
        </w:rPr>
        <w:t>般公共预算财政拨款基本支出决算情况说明</w:t>
      </w:r>
      <w:r>
        <w:rPr>
          <w:rStyle w:val="27"/>
          <w:rFonts w:ascii="黑体" w:hAnsi="黑体" w:eastAsia="黑体"/>
          <w:b w:val="0"/>
        </w:rPr>
        <w:tab/>
      </w:r>
    </w:p>
    <w:p w14:paraId="5DD88EB1">
      <w:pPr>
        <w:spacing w:line="600" w:lineRule="exact"/>
        <w:ind w:firstLine="645"/>
        <w:rPr>
          <w:rFonts w:ascii="仿宋" w:hAnsi="仿宋" w:eastAsia="仿宋"/>
          <w:szCs w:val="32"/>
        </w:rPr>
      </w:pPr>
      <w:r>
        <w:rPr>
          <w:rFonts w:ascii="仿宋" w:hAnsi="仿宋" w:eastAsia="仿宋"/>
          <w:szCs w:val="32"/>
        </w:rPr>
        <w:t>20</w:t>
      </w:r>
      <w:r>
        <w:rPr>
          <w:rFonts w:hint="eastAsia" w:ascii="仿宋" w:hAnsi="仿宋" w:eastAsia="仿宋"/>
          <w:szCs w:val="32"/>
        </w:rPr>
        <w:t>21年一般公共预算财政拨款基本支出406.31万元，其中：</w:t>
      </w:r>
    </w:p>
    <w:p w14:paraId="775A73CE">
      <w:pPr>
        <w:spacing w:line="600" w:lineRule="exact"/>
        <w:ind w:firstLine="645"/>
        <w:rPr>
          <w:rFonts w:hint="eastAsia" w:ascii="仿宋" w:hAnsi="仿宋" w:eastAsia="仿宋"/>
          <w:szCs w:val="32"/>
          <w:lang w:eastAsia="zh-CN"/>
        </w:rPr>
      </w:pPr>
      <w:r>
        <w:rPr>
          <w:rFonts w:hint="eastAsia" w:ascii="仿宋" w:hAnsi="仿宋" w:eastAsia="仿宋"/>
          <w:szCs w:val="32"/>
        </w:rPr>
        <w:t>人员经费</w:t>
      </w:r>
      <w:r>
        <w:rPr>
          <w:rFonts w:ascii="仿宋" w:hAnsi="仿宋" w:eastAsia="仿宋"/>
          <w:szCs w:val="32"/>
        </w:rPr>
        <w:t>378.84</w:t>
      </w:r>
      <w:r>
        <w:rPr>
          <w:rFonts w:hint="eastAsia" w:ascii="仿宋" w:hAnsi="仿宋" w:eastAsia="仿宋"/>
          <w:szCs w:val="32"/>
        </w:rPr>
        <w:t>万元，主要包括：基本工资、津贴补贴、绩效工资、机关事业单位基本养老保险缴费、其他社会保障缴费、职工基本医疗保险缴费、公务员医疗补助缴费、其他工资福利支出、退休费、生活补助、医疗费补助、住房公积金、其他对个人和家庭的补助支出等。</w:t>
      </w:r>
    </w:p>
    <w:p w14:paraId="23065F70">
      <w:pPr>
        <w:spacing w:line="600" w:lineRule="exact"/>
        <w:ind w:firstLine="645"/>
        <w:rPr>
          <w:rFonts w:ascii="仿宋" w:hAnsi="仿宋" w:eastAsia="仿宋"/>
          <w:szCs w:val="32"/>
        </w:rPr>
      </w:pPr>
      <w:r>
        <w:rPr>
          <w:rFonts w:hint="eastAsia" w:ascii="仿宋" w:hAnsi="仿宋" w:eastAsia="仿宋"/>
          <w:szCs w:val="32"/>
        </w:rPr>
        <w:t>公用经费</w:t>
      </w:r>
      <w:r>
        <w:rPr>
          <w:rFonts w:ascii="仿宋" w:hAnsi="仿宋" w:eastAsia="仿宋"/>
          <w:szCs w:val="32"/>
        </w:rPr>
        <w:t>27.46</w:t>
      </w:r>
      <w:r>
        <w:rPr>
          <w:rFonts w:hint="eastAsia" w:ascii="仿宋" w:hAnsi="仿宋" w:eastAsia="仿宋"/>
          <w:szCs w:val="32"/>
        </w:rPr>
        <w:t>万元，主要包括：办公费、印刷费、咨询费、手续费、水费、电费、邮电费、差旅费、培训费、公务接待费、工会经费、福利费、公务用车运行维护费、其他交通费、其他商品和服务支出等。</w:t>
      </w:r>
    </w:p>
    <w:p w14:paraId="59693D17">
      <w:pPr>
        <w:spacing w:line="600" w:lineRule="exact"/>
        <w:ind w:firstLine="640"/>
        <w:outlineLvl w:val="1"/>
        <w:rPr>
          <w:rStyle w:val="27"/>
          <w:rFonts w:ascii="黑体" w:hAnsi="黑体" w:eastAsia="黑体"/>
          <w:b w:val="0"/>
        </w:rPr>
      </w:pPr>
      <w:r>
        <w:rPr>
          <w:rFonts w:hint="eastAsia" w:ascii="黑体" w:eastAsia="黑体"/>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p>
    <w:p w14:paraId="7377BC33">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（一）“三公”经费财政拨款支出决算总体情况说明</w:t>
      </w:r>
    </w:p>
    <w:p w14:paraId="0294223A">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21年“三公”经费财政拨款支出决算为0.28万元，完成预算100</w:t>
      </w:r>
      <w:r>
        <w:rPr>
          <w:rFonts w:ascii="仿宋" w:hAnsi="仿宋" w:eastAsia="仿宋"/>
          <w:szCs w:val="32"/>
        </w:rPr>
        <w:t>%</w:t>
      </w:r>
      <w:r>
        <w:rPr>
          <w:rFonts w:hint="eastAsia" w:ascii="仿宋" w:hAnsi="仿宋" w:eastAsia="仿宋"/>
          <w:szCs w:val="32"/>
        </w:rPr>
        <w:t>，决算数小于预算数的主要原因是本年度厉行节俭，缩减开支</w:t>
      </w:r>
      <w:r>
        <w:rPr>
          <w:rFonts w:hint="eastAsia" w:ascii="仿宋_GB2312"/>
          <w:szCs w:val="32"/>
        </w:rPr>
        <w:t>。</w:t>
      </w:r>
    </w:p>
    <w:p w14:paraId="7EB5A57A">
      <w:pPr>
        <w:spacing w:line="600" w:lineRule="exact"/>
        <w:ind w:firstLine="640"/>
        <w:outlineLvl w:val="2"/>
        <w:rPr>
          <w:rFonts w:ascii="楷体" w:hAnsi="楷体" w:eastAsia="楷体"/>
          <w:szCs w:val="32"/>
        </w:rPr>
      </w:pPr>
      <w:r>
        <w:rPr>
          <w:rFonts w:hint="eastAsia" w:ascii="楷体_GB2312" w:hAnsi="楷体_GB2312" w:eastAsia="楷体_GB2312" w:cs="楷体_GB2312"/>
          <w:szCs w:val="32"/>
        </w:rPr>
        <w:t>（二）“三公”经费财政拨款支出决算具体情况说明</w:t>
      </w:r>
    </w:p>
    <w:p w14:paraId="3C71715B">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21年“三公”经费财政拨款支出决算中，因公出国（境）费支出决算0万元，占0</w:t>
      </w:r>
      <w:r>
        <w:rPr>
          <w:rFonts w:ascii="仿宋" w:hAnsi="仿宋" w:eastAsia="仿宋"/>
          <w:szCs w:val="32"/>
        </w:rPr>
        <w:t>%</w:t>
      </w:r>
      <w:r>
        <w:rPr>
          <w:rFonts w:hint="eastAsia" w:ascii="仿宋" w:hAnsi="仿宋" w:eastAsia="仿宋"/>
          <w:szCs w:val="32"/>
        </w:rPr>
        <w:t>；公务用车购置及运行维护费支出决算0.19万元，占67.86</w:t>
      </w:r>
      <w:r>
        <w:rPr>
          <w:rFonts w:ascii="仿宋" w:hAnsi="仿宋" w:eastAsia="仿宋"/>
          <w:szCs w:val="32"/>
        </w:rPr>
        <w:t>%</w:t>
      </w:r>
      <w:r>
        <w:rPr>
          <w:rFonts w:hint="eastAsia" w:ascii="仿宋" w:hAnsi="仿宋" w:eastAsia="仿宋"/>
          <w:szCs w:val="32"/>
        </w:rPr>
        <w:t>；公务接待费支出决算0.09万元，占32.14</w:t>
      </w:r>
      <w:r>
        <w:rPr>
          <w:rFonts w:ascii="仿宋" w:hAnsi="仿宋" w:eastAsia="仿宋"/>
          <w:szCs w:val="32"/>
        </w:rPr>
        <w:t>%</w:t>
      </w:r>
      <w:r>
        <w:rPr>
          <w:rFonts w:hint="eastAsia" w:ascii="仿宋" w:hAnsi="仿宋" w:eastAsia="仿宋"/>
          <w:szCs w:val="32"/>
        </w:rPr>
        <w:t>。具体情况如下：</w:t>
      </w:r>
    </w:p>
    <w:p w14:paraId="26847A1C">
      <w:pPr>
        <w:pStyle w:val="2"/>
        <w:spacing w:before="166"/>
      </w:pPr>
      <w:r>
        <w:rPr>
          <w:rFonts w:hint="eastAsia"/>
        </w:rPr>
        <w:drawing>
          <wp:inline distT="0" distB="0" distL="0" distR="0">
            <wp:extent cx="4987290" cy="2386330"/>
            <wp:effectExtent l="19050" t="0" r="22698"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742492">
      <w:pPr>
        <w:spacing w:line="600" w:lineRule="exact"/>
        <w:ind w:firstLine="316" w:firstLineChars="100"/>
      </w:pPr>
      <w:r>
        <w:rPr>
          <w:rFonts w:hint="eastAsia" w:ascii="仿宋" w:hAnsi="仿宋" w:eastAsia="仿宋"/>
          <w:szCs w:val="32"/>
        </w:rPr>
        <w:t>（图7：“三公”经费财政拨款支出结构图）（饼状图）</w:t>
      </w:r>
    </w:p>
    <w:p w14:paraId="5CF3C49A">
      <w:pPr>
        <w:numPr>
          <w:ilvl w:val="0"/>
          <w:numId w:val="3"/>
        </w:numPr>
        <w:spacing w:line="600" w:lineRule="exact"/>
        <w:ind w:firstLine="640"/>
        <w:rPr>
          <w:rFonts w:hint="eastAsia" w:ascii="仿宋" w:hAnsi="仿宋" w:eastAsia="仿宋"/>
          <w:szCs w:val="32"/>
          <w:lang w:eastAsia="zh-CN"/>
        </w:rPr>
      </w:pPr>
      <w:r>
        <w:rPr>
          <w:rFonts w:hint="eastAsia" w:ascii="仿宋" w:hAnsi="仿宋" w:eastAsia="仿宋"/>
          <w:szCs w:val="32"/>
        </w:rPr>
        <w:t>因公出国（境）经费支出0万元，完成预算0</w:t>
      </w:r>
      <w:r>
        <w:rPr>
          <w:rFonts w:ascii="仿宋" w:hAnsi="仿宋" w:eastAsia="仿宋"/>
          <w:szCs w:val="32"/>
        </w:rPr>
        <w:t>%</w:t>
      </w:r>
      <w:r>
        <w:rPr>
          <w:rFonts w:hint="eastAsia" w:ascii="仿宋" w:hAnsi="仿宋" w:eastAsia="仿宋"/>
          <w:szCs w:val="32"/>
        </w:rPr>
        <w:t>。全年安排因公出国（境）团组0次，出国（境）0人。因公出国（境）支出决算与2020年均为0万元</w:t>
      </w:r>
      <w:r>
        <w:rPr>
          <w:rFonts w:hint="eastAsia" w:ascii="仿宋" w:hAnsi="仿宋" w:eastAsia="仿宋"/>
          <w:szCs w:val="32"/>
          <w:lang w:eastAsia="zh-CN"/>
        </w:rPr>
        <w:t>。</w:t>
      </w:r>
    </w:p>
    <w:p w14:paraId="207829AE">
      <w:pPr>
        <w:numPr>
          <w:ilvl w:val="0"/>
          <w:numId w:val="0"/>
        </w:numPr>
        <w:spacing w:line="600" w:lineRule="exact"/>
        <w:ind w:firstLine="632" w:firstLineChars="200"/>
        <w:rPr>
          <w:rFonts w:ascii="仿宋" w:hAnsi="仿宋" w:eastAsia="仿宋"/>
          <w:szCs w:val="32"/>
        </w:rPr>
      </w:pPr>
      <w:r>
        <w:rPr>
          <w:rFonts w:hint="eastAsia" w:ascii="仿宋" w:hAnsi="仿宋" w:eastAsia="仿宋"/>
          <w:szCs w:val="32"/>
        </w:rPr>
        <w:t>2.公务用车购置及运行维护费支出0.19万元,完成预算100</w:t>
      </w:r>
      <w:r>
        <w:rPr>
          <w:rFonts w:ascii="仿宋" w:hAnsi="仿宋" w:eastAsia="仿宋"/>
          <w:szCs w:val="32"/>
        </w:rPr>
        <w:t>%</w:t>
      </w:r>
      <w:r>
        <w:rPr>
          <w:rFonts w:hint="eastAsia" w:ascii="仿宋" w:hAnsi="仿宋" w:eastAsia="仿宋"/>
          <w:szCs w:val="32"/>
        </w:rPr>
        <w:t>。公务用车购置及运行维护费支出决算比2020年减少0.51万元，下降72.86%。主要原因是2021年底产生的部分公务用车运行维护费在2022年初才完成支付。</w:t>
      </w:r>
    </w:p>
    <w:p w14:paraId="3693ECFD">
      <w:pPr>
        <w:spacing w:line="600" w:lineRule="exact"/>
        <w:ind w:firstLine="632" w:firstLineChars="200"/>
        <w:rPr>
          <w:rFonts w:ascii="仿宋" w:hAnsi="仿宋" w:eastAsia="仿宋"/>
          <w:szCs w:val="32"/>
        </w:rPr>
      </w:pPr>
      <w:r>
        <w:rPr>
          <w:rFonts w:hint="eastAsia" w:ascii="仿宋" w:hAnsi="仿宋" w:eastAsia="仿宋"/>
          <w:szCs w:val="32"/>
        </w:rPr>
        <w:t>其中：公务用车购置支出0万元。全年按规定更新购置公务用车0辆，截至2021年12月底，单位共有公务用车1辆，其中：轿车1辆、越野车0辆、载客汽车0辆。</w:t>
      </w:r>
    </w:p>
    <w:p w14:paraId="498C5A14">
      <w:pPr>
        <w:spacing w:line="600" w:lineRule="exact"/>
        <w:ind w:firstLine="640"/>
        <w:rPr>
          <w:rFonts w:ascii="仿宋" w:hAnsi="仿宋" w:eastAsia="仿宋"/>
          <w:szCs w:val="32"/>
        </w:rPr>
      </w:pPr>
      <w:r>
        <w:rPr>
          <w:rFonts w:hint="eastAsia" w:ascii="仿宋" w:hAnsi="仿宋" w:eastAsia="仿宋"/>
          <w:szCs w:val="32"/>
        </w:rPr>
        <w:t>公务用车运行维护费支出0.19万元。主要用于保障单位正常运转及完成特定工作任务等所需的公务用车燃料费、维修费、过路过桥费、保险费等支出。</w:t>
      </w:r>
    </w:p>
    <w:p w14:paraId="38CBF4F5">
      <w:pPr>
        <w:spacing w:line="600" w:lineRule="exact"/>
        <w:ind w:firstLine="640"/>
        <w:rPr>
          <w:rFonts w:ascii="仿宋" w:hAnsi="仿宋" w:eastAsia="仿宋"/>
          <w:szCs w:val="32"/>
        </w:rPr>
      </w:pPr>
      <w:r>
        <w:rPr>
          <w:rFonts w:hint="eastAsia" w:ascii="仿宋" w:hAnsi="仿宋" w:eastAsia="仿宋"/>
          <w:szCs w:val="32"/>
        </w:rPr>
        <w:t>3.公务接待费支出0.09万元，完成预算100</w:t>
      </w:r>
      <w:r>
        <w:rPr>
          <w:rFonts w:ascii="仿宋" w:hAnsi="仿宋" w:eastAsia="仿宋"/>
          <w:szCs w:val="32"/>
        </w:rPr>
        <w:t>%</w:t>
      </w:r>
      <w:r>
        <w:rPr>
          <w:rFonts w:hint="eastAsia" w:ascii="仿宋" w:hAnsi="仿宋" w:eastAsia="仿宋"/>
          <w:szCs w:val="32"/>
        </w:rPr>
        <w:t>。公务接待费支出决算比2020年增加0.09万元，增长100%。主要原因是2020年未产生公务接待费。其中：</w:t>
      </w:r>
    </w:p>
    <w:p w14:paraId="1E8C0272">
      <w:pPr>
        <w:spacing w:line="600" w:lineRule="exact"/>
        <w:ind w:firstLine="640"/>
        <w:rPr>
          <w:rFonts w:ascii="仿宋" w:hAnsi="仿宋" w:eastAsia="仿宋"/>
          <w:szCs w:val="32"/>
        </w:rPr>
      </w:pPr>
      <w:r>
        <w:rPr>
          <w:rFonts w:hint="eastAsia" w:ascii="仿宋" w:hAnsi="仿宋" w:eastAsia="仿宋"/>
          <w:szCs w:val="32"/>
        </w:rPr>
        <w:t>国内公务接待支出0.09万元，主要用于执行公务活动开支的用餐费。国内公务接待1批次，6人次（不包括陪同人员），共计支出0.09万元，具体内容包括：接待凉山彝族自治州会东县民政局来我院学习、交流用餐费0.09万元。</w:t>
      </w:r>
    </w:p>
    <w:p w14:paraId="7303FB2B">
      <w:pPr>
        <w:spacing w:line="600" w:lineRule="exact"/>
        <w:ind w:firstLine="632" w:firstLineChars="200"/>
        <w:rPr>
          <w:rFonts w:ascii="仿宋" w:hAnsi="仿宋" w:eastAsia="仿宋"/>
          <w:szCs w:val="32"/>
        </w:rPr>
      </w:pPr>
      <w:r>
        <w:rPr>
          <w:rFonts w:hint="eastAsia" w:ascii="仿宋" w:hAnsi="仿宋" w:eastAsia="仿宋"/>
          <w:szCs w:val="32"/>
        </w:rPr>
        <w:t>外事接待支出0万元，外事接待0批次，0人，共计支出0万元。</w:t>
      </w:r>
    </w:p>
    <w:p w14:paraId="4D6C5F36">
      <w:pPr>
        <w:spacing w:line="600" w:lineRule="exact"/>
        <w:ind w:firstLine="640"/>
        <w:outlineLvl w:val="1"/>
        <w:rPr>
          <w:rStyle w:val="27"/>
          <w:rFonts w:ascii="黑体" w:hAnsi="黑体" w:eastAsia="黑体"/>
        </w:rPr>
      </w:pPr>
      <w:r>
        <w:rPr>
          <w:rFonts w:hint="eastAsia" w:ascii="黑体" w:eastAsia="黑体"/>
          <w:szCs w:val="32"/>
        </w:rPr>
        <w:t>八、</w:t>
      </w:r>
      <w:r>
        <w:rPr>
          <w:rStyle w:val="27"/>
          <w:rFonts w:hint="eastAsia" w:ascii="黑体" w:hAnsi="黑体" w:eastAsia="黑体"/>
          <w:b w:val="0"/>
        </w:rPr>
        <w:t>政府性基金预算支出决算情况说明</w:t>
      </w:r>
    </w:p>
    <w:p w14:paraId="3B112988">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21年政府性基金预算财政拨款支出61.83万元。</w:t>
      </w:r>
    </w:p>
    <w:p w14:paraId="6D7F5962">
      <w:pPr>
        <w:numPr>
          <w:ilvl w:val="0"/>
          <w:numId w:val="4"/>
        </w:numPr>
        <w:spacing w:line="600" w:lineRule="exact"/>
        <w:ind w:firstLine="640"/>
        <w:outlineLvl w:val="1"/>
        <w:rPr>
          <w:rStyle w:val="27"/>
          <w:rFonts w:ascii="黑体" w:hAnsi="黑体" w:eastAsia="黑体"/>
          <w:b w:val="0"/>
        </w:rPr>
      </w:pPr>
      <w:r>
        <w:rPr>
          <w:rStyle w:val="27"/>
          <w:rFonts w:hint="eastAsia" w:ascii="黑体" w:hAnsi="黑体" w:eastAsia="黑体"/>
          <w:b w:val="0"/>
        </w:rPr>
        <w:t>国有资本经营预算支出决算情况说明</w:t>
      </w:r>
    </w:p>
    <w:p w14:paraId="2553BB4F">
      <w:pPr>
        <w:spacing w:line="600" w:lineRule="exact"/>
        <w:ind w:firstLine="640"/>
        <w:rPr>
          <w:rFonts w:ascii="仿宋" w:hAnsi="仿宋" w:eastAsia="仿宋"/>
          <w:szCs w:val="32"/>
        </w:rPr>
      </w:pPr>
      <w:r>
        <w:rPr>
          <w:rFonts w:ascii="仿宋" w:hAnsi="仿宋" w:eastAsia="仿宋"/>
          <w:szCs w:val="32"/>
        </w:rPr>
        <w:t>20</w:t>
      </w:r>
      <w:r>
        <w:rPr>
          <w:rFonts w:hint="eastAsia" w:ascii="仿宋" w:hAnsi="仿宋" w:eastAsia="仿宋"/>
          <w:szCs w:val="32"/>
        </w:rPr>
        <w:t>21年国有资本经营预算财政拨款支出0万元。</w:t>
      </w:r>
    </w:p>
    <w:p w14:paraId="088B1095">
      <w:pPr>
        <w:numPr>
          <w:ilvl w:val="0"/>
          <w:numId w:val="4"/>
        </w:numPr>
        <w:spacing w:line="600" w:lineRule="exact"/>
        <w:ind w:firstLine="640"/>
        <w:outlineLvl w:val="1"/>
        <w:rPr>
          <w:rStyle w:val="27"/>
          <w:rFonts w:ascii="黑体" w:hAnsi="黑体" w:eastAsia="黑体"/>
          <w:b w:val="0"/>
        </w:rPr>
      </w:pPr>
      <w:r>
        <w:rPr>
          <w:rStyle w:val="27"/>
          <w:rFonts w:hint="eastAsia" w:ascii="黑体" w:hAnsi="黑体" w:eastAsia="黑体"/>
          <w:b w:val="0"/>
        </w:rPr>
        <w:t>其他重要事项的情况说明</w:t>
      </w:r>
    </w:p>
    <w:p w14:paraId="15757682">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（一）机关运行经费支出情况</w:t>
      </w:r>
    </w:p>
    <w:p w14:paraId="4B71EE26">
      <w:pPr>
        <w:spacing w:line="600" w:lineRule="exact"/>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21年，机关运行经费支出0万元，与</w:t>
      </w:r>
      <w:r>
        <w:rPr>
          <w:rFonts w:ascii="仿宋" w:hAnsi="仿宋" w:eastAsia="仿宋"/>
          <w:szCs w:val="32"/>
        </w:rPr>
        <w:t>20</w:t>
      </w:r>
      <w:r>
        <w:rPr>
          <w:rFonts w:hint="eastAsia" w:ascii="仿宋" w:hAnsi="仿宋" w:eastAsia="仿宋"/>
          <w:szCs w:val="32"/>
        </w:rPr>
        <w:t>20年决算数持平。主要原因是2020年和2021年均无机关运行经费。</w:t>
      </w:r>
    </w:p>
    <w:p w14:paraId="39419DE3">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（二）政府采购支出情况</w:t>
      </w:r>
    </w:p>
    <w:p w14:paraId="3D6BD051">
      <w:pPr>
        <w:spacing w:line="600" w:lineRule="exact"/>
        <w:ind w:firstLine="632" w:firstLineChars="200"/>
        <w:rPr>
          <w:rFonts w:ascii="仿宋" w:hAnsi="仿宋" w:eastAsia="仿宋"/>
          <w:szCs w:val="32"/>
        </w:rPr>
      </w:pPr>
      <w:r>
        <w:rPr>
          <w:rFonts w:ascii="仿宋" w:hAnsi="仿宋" w:eastAsia="仿宋"/>
          <w:szCs w:val="32"/>
        </w:rPr>
        <w:t>20</w:t>
      </w:r>
      <w:r>
        <w:rPr>
          <w:rFonts w:hint="eastAsia" w:ascii="仿宋" w:hAnsi="仿宋" w:eastAsia="仿宋"/>
          <w:szCs w:val="32"/>
        </w:rPr>
        <w:t>21年，政府采购支出总额0万元，其中：政府采购货物支出0万元、政府采购工程支出0万元、政府采购服务支出0万元。授予中小企业合同金额0万元，占政府采购支出总额的0</w:t>
      </w:r>
      <w:r>
        <w:rPr>
          <w:rFonts w:ascii="仿宋" w:hAnsi="仿宋" w:eastAsia="仿宋"/>
          <w:szCs w:val="32"/>
        </w:rPr>
        <w:t>%</w:t>
      </w:r>
      <w:r>
        <w:rPr>
          <w:rFonts w:hint="eastAsia" w:ascii="仿宋" w:hAnsi="仿宋" w:eastAsia="仿宋"/>
          <w:szCs w:val="32"/>
        </w:rPr>
        <w:t>，其中：授予小微企业合同金额0万元，占政府采购支出总额的0</w:t>
      </w:r>
      <w:r>
        <w:rPr>
          <w:rFonts w:ascii="仿宋" w:hAnsi="仿宋" w:eastAsia="仿宋"/>
          <w:szCs w:val="32"/>
        </w:rPr>
        <w:t>%</w:t>
      </w:r>
      <w:r>
        <w:rPr>
          <w:rFonts w:hint="eastAsia" w:ascii="仿宋" w:hAnsi="仿宋" w:eastAsia="仿宋"/>
          <w:szCs w:val="32"/>
        </w:rPr>
        <w:t>。</w:t>
      </w:r>
    </w:p>
    <w:p w14:paraId="653795C9">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（三）国有资产占有使用情况</w:t>
      </w:r>
    </w:p>
    <w:p w14:paraId="6F4EE874">
      <w:pPr>
        <w:spacing w:line="600" w:lineRule="exact"/>
        <w:ind w:firstLine="632" w:firstLineChars="200"/>
        <w:rPr>
          <w:rFonts w:ascii="仿宋" w:hAnsi="仿宋" w:eastAsia="仿宋"/>
          <w:szCs w:val="32"/>
        </w:rPr>
      </w:pPr>
      <w:r>
        <w:rPr>
          <w:rFonts w:hint="eastAsia" w:ascii="仿宋" w:hAnsi="仿宋" w:eastAsia="仿宋"/>
          <w:szCs w:val="32"/>
        </w:rPr>
        <w:t>截至</w:t>
      </w:r>
      <w:r>
        <w:rPr>
          <w:rFonts w:ascii="仿宋" w:hAnsi="仿宋" w:eastAsia="仿宋"/>
          <w:szCs w:val="32"/>
        </w:rPr>
        <w:t>20</w:t>
      </w:r>
      <w:r>
        <w:rPr>
          <w:rFonts w:hint="eastAsia" w:ascii="仿宋" w:hAnsi="仿宋" w:eastAsia="仿宋"/>
          <w:szCs w:val="32"/>
        </w:rPr>
        <w:t>21年</w:t>
      </w:r>
      <w:r>
        <w:rPr>
          <w:rFonts w:ascii="仿宋" w:hAnsi="仿宋" w:eastAsia="仿宋"/>
          <w:szCs w:val="32"/>
        </w:rPr>
        <w:t>12</w:t>
      </w:r>
      <w:r>
        <w:rPr>
          <w:rFonts w:hint="eastAsia" w:ascii="仿宋" w:hAnsi="仿宋" w:eastAsia="仿宋"/>
          <w:szCs w:val="32"/>
        </w:rPr>
        <w:t>月</w:t>
      </w:r>
      <w:r>
        <w:rPr>
          <w:rFonts w:ascii="仿宋" w:hAnsi="仿宋" w:eastAsia="仿宋"/>
          <w:szCs w:val="32"/>
        </w:rPr>
        <w:t>31</w:t>
      </w:r>
      <w:r>
        <w:rPr>
          <w:rFonts w:hint="eastAsia" w:ascii="仿宋" w:hAnsi="仿宋" w:eastAsia="仿宋"/>
          <w:szCs w:val="32"/>
        </w:rPr>
        <w:t>日，</w:t>
      </w:r>
      <w:r>
        <w:rPr>
          <w:rFonts w:ascii="仿宋" w:hAnsi="仿宋" w:eastAsia="仿宋"/>
          <w:szCs w:val="32"/>
        </w:rPr>
        <w:t>我院</w:t>
      </w:r>
      <w:r>
        <w:rPr>
          <w:rFonts w:hint="eastAsia" w:ascii="仿宋" w:hAnsi="仿宋" w:eastAsia="仿宋"/>
          <w:szCs w:val="32"/>
        </w:rPr>
        <w:t>共有车辆1辆，其中：主要领导干部用车0辆、机要通信用车0辆、应急保障用车0辆、其他用车1辆，其他用车主要是用于用于日常孤儿保障业务使用。单价</w:t>
      </w:r>
      <w:r>
        <w:rPr>
          <w:rFonts w:ascii="仿宋" w:hAnsi="仿宋" w:eastAsia="仿宋"/>
          <w:szCs w:val="32"/>
        </w:rPr>
        <w:t>50</w:t>
      </w:r>
      <w:r>
        <w:rPr>
          <w:rFonts w:hint="eastAsia" w:ascii="仿宋" w:hAnsi="仿宋" w:eastAsia="仿宋"/>
          <w:szCs w:val="32"/>
        </w:rPr>
        <w:t>万元以上通用设备0台（套），单价</w:t>
      </w:r>
      <w:r>
        <w:rPr>
          <w:rFonts w:ascii="仿宋" w:hAnsi="仿宋" w:eastAsia="仿宋"/>
          <w:szCs w:val="32"/>
        </w:rPr>
        <w:t>100</w:t>
      </w:r>
      <w:r>
        <w:rPr>
          <w:rFonts w:hint="eastAsia" w:ascii="仿宋" w:hAnsi="仿宋" w:eastAsia="仿宋"/>
          <w:szCs w:val="32"/>
        </w:rPr>
        <w:t>万元以上专用设备0台（套）。</w:t>
      </w:r>
    </w:p>
    <w:p w14:paraId="13AC195E">
      <w:pPr>
        <w:spacing w:line="600" w:lineRule="exact"/>
        <w:ind w:firstLine="640"/>
        <w:outlineLvl w:val="2"/>
        <w:rPr>
          <w:rFonts w:ascii="楷体_GB2312" w:hAnsi="楷体_GB2312" w:eastAsia="楷体_GB2312" w:cs="楷体_GB2312"/>
          <w:szCs w:val="32"/>
        </w:rPr>
      </w:pPr>
      <w:r>
        <w:rPr>
          <w:rFonts w:hint="eastAsia" w:ascii="楷体_GB2312" w:hAnsi="楷体_GB2312" w:eastAsia="楷体_GB2312" w:cs="楷体_GB2312"/>
          <w:szCs w:val="32"/>
        </w:rPr>
        <w:t>（四）预算绩效管理情况</w:t>
      </w:r>
    </w:p>
    <w:p w14:paraId="742CE09E">
      <w:pPr>
        <w:spacing w:line="600" w:lineRule="exact"/>
        <w:ind w:firstLine="632" w:firstLineChars="200"/>
        <w:rPr>
          <w:rFonts w:hint="eastAsia" w:ascii="仿宋" w:hAnsi="仿宋" w:eastAsia="仿宋"/>
          <w:szCs w:val="32"/>
        </w:rPr>
      </w:pPr>
      <w:r>
        <w:rPr>
          <w:rFonts w:hint="eastAsia" w:ascii="仿宋" w:hAnsi="仿宋" w:eastAsia="仿宋"/>
          <w:szCs w:val="32"/>
        </w:rPr>
        <w:t>根据预算绩效管理要求，本单位在2021年度预算编制阶段，组织对孤儿收养费项目这1个项目开展了预算事前绩效评估，对1个项目编制了绩效目标，预算执行过程中，选取5个项目开展绩效监控，年终执行完毕后，对5个项目开展了绩效自评，2021年特定目标类部门预算项目绩效目标自评表见附件（第四部分）。</w:t>
      </w:r>
    </w:p>
    <w:p w14:paraId="1B6E7115">
      <w:pPr>
        <w:spacing w:line="600" w:lineRule="exact"/>
        <w:ind w:firstLine="632" w:firstLineChars="200"/>
        <w:rPr>
          <w:rFonts w:hint="eastAsia" w:ascii="仿宋" w:hAnsi="仿宋" w:eastAsia="仿宋"/>
          <w:szCs w:val="32"/>
        </w:rPr>
      </w:pPr>
    </w:p>
    <w:p w14:paraId="2F3BB97B">
      <w:pPr>
        <w:spacing w:line="600" w:lineRule="exact"/>
        <w:ind w:firstLine="632" w:firstLineChars="200"/>
        <w:rPr>
          <w:rFonts w:hint="eastAsia" w:ascii="仿宋" w:hAnsi="仿宋" w:eastAsia="仿宋"/>
          <w:szCs w:val="32"/>
        </w:rPr>
      </w:pPr>
      <w:r>
        <w:rPr>
          <w:rFonts w:hint="eastAsia" w:ascii="仿宋" w:hAnsi="仿宋" w:eastAsia="仿宋"/>
          <w:szCs w:val="32"/>
        </w:rPr>
        <w:br w:type="page"/>
      </w:r>
    </w:p>
    <w:p w14:paraId="55569A42">
      <w:pPr>
        <w:numPr>
          <w:ilvl w:val="0"/>
          <w:numId w:val="5"/>
        </w:numPr>
        <w:spacing w:line="600" w:lineRule="exact"/>
        <w:ind w:firstLine="654" w:firstLineChars="150"/>
        <w:jc w:val="center"/>
        <w:outlineLvl w:val="0"/>
        <w:rPr>
          <w:rStyle w:val="26"/>
          <w:rFonts w:ascii="黑体" w:hAnsi="黑体" w:eastAsia="黑体"/>
          <w:b w:val="0"/>
        </w:rPr>
      </w:pPr>
      <w:r>
        <w:rPr>
          <w:rFonts w:hint="eastAsia" w:ascii="黑体" w:hAnsi="黑体" w:eastAsia="黑体"/>
          <w:sz w:val="44"/>
          <w:szCs w:val="44"/>
        </w:rPr>
        <w:t>名</w:t>
      </w:r>
      <w:r>
        <w:rPr>
          <w:rStyle w:val="26"/>
          <w:rFonts w:hint="eastAsia" w:ascii="黑体" w:hAnsi="黑体" w:eastAsia="黑体"/>
          <w:b w:val="0"/>
        </w:rPr>
        <w:t>词解释</w:t>
      </w:r>
    </w:p>
    <w:p w14:paraId="19354B0C">
      <w:pPr>
        <w:spacing w:line="600" w:lineRule="exact"/>
        <w:ind w:firstLine="632" w:firstLineChars="200"/>
        <w:rPr>
          <w:rFonts w:ascii="仿宋" w:hAnsi="仿宋" w:eastAsia="仿宋"/>
          <w:szCs w:val="32"/>
        </w:rPr>
      </w:pPr>
    </w:p>
    <w:p w14:paraId="099DF394">
      <w:pPr>
        <w:spacing w:line="600" w:lineRule="exact"/>
        <w:ind w:firstLine="632" w:firstLineChars="200"/>
        <w:rPr>
          <w:rFonts w:ascii="仿宋" w:hAnsi="仿宋" w:eastAsia="仿宋"/>
          <w:szCs w:val="32"/>
        </w:rPr>
      </w:pPr>
      <w:r>
        <w:rPr>
          <w:rFonts w:hint="eastAsia" w:ascii="仿宋" w:hAnsi="仿宋" w:eastAsia="仿宋"/>
          <w:szCs w:val="32"/>
        </w:rPr>
        <w:t>1.财政拨款收入：指单位从同级财政部门取得的财政预算资金。</w:t>
      </w:r>
    </w:p>
    <w:p w14:paraId="4C2F7246">
      <w:pPr>
        <w:spacing w:line="600" w:lineRule="exact"/>
        <w:ind w:firstLine="632" w:firstLineChars="200"/>
        <w:rPr>
          <w:rFonts w:ascii="仿宋" w:hAnsi="仿宋" w:eastAsia="仿宋"/>
          <w:szCs w:val="32"/>
        </w:rPr>
      </w:pPr>
      <w:r>
        <w:rPr>
          <w:rFonts w:hint="eastAsia" w:ascii="仿宋" w:hAnsi="仿宋" w:eastAsia="仿宋"/>
          <w:szCs w:val="32"/>
        </w:rPr>
        <w:t>2.其他收入：指单位取得的除上述收入以外的各项收入。主要是利息收入等。</w:t>
      </w:r>
    </w:p>
    <w:p w14:paraId="735D1FB4">
      <w:pPr>
        <w:spacing w:line="600" w:lineRule="exact"/>
        <w:ind w:firstLine="632" w:firstLineChars="200"/>
        <w:rPr>
          <w:rFonts w:ascii="仿宋" w:hAnsi="仿宋" w:eastAsia="仿宋"/>
          <w:szCs w:val="32"/>
        </w:rPr>
      </w:pPr>
      <w:r>
        <w:rPr>
          <w:rFonts w:hint="eastAsia" w:ascii="仿宋" w:hAnsi="仿宋" w:eastAsia="仿宋"/>
          <w:szCs w:val="32"/>
        </w:rPr>
        <w:t>3.使用非财政拨款结余：指事业单位使用以前年度积累的非财政拨款结余弥补当年收支差额的金额。</w:t>
      </w:r>
    </w:p>
    <w:p w14:paraId="333C59B1">
      <w:pPr>
        <w:spacing w:line="600" w:lineRule="exact"/>
        <w:ind w:firstLine="632" w:firstLineChars="200"/>
        <w:rPr>
          <w:rFonts w:ascii="仿宋" w:hAnsi="仿宋" w:eastAsia="仿宋"/>
          <w:szCs w:val="32"/>
        </w:rPr>
      </w:pPr>
      <w:r>
        <w:rPr>
          <w:rFonts w:hint="eastAsia" w:ascii="仿宋" w:hAnsi="仿宋" w:eastAsia="仿宋"/>
          <w:szCs w:val="32"/>
        </w:rPr>
        <w:t>4.年初结转和结余：指以前年度尚未完成、结转到本年按有关规定继续使用的资金。</w:t>
      </w:r>
    </w:p>
    <w:p w14:paraId="166F9575">
      <w:pPr>
        <w:spacing w:line="600" w:lineRule="exact"/>
        <w:ind w:firstLine="632" w:firstLineChars="200"/>
        <w:rPr>
          <w:rFonts w:ascii="仿宋" w:hAnsi="仿宋" w:eastAsia="仿宋"/>
          <w:szCs w:val="32"/>
        </w:rPr>
      </w:pPr>
      <w:r>
        <w:rPr>
          <w:rFonts w:hint="eastAsia" w:ascii="仿宋" w:hAnsi="仿宋" w:eastAsia="仿宋"/>
          <w:szCs w:val="32"/>
        </w:rPr>
        <w:t>5.结余分配：指事业单位按照会计制度规定缴纳的所得税、提取的专用结余以及转入非财政拨款结余的金额等。</w:t>
      </w:r>
    </w:p>
    <w:p w14:paraId="20A323C5">
      <w:pPr>
        <w:spacing w:line="600" w:lineRule="exact"/>
        <w:ind w:firstLine="632" w:firstLineChars="200"/>
        <w:rPr>
          <w:rFonts w:ascii="仿宋" w:hAnsi="仿宋" w:eastAsia="仿宋"/>
          <w:szCs w:val="32"/>
        </w:rPr>
      </w:pPr>
      <w:r>
        <w:rPr>
          <w:rFonts w:hint="eastAsia" w:ascii="仿宋" w:hAnsi="仿宋" w:eastAsia="仿宋"/>
          <w:szCs w:val="32"/>
        </w:rPr>
        <w:t>6、年末结转和结余：指单位按有关规定结转到下年或以后年度继续使用的资金。</w:t>
      </w:r>
    </w:p>
    <w:p w14:paraId="725A7C70">
      <w:pPr>
        <w:spacing w:line="600" w:lineRule="exact"/>
        <w:ind w:firstLine="632" w:firstLineChars="200"/>
        <w:rPr>
          <w:rFonts w:ascii="仿宋" w:hAnsi="仿宋" w:eastAsia="仿宋"/>
          <w:szCs w:val="32"/>
        </w:rPr>
      </w:pPr>
      <w:r>
        <w:rPr>
          <w:rFonts w:hint="eastAsia" w:ascii="仿宋" w:hAnsi="仿宋" w:eastAsia="仿宋"/>
          <w:szCs w:val="32"/>
        </w:rPr>
        <w:t>7.社会保障和就业（类）行政事业单位养老支出（款）事业单位离退休（项）：反映事业单位开支的离退休经费。</w:t>
      </w:r>
    </w:p>
    <w:p w14:paraId="498F4650">
      <w:pPr>
        <w:spacing w:line="600" w:lineRule="exact"/>
        <w:ind w:firstLine="632" w:firstLineChars="200"/>
        <w:rPr>
          <w:rFonts w:ascii="仿宋" w:hAnsi="仿宋" w:eastAsia="仿宋"/>
          <w:szCs w:val="32"/>
        </w:rPr>
      </w:pPr>
      <w:r>
        <w:rPr>
          <w:rFonts w:hint="eastAsia" w:ascii="仿宋" w:hAnsi="仿宋" w:eastAsia="仿宋"/>
          <w:szCs w:val="32"/>
        </w:rPr>
        <w:t>8.社会保障和就业（类）行政事业单位养老支出（款）      机关事业单位基本养老保险缴费支出（项）：反映机关事业单位实施养老保险制度由单位缴纳的基本养老保险费支出。</w:t>
      </w:r>
    </w:p>
    <w:p w14:paraId="7C5164E1">
      <w:pPr>
        <w:spacing w:line="600" w:lineRule="exact"/>
        <w:ind w:firstLine="632" w:firstLineChars="200"/>
        <w:rPr>
          <w:rFonts w:ascii="仿宋" w:hAnsi="仿宋" w:eastAsia="仿宋"/>
          <w:szCs w:val="32"/>
        </w:rPr>
      </w:pPr>
      <w:r>
        <w:rPr>
          <w:rFonts w:hint="eastAsia" w:ascii="仿宋" w:hAnsi="仿宋" w:eastAsia="仿宋"/>
          <w:szCs w:val="32"/>
        </w:rPr>
        <w:t>9.社会保障和就业（类）人力资源和社会保障管理事务（款）其他人力资源和社会保障管理事务支出（项）:反映高层次人才专项经费支出。</w:t>
      </w:r>
    </w:p>
    <w:p w14:paraId="6EC65704">
      <w:pPr>
        <w:spacing w:line="600" w:lineRule="exact"/>
        <w:ind w:firstLine="632" w:firstLineChars="200"/>
        <w:rPr>
          <w:rFonts w:ascii="仿宋" w:hAnsi="仿宋" w:eastAsia="仿宋"/>
          <w:szCs w:val="32"/>
        </w:rPr>
      </w:pPr>
      <w:r>
        <w:rPr>
          <w:rFonts w:hint="eastAsia" w:ascii="仿宋" w:hAnsi="仿宋" w:eastAsia="仿宋"/>
          <w:szCs w:val="32"/>
        </w:rPr>
        <w:t>10.社会保障和就业（类）社会福利（款）儿童福利（项）: 反映对儿童提供福利服务方面的支出。</w:t>
      </w:r>
    </w:p>
    <w:p w14:paraId="4DB8EF21">
      <w:pPr>
        <w:spacing w:line="600" w:lineRule="exact"/>
        <w:ind w:firstLine="632" w:firstLineChars="200"/>
        <w:rPr>
          <w:rFonts w:ascii="仿宋" w:hAnsi="仿宋" w:eastAsia="仿宋"/>
          <w:szCs w:val="32"/>
        </w:rPr>
      </w:pPr>
      <w:r>
        <w:rPr>
          <w:rFonts w:hint="eastAsia" w:ascii="仿宋" w:hAnsi="仿宋" w:eastAsia="仿宋"/>
          <w:szCs w:val="32"/>
        </w:rPr>
        <w:t>11. 住房保障支出（类）住房改革支出（款）住房公积金（项）: 反映机关事业单位住房公积金方面的支出。</w:t>
      </w:r>
    </w:p>
    <w:p w14:paraId="7B013FD8">
      <w:pPr>
        <w:spacing w:line="600" w:lineRule="exact"/>
        <w:ind w:firstLine="632" w:firstLineChars="200"/>
        <w:rPr>
          <w:rFonts w:ascii="仿宋" w:hAnsi="仿宋" w:eastAsia="仿宋"/>
          <w:szCs w:val="32"/>
        </w:rPr>
      </w:pPr>
      <w:r>
        <w:rPr>
          <w:rFonts w:hint="eastAsia" w:ascii="仿宋" w:hAnsi="仿宋" w:eastAsia="仿宋"/>
          <w:szCs w:val="32"/>
        </w:rPr>
        <w:t>12.基本支出：指为保障机构正常运转、完成日常工作任务而发生的人员支出和公用支出。</w:t>
      </w:r>
    </w:p>
    <w:p w14:paraId="511DB62E">
      <w:pPr>
        <w:spacing w:line="600" w:lineRule="exact"/>
        <w:ind w:firstLine="632" w:firstLineChars="200"/>
        <w:rPr>
          <w:rFonts w:ascii="仿宋" w:hAnsi="仿宋" w:eastAsia="仿宋"/>
          <w:szCs w:val="32"/>
        </w:rPr>
      </w:pPr>
      <w:r>
        <w:rPr>
          <w:rFonts w:hint="eastAsia" w:ascii="仿宋" w:hAnsi="仿宋" w:eastAsia="仿宋"/>
          <w:szCs w:val="32"/>
        </w:rPr>
        <w:t>13.项目支出：指在基本支出之外为完成特定行政任务和事业发展目标所发生的支出。</w:t>
      </w:r>
    </w:p>
    <w:p w14:paraId="5769C0C2">
      <w:pPr>
        <w:spacing w:line="600" w:lineRule="exact"/>
        <w:ind w:firstLine="632" w:firstLineChars="200"/>
        <w:rPr>
          <w:rFonts w:ascii="仿宋" w:hAnsi="仿宋" w:eastAsia="仿宋"/>
          <w:szCs w:val="32"/>
        </w:rPr>
      </w:pPr>
      <w:r>
        <w:rPr>
          <w:rFonts w:hint="eastAsia" w:ascii="仿宋" w:hAnsi="仿宋" w:eastAsia="仿宋"/>
          <w:szCs w:val="32"/>
        </w:rPr>
        <w:t>14.“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B981DA6">
      <w:pPr>
        <w:spacing w:line="600" w:lineRule="exact"/>
        <w:ind w:firstLine="632" w:firstLineChars="200"/>
        <w:rPr>
          <w:rFonts w:ascii="仿宋" w:hAnsi="仿宋" w:eastAsia="仿宋"/>
          <w:szCs w:val="32"/>
        </w:rPr>
      </w:pPr>
    </w:p>
    <w:p w14:paraId="38912263">
      <w:pPr>
        <w:spacing w:line="600" w:lineRule="exact"/>
        <w:ind w:firstLine="632" w:firstLineChars="200"/>
        <w:rPr>
          <w:rFonts w:ascii="仿宋" w:hAnsi="仿宋" w:eastAsia="仿宋"/>
          <w:szCs w:val="32"/>
        </w:rPr>
      </w:pPr>
    </w:p>
    <w:p w14:paraId="5F8EA844">
      <w:pPr>
        <w:pStyle w:val="24"/>
        <w:spacing w:line="560" w:lineRule="exact"/>
        <w:ind w:firstLine="632" w:firstLineChars="200"/>
        <w:rPr>
          <w:rFonts w:ascii="仿宋_GB2312" w:eastAsia="仿宋_GB2312"/>
          <w:color w:val="auto"/>
          <w:sz w:val="32"/>
          <w:szCs w:val="32"/>
        </w:rPr>
      </w:pPr>
    </w:p>
    <w:p w14:paraId="7BC8175D">
      <w:pPr>
        <w:pStyle w:val="24"/>
        <w:spacing w:line="560" w:lineRule="exact"/>
        <w:ind w:firstLine="632" w:firstLineChars="200"/>
        <w:rPr>
          <w:rFonts w:ascii="仿宋_GB2312" w:eastAsia="仿宋_GB2312"/>
          <w:color w:val="auto"/>
          <w:sz w:val="32"/>
          <w:szCs w:val="32"/>
        </w:rPr>
      </w:pPr>
    </w:p>
    <w:p w14:paraId="2BD29527">
      <w:pPr>
        <w:pStyle w:val="24"/>
        <w:spacing w:line="560" w:lineRule="exact"/>
        <w:rPr>
          <w:rFonts w:ascii="仿宋_GB2312" w:eastAsia="仿宋_GB2312"/>
          <w:color w:val="auto"/>
          <w:sz w:val="32"/>
          <w:szCs w:val="32"/>
        </w:rPr>
      </w:pPr>
    </w:p>
    <w:p w14:paraId="76161717">
      <w:pPr>
        <w:spacing w:line="600" w:lineRule="exact"/>
        <w:jc w:val="center"/>
        <w:outlineLvl w:val="0"/>
        <w:rPr>
          <w:rStyle w:val="26"/>
          <w:rFonts w:ascii="黑体" w:hAnsi="黑体" w:eastAsia="黑体"/>
          <w:b w:val="0"/>
        </w:rPr>
      </w:pPr>
      <w:r>
        <w:rPr>
          <w:rFonts w:hint="eastAsia" w:ascii="黑体" w:hAnsi="黑体" w:eastAsia="黑体"/>
          <w:sz w:val="44"/>
          <w:szCs w:val="44"/>
        </w:rPr>
        <w:t>第</w:t>
      </w:r>
      <w:r>
        <w:rPr>
          <w:rStyle w:val="26"/>
          <w:rFonts w:hint="eastAsia" w:ascii="黑体" w:hAnsi="黑体" w:eastAsia="黑体"/>
          <w:b w:val="0"/>
        </w:rPr>
        <w:t>四部分 附件</w:t>
      </w:r>
    </w:p>
    <w:p w14:paraId="2610F556">
      <w:pPr>
        <w:spacing w:line="572" w:lineRule="exact"/>
        <w:jc w:val="left"/>
        <w:outlineLvl w:val="0"/>
        <w:rPr>
          <w:rFonts w:ascii="黑体" w:hAnsi="黑体" w:eastAsia="黑体" w:cs="黑体"/>
          <w:szCs w:val="32"/>
        </w:rPr>
      </w:pPr>
      <w:r>
        <w:rPr>
          <w:rFonts w:hint="eastAsia" w:ascii="黑体" w:hAnsi="黑体" w:eastAsia="黑体" w:cs="黑体"/>
          <w:szCs w:val="32"/>
        </w:rPr>
        <w:t>附件1</w:t>
      </w:r>
    </w:p>
    <w:p w14:paraId="7068F617">
      <w:pPr>
        <w:pStyle w:val="2"/>
        <w:spacing w:beforeLines="0" w:line="500" w:lineRule="exact"/>
        <w:jc w:val="center"/>
        <w:rPr>
          <w:rFonts w:ascii="宋体" w:hAnsi="宋体" w:cs="宋体"/>
          <w:b/>
          <w:bCs/>
          <w:sz w:val="32"/>
          <w:szCs w:val="32"/>
        </w:rPr>
      </w:pPr>
      <w:r>
        <w:rPr>
          <w:rFonts w:hint="eastAsia" w:ascii="宋体" w:hAnsi="宋体" w:cs="宋体"/>
          <w:b/>
          <w:bCs/>
          <w:sz w:val="32"/>
          <w:szCs w:val="32"/>
        </w:rPr>
        <w:t>2021年度专项（项目）资金绩效自评表</w:t>
      </w:r>
    </w:p>
    <w:p w14:paraId="23BED11E">
      <w:pPr>
        <w:pStyle w:val="2"/>
        <w:spacing w:beforeLines="0" w:line="500" w:lineRule="exact"/>
        <w:jc w:val="center"/>
      </w:pPr>
      <w:r>
        <w:rPr>
          <w:rFonts w:hint="eastAsia" w:ascii="宋体" w:hAnsi="宋体" w:cs="宋体"/>
          <w:b/>
          <w:sz w:val="28"/>
          <w:szCs w:val="28"/>
        </w:rPr>
        <w:t>（孤儿收养费、孤儿基本生活保障、困难群众救助资金项目）</w:t>
      </w:r>
    </w:p>
    <w:tbl>
      <w:tblPr>
        <w:tblStyle w:val="14"/>
        <w:tblpPr w:leftFromText="180" w:rightFromText="180" w:vertAnchor="text" w:horzAnchor="page" w:tblpX="1281" w:tblpY="660"/>
        <w:tblOverlap w:val="never"/>
        <w:tblW w:w="10314" w:type="dxa"/>
        <w:tblInd w:w="0" w:type="dxa"/>
        <w:tblLayout w:type="fixed"/>
        <w:tblCellMar>
          <w:top w:w="0" w:type="dxa"/>
          <w:left w:w="108" w:type="dxa"/>
          <w:bottom w:w="0" w:type="dxa"/>
          <w:right w:w="108" w:type="dxa"/>
        </w:tblCellMar>
      </w:tblPr>
      <w:tblGrid>
        <w:gridCol w:w="1101"/>
        <w:gridCol w:w="905"/>
        <w:gridCol w:w="135"/>
        <w:gridCol w:w="1395"/>
        <w:gridCol w:w="540"/>
        <w:gridCol w:w="1440"/>
        <w:gridCol w:w="1822"/>
        <w:gridCol w:w="1559"/>
        <w:gridCol w:w="1417"/>
      </w:tblGrid>
      <w:tr w14:paraId="612A7AB8">
        <w:tblPrEx>
          <w:tblCellMar>
            <w:top w:w="0" w:type="dxa"/>
            <w:left w:w="108" w:type="dxa"/>
            <w:bottom w:w="0" w:type="dxa"/>
            <w:right w:w="108" w:type="dxa"/>
          </w:tblCellMar>
        </w:tblPrEx>
        <w:trPr>
          <w:trHeight w:val="254" w:hRule="atLeast"/>
        </w:trPr>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80618">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55C90">
            <w:pPr>
              <w:widowControl/>
              <w:spacing w:line="320" w:lineRule="exact"/>
              <w:textAlignment w:val="center"/>
              <w:rPr>
                <w:rFonts w:ascii="宋体" w:hAnsi="宋体" w:cs="宋体"/>
                <w:sz w:val="24"/>
              </w:rPr>
            </w:pPr>
            <w:r>
              <w:rPr>
                <w:rFonts w:ascii="宋体" w:hAnsi="宋体" w:cs="宋体"/>
                <w:sz w:val="24"/>
              </w:rPr>
              <w:t>攀枝花市民政局</w:t>
            </w:r>
            <w:r>
              <w:rPr>
                <w:rFonts w:hint="eastAsia" w:ascii="宋体" w:hAnsi="宋体" w:cs="宋体"/>
                <w:sz w:val="24"/>
              </w:rPr>
              <w:t>501001</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91FF">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A5DF7">
            <w:pPr>
              <w:widowControl/>
              <w:spacing w:line="320" w:lineRule="exact"/>
              <w:jc w:val="center"/>
              <w:textAlignment w:val="center"/>
              <w:rPr>
                <w:rFonts w:ascii="宋体" w:hAnsi="宋体" w:cs="宋体"/>
                <w:sz w:val="24"/>
              </w:rPr>
            </w:pPr>
            <w:r>
              <w:rPr>
                <w:rFonts w:hint="eastAsia" w:ascii="宋体" w:hAnsi="宋体" w:cs="宋体"/>
                <w:sz w:val="24"/>
              </w:rPr>
              <w:t>攀枝花市儿童福利院</w:t>
            </w:r>
          </w:p>
        </w:tc>
      </w:tr>
      <w:tr w14:paraId="2551A066">
        <w:tblPrEx>
          <w:tblCellMar>
            <w:top w:w="0" w:type="dxa"/>
            <w:left w:w="108" w:type="dxa"/>
            <w:bottom w:w="0" w:type="dxa"/>
            <w:right w:w="108" w:type="dxa"/>
          </w:tblCellMar>
        </w:tblPrEx>
        <w:trPr>
          <w:trHeight w:val="341" w:hRule="atLeast"/>
        </w:trPr>
        <w:tc>
          <w:tcPr>
            <w:tcW w:w="21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C36B3">
            <w:pPr>
              <w:widowControl/>
              <w:spacing w:line="320" w:lineRule="exact"/>
              <w:jc w:val="center"/>
              <w:textAlignment w:val="center"/>
              <w:rPr>
                <w:rFonts w:hint="eastAsia" w:ascii="宋体" w:hAnsi="宋体" w:eastAsia="仿宋_GB2312" w:cs="宋体"/>
                <w:kern w:val="0"/>
                <w:sz w:val="24"/>
                <w:lang w:eastAsia="zh-CN"/>
              </w:rPr>
            </w:pPr>
            <w:r>
              <w:rPr>
                <w:rFonts w:hint="eastAsia" w:ascii="宋体" w:hAnsi="宋体" w:cs="宋体"/>
                <w:kern w:val="0"/>
                <w:sz w:val="24"/>
              </w:rPr>
              <w:t>项目预算</w:t>
            </w:r>
          </w:p>
          <w:p w14:paraId="74F1BD00">
            <w:pPr>
              <w:widowControl/>
              <w:spacing w:line="320" w:lineRule="exact"/>
              <w:jc w:val="center"/>
              <w:textAlignment w:val="center"/>
              <w:rPr>
                <w:rFonts w:hint="eastAsia" w:ascii="宋体" w:hAnsi="宋体" w:eastAsia="仿宋_GB2312" w:cs="宋体"/>
                <w:kern w:val="0"/>
                <w:sz w:val="24"/>
                <w:lang w:eastAsia="zh-CN"/>
              </w:rPr>
            </w:pPr>
            <w:r>
              <w:rPr>
                <w:rFonts w:hint="eastAsia" w:ascii="宋体" w:hAnsi="宋体" w:cs="宋体"/>
                <w:kern w:val="0"/>
                <w:sz w:val="24"/>
              </w:rPr>
              <w:t>执行情况</w:t>
            </w:r>
          </w:p>
          <w:p w14:paraId="4B4D3565">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8D537">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058C">
            <w:pPr>
              <w:widowControl/>
              <w:spacing w:line="320" w:lineRule="exact"/>
              <w:jc w:val="left"/>
              <w:textAlignment w:val="center"/>
              <w:rPr>
                <w:rFonts w:ascii="宋体" w:hAnsi="宋体" w:cs="宋体"/>
                <w:sz w:val="24"/>
              </w:rPr>
            </w:pPr>
            <w:r>
              <w:rPr>
                <w:rFonts w:hint="eastAsia" w:ascii="宋体" w:hAnsi="宋体" w:cs="宋体"/>
                <w:sz w:val="24"/>
              </w:rPr>
              <w:t>95.22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CDE8">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C2CE8">
            <w:pPr>
              <w:widowControl/>
              <w:spacing w:line="320" w:lineRule="exact"/>
              <w:jc w:val="center"/>
              <w:textAlignment w:val="center"/>
              <w:rPr>
                <w:rFonts w:ascii="宋体" w:hAnsi="宋体" w:cs="宋体"/>
                <w:sz w:val="24"/>
              </w:rPr>
            </w:pPr>
            <w:r>
              <w:rPr>
                <w:rFonts w:hint="eastAsia" w:ascii="宋体" w:hAnsi="宋体" w:cs="宋体"/>
                <w:sz w:val="24"/>
              </w:rPr>
              <w:t>95.22</w:t>
            </w:r>
          </w:p>
        </w:tc>
      </w:tr>
      <w:tr w14:paraId="0D054669">
        <w:tblPrEx>
          <w:tblCellMar>
            <w:top w:w="0" w:type="dxa"/>
            <w:left w:w="108" w:type="dxa"/>
            <w:bottom w:w="0" w:type="dxa"/>
            <w:right w:w="108" w:type="dxa"/>
          </w:tblCellMar>
        </w:tblPrEx>
        <w:trPr>
          <w:trHeight w:val="555" w:hRule="atLeast"/>
        </w:trPr>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D52C5">
            <w:pPr>
              <w:spacing w:line="320" w:lineRule="exact"/>
              <w:jc w:val="center"/>
              <w:rPr>
                <w:rFonts w:ascii="宋体" w:hAnsi="宋体" w:cs="宋体"/>
                <w:sz w:val="24"/>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DF3A3">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16435C38">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CB25">
            <w:pPr>
              <w:widowControl/>
              <w:spacing w:line="320" w:lineRule="exact"/>
              <w:jc w:val="left"/>
              <w:textAlignment w:val="center"/>
              <w:rPr>
                <w:rFonts w:ascii="宋体" w:hAnsi="宋体" w:cs="宋体"/>
                <w:sz w:val="24"/>
              </w:rPr>
            </w:pPr>
            <w:r>
              <w:rPr>
                <w:rFonts w:hint="eastAsia" w:ascii="宋体" w:hAnsi="宋体" w:cs="宋体"/>
                <w:sz w:val="24"/>
              </w:rPr>
              <w:t>95.22</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6447">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14:paraId="4B9C3595">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7D3D3">
            <w:pPr>
              <w:widowControl/>
              <w:spacing w:line="320" w:lineRule="exact"/>
              <w:jc w:val="center"/>
              <w:textAlignment w:val="center"/>
              <w:rPr>
                <w:rFonts w:ascii="宋体" w:hAnsi="宋体" w:cs="宋体"/>
                <w:sz w:val="24"/>
              </w:rPr>
            </w:pPr>
            <w:r>
              <w:rPr>
                <w:rFonts w:hint="eastAsia" w:ascii="宋体" w:hAnsi="宋体" w:cs="宋体"/>
                <w:sz w:val="24"/>
              </w:rPr>
              <w:t>95.22</w:t>
            </w:r>
          </w:p>
        </w:tc>
      </w:tr>
      <w:tr w14:paraId="35AC9A7D">
        <w:tblPrEx>
          <w:tblCellMar>
            <w:top w:w="0" w:type="dxa"/>
            <w:left w:w="108" w:type="dxa"/>
            <w:bottom w:w="0" w:type="dxa"/>
            <w:right w:w="108" w:type="dxa"/>
          </w:tblCellMar>
        </w:tblPrEx>
        <w:trPr>
          <w:trHeight w:val="341" w:hRule="atLeast"/>
        </w:trPr>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51321">
            <w:pPr>
              <w:spacing w:line="320" w:lineRule="exact"/>
              <w:jc w:val="center"/>
              <w:rPr>
                <w:rFonts w:ascii="宋体" w:hAnsi="宋体" w:cs="宋体"/>
                <w:sz w:val="24"/>
              </w:rPr>
            </w:pP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94C5C">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5B86">
            <w:pPr>
              <w:widowControl/>
              <w:spacing w:line="320" w:lineRule="exact"/>
              <w:jc w:val="center"/>
              <w:textAlignment w:val="center"/>
              <w:rPr>
                <w:rFonts w:ascii="宋体" w:hAnsi="宋体" w:cs="宋体"/>
                <w:sz w:val="24"/>
              </w:rPr>
            </w:pPr>
            <w:r>
              <w:rPr>
                <w:rFonts w:hint="eastAsia" w:ascii="宋体" w:hAnsi="宋体" w:cs="宋体"/>
                <w:sz w:val="24"/>
              </w:rPr>
              <w:t>0</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4A0D">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74247">
            <w:pPr>
              <w:widowControl/>
              <w:spacing w:line="320" w:lineRule="exact"/>
              <w:jc w:val="center"/>
              <w:textAlignment w:val="center"/>
              <w:rPr>
                <w:rFonts w:ascii="宋体" w:hAnsi="宋体" w:cs="宋体"/>
                <w:sz w:val="24"/>
              </w:rPr>
            </w:pPr>
            <w:r>
              <w:rPr>
                <w:rFonts w:hint="eastAsia" w:ascii="宋体" w:hAnsi="宋体" w:cs="宋体"/>
                <w:sz w:val="24"/>
              </w:rPr>
              <w:t>0</w:t>
            </w:r>
          </w:p>
        </w:tc>
      </w:tr>
      <w:tr w14:paraId="68B453C0">
        <w:tblPrEx>
          <w:tblCellMar>
            <w:top w:w="0" w:type="dxa"/>
            <w:left w:w="108" w:type="dxa"/>
            <w:bottom w:w="0" w:type="dxa"/>
            <w:right w:w="108" w:type="dxa"/>
          </w:tblCellMar>
        </w:tblPrEx>
        <w:trPr>
          <w:trHeight w:val="217" w:hRule="atLeast"/>
        </w:trPr>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70D5B">
            <w:pPr>
              <w:widowControl/>
              <w:spacing w:line="280" w:lineRule="exact"/>
              <w:jc w:val="center"/>
              <w:textAlignment w:val="center"/>
              <w:rPr>
                <w:rFonts w:ascii="宋体" w:hAnsi="宋体" w:cs="宋体"/>
                <w:kern w:val="0"/>
                <w:sz w:val="24"/>
              </w:rPr>
            </w:pPr>
            <w:r>
              <w:rPr>
                <w:rFonts w:hint="eastAsia" w:ascii="宋体" w:hAnsi="宋体" w:cs="宋体"/>
                <w:kern w:val="0"/>
                <w:sz w:val="24"/>
              </w:rPr>
              <w:t>年度总体目标</w:t>
            </w:r>
          </w:p>
          <w:p w14:paraId="6E2B284A">
            <w:pPr>
              <w:widowControl/>
              <w:spacing w:line="280" w:lineRule="exact"/>
              <w:jc w:val="center"/>
              <w:textAlignment w:val="center"/>
              <w:rPr>
                <w:rFonts w:ascii="宋体" w:hAnsi="宋体" w:cs="宋体"/>
                <w:sz w:val="24"/>
              </w:rPr>
            </w:pPr>
            <w:r>
              <w:rPr>
                <w:rFonts w:hint="eastAsia" w:ascii="宋体" w:hAnsi="宋体" w:cs="宋体"/>
                <w:kern w:val="0"/>
                <w:sz w:val="24"/>
              </w:rPr>
              <w:t>完成情况</w:t>
            </w:r>
          </w:p>
        </w:tc>
        <w:tc>
          <w:tcPr>
            <w:tcW w:w="44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0FDFA5">
            <w:pPr>
              <w:widowControl/>
              <w:spacing w:line="280" w:lineRule="exact"/>
              <w:jc w:val="center"/>
              <w:textAlignment w:val="center"/>
              <w:rPr>
                <w:rFonts w:ascii="宋体" w:hAnsi="宋体" w:cs="宋体"/>
                <w:sz w:val="24"/>
              </w:rPr>
            </w:pPr>
            <w:r>
              <w:rPr>
                <w:rFonts w:hint="eastAsia" w:ascii="宋体" w:hAnsi="宋体" w:cs="宋体"/>
                <w:kern w:val="0"/>
                <w:sz w:val="24"/>
              </w:rPr>
              <w:t>预期目标</w:t>
            </w:r>
          </w:p>
        </w:tc>
        <w:tc>
          <w:tcPr>
            <w:tcW w:w="4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E5ECE">
            <w:pPr>
              <w:widowControl/>
              <w:spacing w:line="280" w:lineRule="exact"/>
              <w:jc w:val="center"/>
              <w:textAlignment w:val="center"/>
              <w:rPr>
                <w:rFonts w:ascii="宋体" w:hAnsi="宋体" w:cs="宋体"/>
                <w:sz w:val="24"/>
              </w:rPr>
            </w:pPr>
            <w:r>
              <w:rPr>
                <w:rFonts w:hint="eastAsia" w:ascii="宋体" w:hAnsi="宋体" w:cs="宋体"/>
                <w:kern w:val="0"/>
                <w:sz w:val="24"/>
              </w:rPr>
              <w:t>目标实际完成情况</w:t>
            </w:r>
          </w:p>
        </w:tc>
      </w:tr>
      <w:tr w14:paraId="55588DFE">
        <w:tblPrEx>
          <w:tblCellMar>
            <w:top w:w="0" w:type="dxa"/>
            <w:left w:w="108" w:type="dxa"/>
            <w:bottom w:w="0" w:type="dxa"/>
            <w:right w:w="108" w:type="dxa"/>
          </w:tblCellMar>
        </w:tblPrEx>
        <w:trPr>
          <w:trHeight w:val="797" w:hRule="atLeast"/>
        </w:trPr>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8657">
            <w:pPr>
              <w:widowControl/>
              <w:spacing w:line="280" w:lineRule="exact"/>
              <w:jc w:val="center"/>
              <w:rPr>
                <w:rFonts w:ascii="宋体" w:hAnsi="宋体" w:cs="宋体"/>
                <w:sz w:val="24"/>
              </w:rPr>
            </w:pPr>
          </w:p>
        </w:tc>
        <w:tc>
          <w:tcPr>
            <w:tcW w:w="4415" w:type="dxa"/>
            <w:gridSpan w:val="5"/>
            <w:tcBorders>
              <w:top w:val="single" w:color="000000" w:sz="4" w:space="0"/>
              <w:left w:val="single" w:color="000000" w:sz="4" w:space="0"/>
              <w:bottom w:val="single" w:color="000000" w:sz="4" w:space="0"/>
              <w:right w:val="single" w:color="000000" w:sz="4" w:space="0"/>
            </w:tcBorders>
            <w:shd w:val="clear" w:color="auto" w:fill="auto"/>
          </w:tcPr>
          <w:p w14:paraId="1A250287">
            <w:pPr>
              <w:widowControl/>
              <w:spacing w:line="280" w:lineRule="exact"/>
              <w:jc w:val="left"/>
              <w:textAlignment w:val="top"/>
              <w:rPr>
                <w:rFonts w:ascii="仿宋_GB2312" w:hAnsi="宋体" w:cs="宋体"/>
                <w:sz w:val="24"/>
              </w:rPr>
            </w:pPr>
            <w:r>
              <w:rPr>
                <w:rFonts w:hint="eastAsia" w:ascii="仿宋_GB2312" w:hAnsi="宋体" w:cs="宋体"/>
                <w:sz w:val="24"/>
              </w:rPr>
              <w:t>保障全市无依无靠、生活无来源孤弃儿童的收养、保育护理、康复治疗、特殊教学、就业培训以及为社会孤残儿童提供代养、康复治疗服务等工作。</w:t>
            </w:r>
          </w:p>
        </w:tc>
        <w:tc>
          <w:tcPr>
            <w:tcW w:w="4798" w:type="dxa"/>
            <w:gridSpan w:val="3"/>
            <w:tcBorders>
              <w:top w:val="single" w:color="000000" w:sz="4" w:space="0"/>
              <w:left w:val="single" w:color="000000" w:sz="4" w:space="0"/>
              <w:bottom w:val="single" w:color="000000" w:sz="4" w:space="0"/>
              <w:right w:val="single" w:color="000000" w:sz="4" w:space="0"/>
            </w:tcBorders>
            <w:shd w:val="clear" w:color="auto" w:fill="auto"/>
          </w:tcPr>
          <w:p w14:paraId="4B7DE565">
            <w:pPr>
              <w:widowControl/>
              <w:spacing w:line="280" w:lineRule="exact"/>
              <w:jc w:val="left"/>
              <w:textAlignment w:val="top"/>
              <w:rPr>
                <w:rFonts w:ascii="仿宋_GB2312" w:hAnsi="宋体" w:cs="宋体"/>
                <w:sz w:val="24"/>
              </w:rPr>
            </w:pPr>
            <w:r>
              <w:rPr>
                <w:rFonts w:hint="eastAsia" w:ascii="仿宋_GB2312" w:hAnsi="宋体" w:cs="宋体"/>
                <w:sz w:val="24"/>
              </w:rPr>
              <w:t>完成情况良好,确保无孤残儿童流浪街头，无家可归，享受公平的生活，保障孤弃儿童保育护理、康复治疗、特殊教学、就业培训以及为社会孤残儿童提供代养、康复治疗服务等工作。</w:t>
            </w:r>
          </w:p>
        </w:tc>
      </w:tr>
      <w:tr w14:paraId="77C7891F">
        <w:tblPrEx>
          <w:tblCellMar>
            <w:top w:w="0" w:type="dxa"/>
            <w:left w:w="108" w:type="dxa"/>
            <w:bottom w:w="0" w:type="dxa"/>
            <w:right w:w="108" w:type="dxa"/>
          </w:tblCellMar>
        </w:tblPrEx>
        <w:trPr>
          <w:trHeight w:val="693" w:hRule="atLeast"/>
        </w:trPr>
        <w:tc>
          <w:tcPr>
            <w:tcW w:w="1101" w:type="dxa"/>
            <w:vMerge w:val="restart"/>
            <w:tcBorders>
              <w:top w:val="single" w:color="000000" w:sz="4" w:space="0"/>
              <w:left w:val="single" w:color="000000" w:sz="4" w:space="0"/>
              <w:right w:val="single" w:color="000000" w:sz="4" w:space="0"/>
            </w:tcBorders>
            <w:shd w:val="clear" w:color="auto" w:fill="auto"/>
            <w:vAlign w:val="center"/>
          </w:tcPr>
          <w:p w14:paraId="6B60232B">
            <w:pPr>
              <w:widowControl/>
              <w:spacing w:line="280" w:lineRule="exact"/>
              <w:jc w:val="center"/>
              <w:textAlignment w:val="center"/>
              <w:rPr>
                <w:rFonts w:ascii="仿宋_GB2312" w:hAnsi="仿宋_GB2312" w:cs="仿宋_GB2312"/>
                <w:sz w:val="28"/>
                <w:szCs w:val="28"/>
              </w:rPr>
            </w:pPr>
            <w:r>
              <w:rPr>
                <w:rFonts w:hint="eastAsia" w:ascii="仿宋_GB2312" w:hAnsi="仿宋_GB2312" w:cs="仿宋_GB2312"/>
                <w:kern w:val="0"/>
                <w:sz w:val="28"/>
                <w:szCs w:val="28"/>
              </w:rPr>
              <w:t>年度绩效指标完成情况</w:t>
            </w:r>
          </w:p>
        </w:tc>
        <w:tc>
          <w:tcPr>
            <w:tcW w:w="905" w:type="dxa"/>
            <w:tcBorders>
              <w:top w:val="single" w:color="000000" w:sz="4" w:space="0"/>
              <w:left w:val="nil"/>
              <w:bottom w:val="single" w:color="000000" w:sz="4" w:space="0"/>
              <w:right w:val="single" w:color="000000" w:sz="4" w:space="0"/>
            </w:tcBorders>
            <w:shd w:val="clear" w:color="auto" w:fill="auto"/>
            <w:vAlign w:val="center"/>
          </w:tcPr>
          <w:p w14:paraId="399CBB5B">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14:paraId="51ADCDE3">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A7FC7">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14:paraId="551B4665">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8A1CF">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14:paraId="70B358E5">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78EB7">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1BA2">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14:paraId="5661BF99">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14:paraId="6FE7CC18">
            <w:pPr>
              <w:widowControl/>
              <w:spacing w:line="280" w:lineRule="exact"/>
              <w:jc w:val="center"/>
              <w:rPr>
                <w:rFonts w:ascii="仿宋_GB2312" w:hAnsi="仿宋_GB2312" w:cs="仿宋_GB2312"/>
                <w:sz w:val="28"/>
                <w:szCs w:val="28"/>
              </w:rPr>
            </w:pP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58F45">
            <w:pPr>
              <w:widowControl/>
              <w:spacing w:line="28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14:paraId="5AE5F1F4">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E4F99D2">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5A90C95">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孤儿人数</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524DB49">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34人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F0EBB2">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34人</w:t>
            </w:r>
          </w:p>
        </w:tc>
      </w:tr>
      <w:tr w14:paraId="3956670A">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14:paraId="429A98C1">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50683A0">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32BE79E">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1FB2902">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孤儿养育指标</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541418E">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根据文件要求养育孤残儿童</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214095">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4FA5107C">
        <w:tblPrEx>
          <w:tblCellMar>
            <w:top w:w="0" w:type="dxa"/>
            <w:left w:w="108" w:type="dxa"/>
            <w:bottom w:w="0" w:type="dxa"/>
            <w:right w:w="108" w:type="dxa"/>
          </w:tblCellMar>
        </w:tblPrEx>
        <w:trPr>
          <w:trHeight w:val="415" w:hRule="atLeast"/>
        </w:trPr>
        <w:tc>
          <w:tcPr>
            <w:tcW w:w="1101" w:type="dxa"/>
            <w:vMerge w:val="continue"/>
            <w:tcBorders>
              <w:left w:val="single" w:color="000000" w:sz="4" w:space="0"/>
              <w:right w:val="single" w:color="000000" w:sz="4" w:space="0"/>
            </w:tcBorders>
            <w:shd w:val="clear" w:color="auto" w:fill="auto"/>
            <w:vAlign w:val="center"/>
          </w:tcPr>
          <w:p w14:paraId="3A16364B">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C06BE25">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D473812">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93D4760">
            <w:pPr>
              <w:widowControl/>
              <w:spacing w:line="280" w:lineRule="exact"/>
              <w:jc w:val="center"/>
              <w:textAlignment w:val="bottom"/>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完成时间</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9A2BDB9">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2021年1-12月</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CE6B99">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66D10E80">
        <w:tblPrEx>
          <w:tblCellMar>
            <w:top w:w="0" w:type="dxa"/>
            <w:left w:w="108" w:type="dxa"/>
            <w:bottom w:w="0" w:type="dxa"/>
            <w:right w:w="108" w:type="dxa"/>
          </w:tblCellMar>
        </w:tblPrEx>
        <w:trPr>
          <w:trHeight w:val="503" w:hRule="atLeast"/>
        </w:trPr>
        <w:tc>
          <w:tcPr>
            <w:tcW w:w="1101" w:type="dxa"/>
            <w:vMerge w:val="continue"/>
            <w:tcBorders>
              <w:left w:val="single" w:color="000000" w:sz="4" w:space="0"/>
              <w:right w:val="single" w:color="000000" w:sz="4" w:space="0"/>
            </w:tcBorders>
            <w:shd w:val="clear" w:color="auto" w:fill="auto"/>
            <w:vAlign w:val="center"/>
          </w:tcPr>
          <w:p w14:paraId="3FDB175C">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CCDC428">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817A685">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2B4BFD1">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孤儿各项费用</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9295F2C">
            <w:pPr>
              <w:widowControl/>
              <w:spacing w:line="280" w:lineRule="exact"/>
              <w:jc w:val="center"/>
              <w:textAlignment w:val="bottom"/>
              <w:rPr>
                <w:rFonts w:ascii="仿宋_GB2312" w:hAnsi="仿宋_GB2312" w:cs="仿宋_GB2312"/>
                <w:sz w:val="24"/>
              </w:rPr>
            </w:pPr>
            <w:r>
              <w:rPr>
                <w:rFonts w:hint="eastAsia" w:ascii="仿宋_GB2312" w:hAnsi="宋体" w:cs="宋体"/>
                <w:sz w:val="24"/>
              </w:rPr>
              <w:t>95.22</w:t>
            </w:r>
            <w:r>
              <w:rPr>
                <w:rFonts w:hint="eastAsia" w:ascii="仿宋_GB2312" w:hAnsi="仿宋_GB2312" w:cs="仿宋_GB2312"/>
                <w:sz w:val="24"/>
              </w:rPr>
              <w:t>万元</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20BC7">
            <w:pPr>
              <w:widowControl/>
              <w:spacing w:line="280" w:lineRule="exact"/>
              <w:jc w:val="center"/>
              <w:textAlignment w:val="bottom"/>
              <w:rPr>
                <w:rFonts w:ascii="仿宋_GB2312" w:hAnsi="仿宋_GB2312" w:cs="仿宋_GB2312"/>
                <w:sz w:val="24"/>
              </w:rPr>
            </w:pPr>
            <w:r>
              <w:rPr>
                <w:rFonts w:hint="eastAsia" w:ascii="仿宋_GB2312" w:hAnsi="宋体" w:cs="宋体"/>
                <w:sz w:val="24"/>
              </w:rPr>
              <w:t>95.22</w:t>
            </w:r>
            <w:r>
              <w:rPr>
                <w:rFonts w:hint="eastAsia" w:ascii="仿宋_GB2312" w:hAnsi="仿宋_GB2312" w:cs="仿宋_GB2312"/>
                <w:sz w:val="24"/>
              </w:rPr>
              <w:t>万元</w:t>
            </w:r>
          </w:p>
        </w:tc>
      </w:tr>
      <w:tr w14:paraId="4AD87053">
        <w:tblPrEx>
          <w:tblCellMar>
            <w:top w:w="0" w:type="dxa"/>
            <w:left w:w="108" w:type="dxa"/>
            <w:bottom w:w="0" w:type="dxa"/>
            <w:right w:w="108" w:type="dxa"/>
          </w:tblCellMar>
        </w:tblPrEx>
        <w:trPr>
          <w:trHeight w:val="480" w:hRule="atLeast"/>
        </w:trPr>
        <w:tc>
          <w:tcPr>
            <w:tcW w:w="1101" w:type="dxa"/>
            <w:vMerge w:val="continue"/>
            <w:tcBorders>
              <w:left w:val="single" w:color="000000" w:sz="4" w:space="0"/>
              <w:right w:val="single" w:color="000000" w:sz="4" w:space="0"/>
            </w:tcBorders>
            <w:shd w:val="clear" w:color="auto" w:fill="auto"/>
            <w:vAlign w:val="center"/>
          </w:tcPr>
          <w:p w14:paraId="73074EFF">
            <w:pPr>
              <w:widowControl/>
              <w:spacing w:line="280" w:lineRule="exact"/>
              <w:jc w:val="center"/>
              <w:rPr>
                <w:rFonts w:ascii="仿宋_GB2312" w:hAnsi="仿宋_GB2312" w:cs="仿宋_GB2312"/>
                <w:sz w:val="28"/>
                <w:szCs w:val="28"/>
              </w:rPr>
            </w:pP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E4A25">
            <w:pPr>
              <w:widowControl/>
              <w:spacing w:line="28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效益</w:t>
            </w:r>
          </w:p>
          <w:p w14:paraId="3A3AA28B">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2B0FA7A">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经济效益  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B1928BC">
            <w:pPr>
              <w:widowControl/>
              <w:spacing w:line="280" w:lineRule="exact"/>
              <w:jc w:val="left"/>
              <w:textAlignment w:val="bottom"/>
              <w:rPr>
                <w:rFonts w:ascii="仿宋_GB2312" w:hAnsi="仿宋_GB2312" w:cs="仿宋_GB2312"/>
                <w:sz w:val="24"/>
              </w:rPr>
            </w:pP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DB47587">
            <w:pPr>
              <w:widowControl/>
              <w:spacing w:line="280" w:lineRule="exact"/>
              <w:jc w:val="center"/>
              <w:textAlignment w:val="bottom"/>
              <w:rPr>
                <w:rFonts w:ascii="仿宋_GB2312" w:hAnsi="仿宋_GB2312" w:cs="仿宋_GB2312"/>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890120">
            <w:pPr>
              <w:widowControl/>
              <w:spacing w:line="280" w:lineRule="exact"/>
              <w:jc w:val="center"/>
              <w:textAlignment w:val="bottom"/>
              <w:rPr>
                <w:rFonts w:ascii="仿宋_GB2312" w:hAnsi="仿宋_GB2312" w:cs="仿宋_GB2312"/>
                <w:sz w:val="24"/>
              </w:rPr>
            </w:pPr>
          </w:p>
        </w:tc>
      </w:tr>
      <w:tr w14:paraId="7D55F55E">
        <w:tblPrEx>
          <w:tblCellMar>
            <w:top w:w="0" w:type="dxa"/>
            <w:left w:w="108" w:type="dxa"/>
            <w:bottom w:w="0" w:type="dxa"/>
            <w:right w:w="108" w:type="dxa"/>
          </w:tblCellMar>
        </w:tblPrEx>
        <w:trPr>
          <w:trHeight w:val="480" w:hRule="atLeast"/>
        </w:trPr>
        <w:tc>
          <w:tcPr>
            <w:tcW w:w="1101" w:type="dxa"/>
            <w:vMerge w:val="continue"/>
            <w:tcBorders>
              <w:left w:val="single" w:color="000000" w:sz="4" w:space="0"/>
              <w:right w:val="single" w:color="000000" w:sz="4" w:space="0"/>
            </w:tcBorders>
            <w:shd w:val="clear" w:color="auto" w:fill="auto"/>
            <w:vAlign w:val="center"/>
          </w:tcPr>
          <w:p w14:paraId="595997D5">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F27724C">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04E9843">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社会效益  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460033A">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促进社会和谐、促进社会公平正义、提高社会整体福利</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61E181B">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促进社会和谐，确保无孤弃儿童流浪街头，无家可归，享受公平的生活、生命权益，提高社会的整体福利制度的落实。</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F8129B">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25E22643">
        <w:tblPrEx>
          <w:tblCellMar>
            <w:top w:w="0" w:type="dxa"/>
            <w:left w:w="108" w:type="dxa"/>
            <w:bottom w:w="0" w:type="dxa"/>
            <w:right w:w="108" w:type="dxa"/>
          </w:tblCellMar>
        </w:tblPrEx>
        <w:trPr>
          <w:trHeight w:val="577" w:hRule="atLeast"/>
        </w:trPr>
        <w:tc>
          <w:tcPr>
            <w:tcW w:w="1101" w:type="dxa"/>
            <w:vMerge w:val="continue"/>
            <w:tcBorders>
              <w:left w:val="single" w:color="000000" w:sz="4" w:space="0"/>
              <w:right w:val="single" w:color="000000" w:sz="4" w:space="0"/>
            </w:tcBorders>
            <w:shd w:val="clear" w:color="auto" w:fill="auto"/>
            <w:vAlign w:val="center"/>
          </w:tcPr>
          <w:p w14:paraId="27E00032">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8D6DE40">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2996A77">
            <w:pPr>
              <w:widowControl/>
              <w:spacing w:line="280" w:lineRule="exact"/>
              <w:ind w:left="510" w:leftChars="87" w:hanging="236" w:hangingChars="100"/>
              <w:jc w:val="left"/>
              <w:textAlignment w:val="bottom"/>
              <w:rPr>
                <w:rFonts w:ascii="仿宋_GB2312" w:hAnsi="仿宋_GB2312" w:cs="仿宋_GB2312"/>
                <w:sz w:val="24"/>
              </w:rPr>
            </w:pPr>
            <w:r>
              <w:rPr>
                <w:rFonts w:hint="eastAsia" w:ascii="仿宋_GB2312" w:hAnsi="仿宋_GB2312" w:cs="仿宋_GB2312"/>
                <w:kern w:val="0"/>
                <w:sz w:val="24"/>
              </w:rPr>
              <w:t>生态效益  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D0458FA">
            <w:pPr>
              <w:widowControl/>
              <w:spacing w:line="280" w:lineRule="exact"/>
              <w:jc w:val="center"/>
              <w:textAlignment w:val="bottom"/>
              <w:rPr>
                <w:rFonts w:ascii="仿宋_GB2312" w:hAnsi="仿宋_GB2312" w:cs="仿宋_GB2312"/>
                <w:sz w:val="24"/>
              </w:rPr>
            </w:pP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DC1C387">
            <w:pPr>
              <w:widowControl/>
              <w:spacing w:line="280" w:lineRule="exact"/>
              <w:jc w:val="center"/>
              <w:textAlignment w:val="bottom"/>
              <w:rPr>
                <w:rFonts w:ascii="仿宋_GB2312" w:hAnsi="仿宋_GB2312" w:cs="仿宋_GB2312"/>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FD5FA1">
            <w:pPr>
              <w:widowControl/>
              <w:spacing w:line="280" w:lineRule="exact"/>
              <w:jc w:val="center"/>
              <w:textAlignment w:val="bottom"/>
              <w:rPr>
                <w:rFonts w:ascii="仿宋_GB2312" w:hAnsi="仿宋_GB2312" w:cs="仿宋_GB2312"/>
                <w:sz w:val="24"/>
              </w:rPr>
            </w:pPr>
          </w:p>
        </w:tc>
      </w:tr>
      <w:tr w14:paraId="75EA530F">
        <w:tblPrEx>
          <w:tblCellMar>
            <w:top w:w="0" w:type="dxa"/>
            <w:left w:w="108" w:type="dxa"/>
            <w:bottom w:w="0" w:type="dxa"/>
            <w:right w:w="108" w:type="dxa"/>
          </w:tblCellMar>
        </w:tblPrEx>
        <w:trPr>
          <w:trHeight w:val="459" w:hRule="atLeast"/>
        </w:trPr>
        <w:tc>
          <w:tcPr>
            <w:tcW w:w="1101" w:type="dxa"/>
            <w:vMerge w:val="continue"/>
            <w:tcBorders>
              <w:left w:val="single" w:color="000000" w:sz="4" w:space="0"/>
              <w:right w:val="single" w:color="000000" w:sz="4" w:space="0"/>
            </w:tcBorders>
            <w:shd w:val="clear" w:color="auto" w:fill="auto"/>
            <w:vAlign w:val="center"/>
          </w:tcPr>
          <w:p w14:paraId="7AB3D4C3">
            <w:pPr>
              <w:widowControl/>
              <w:spacing w:line="280" w:lineRule="exact"/>
              <w:jc w:val="center"/>
              <w:rPr>
                <w:rFonts w:ascii="仿宋_GB2312" w:hAnsi="仿宋_GB2312" w:cs="仿宋_GB2312"/>
                <w:sz w:val="28"/>
                <w:szCs w:val="28"/>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A4225F8">
            <w:pPr>
              <w:widowControl/>
              <w:spacing w:line="280" w:lineRule="exact"/>
              <w:jc w:val="center"/>
              <w:rPr>
                <w:rFonts w:ascii="仿宋_GB2312" w:hAnsi="仿宋_GB2312" w:cs="仿宋_GB2312"/>
                <w:sz w:val="24"/>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E91E04B">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可持续影响指标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55E6DDE">
            <w:pPr>
              <w:widowControl/>
              <w:spacing w:line="280" w:lineRule="exact"/>
              <w:jc w:val="center"/>
              <w:textAlignment w:val="bottom"/>
              <w:rPr>
                <w:rFonts w:ascii="仿宋_GB2312" w:hAnsi="仿宋_GB2312" w:cs="仿宋_GB2312"/>
                <w:sz w:val="24"/>
              </w:rPr>
            </w:pP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41E4995">
            <w:pPr>
              <w:widowControl/>
              <w:spacing w:line="280" w:lineRule="exact"/>
              <w:jc w:val="center"/>
              <w:textAlignment w:val="bottom"/>
              <w:rPr>
                <w:rFonts w:ascii="仿宋_GB2312" w:hAnsi="仿宋_GB2312" w:cs="仿宋_GB2312"/>
                <w:sz w:val="24"/>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2B253A">
            <w:pPr>
              <w:widowControl/>
              <w:spacing w:line="280" w:lineRule="exact"/>
              <w:jc w:val="center"/>
              <w:textAlignment w:val="bottom"/>
              <w:rPr>
                <w:rFonts w:ascii="仿宋_GB2312" w:hAnsi="仿宋_GB2312" w:cs="仿宋_GB2312"/>
                <w:sz w:val="24"/>
              </w:rPr>
            </w:pPr>
          </w:p>
        </w:tc>
      </w:tr>
      <w:tr w14:paraId="68FEBA3F">
        <w:tblPrEx>
          <w:tblCellMar>
            <w:top w:w="0" w:type="dxa"/>
            <w:left w:w="108" w:type="dxa"/>
            <w:bottom w:w="0" w:type="dxa"/>
            <w:right w:w="108" w:type="dxa"/>
          </w:tblCellMar>
        </w:tblPrEx>
        <w:trPr>
          <w:trHeight w:val="530" w:hRule="atLeast"/>
        </w:trPr>
        <w:tc>
          <w:tcPr>
            <w:tcW w:w="1101" w:type="dxa"/>
            <w:vMerge w:val="continue"/>
            <w:tcBorders>
              <w:left w:val="single" w:color="000000" w:sz="4" w:space="0"/>
              <w:bottom w:val="single" w:color="000000" w:sz="4" w:space="0"/>
              <w:right w:val="single" w:color="000000" w:sz="4" w:space="0"/>
            </w:tcBorders>
            <w:shd w:val="clear" w:color="auto" w:fill="auto"/>
            <w:vAlign w:val="center"/>
          </w:tcPr>
          <w:p w14:paraId="6402AB02">
            <w:pPr>
              <w:widowControl/>
              <w:spacing w:line="280" w:lineRule="exact"/>
              <w:jc w:val="center"/>
              <w:rPr>
                <w:rFonts w:ascii="仿宋_GB2312" w:hAnsi="仿宋_GB2312" w:cs="仿宋_GB2312"/>
                <w:sz w:val="28"/>
                <w:szCs w:val="28"/>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AC9327">
            <w:pPr>
              <w:widowControl/>
              <w:spacing w:line="28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满意</w:t>
            </w:r>
          </w:p>
          <w:p w14:paraId="25F27E21">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度指标</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1B314C5">
            <w:pPr>
              <w:widowControl/>
              <w:spacing w:line="280" w:lineRule="exact"/>
              <w:jc w:val="center"/>
              <w:textAlignment w:val="bottom"/>
              <w:rPr>
                <w:rFonts w:ascii="仿宋_GB2312" w:hAnsi="仿宋_GB2312" w:cs="仿宋_GB2312"/>
                <w:kern w:val="0"/>
                <w:sz w:val="24"/>
              </w:rPr>
            </w:pPr>
            <w:r>
              <w:rPr>
                <w:rFonts w:hint="eastAsia" w:ascii="仿宋_GB2312" w:hAnsi="仿宋_GB2312" w:cs="仿宋_GB2312"/>
                <w:kern w:val="0"/>
                <w:sz w:val="24"/>
              </w:rPr>
              <w:t>满意度</w:t>
            </w:r>
          </w:p>
          <w:p w14:paraId="1305DCC0">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FB4D0E3">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孤儿满意度</w:t>
            </w:r>
          </w:p>
        </w:tc>
        <w:tc>
          <w:tcPr>
            <w:tcW w:w="338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9539C59">
            <w:pPr>
              <w:widowControl/>
              <w:spacing w:line="280" w:lineRule="exact"/>
              <w:jc w:val="center"/>
              <w:textAlignment w:val="bottom"/>
              <w:rPr>
                <w:rFonts w:ascii="仿宋_GB2312" w:hAnsi="仿宋_GB2312" w:cs="仿宋_GB2312"/>
                <w:sz w:val="24"/>
              </w:rPr>
            </w:pPr>
            <w:r>
              <w:rPr>
                <w:rFonts w:ascii="仿宋_GB2312" w:hAnsi="仿宋_GB2312" w:cs="仿宋_GB2312"/>
                <w:sz w:val="24"/>
              </w:rPr>
              <w:t>&gt;90%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BE38EBB">
            <w:pPr>
              <w:widowControl/>
              <w:spacing w:line="280" w:lineRule="exact"/>
              <w:jc w:val="center"/>
              <w:textAlignment w:val="bottom"/>
              <w:rPr>
                <w:rFonts w:ascii="仿宋_GB2312" w:hAnsi="仿宋_GB2312" w:cs="仿宋_GB2312"/>
                <w:sz w:val="24"/>
              </w:rPr>
            </w:pPr>
            <w:r>
              <w:rPr>
                <w:rFonts w:ascii="仿宋_GB2312" w:hAnsi="仿宋_GB2312" w:cs="仿宋_GB2312"/>
                <w:sz w:val="24"/>
              </w:rPr>
              <w:t>95%</w:t>
            </w:r>
          </w:p>
        </w:tc>
      </w:tr>
    </w:tbl>
    <w:p w14:paraId="3C7CB3B0">
      <w:pPr>
        <w:spacing w:line="572" w:lineRule="exact"/>
        <w:jc w:val="left"/>
        <w:outlineLvl w:val="0"/>
        <w:rPr>
          <w:rFonts w:ascii="黑体" w:hAnsi="黑体" w:eastAsia="黑体" w:cs="黑体"/>
          <w:szCs w:val="32"/>
        </w:rPr>
      </w:pPr>
    </w:p>
    <w:p w14:paraId="4A1E3FA2">
      <w:pPr>
        <w:spacing w:line="572" w:lineRule="exact"/>
        <w:jc w:val="left"/>
        <w:outlineLvl w:val="0"/>
        <w:rPr>
          <w:rFonts w:ascii="黑体" w:hAnsi="黑体" w:eastAsia="黑体" w:cs="黑体"/>
          <w:szCs w:val="32"/>
        </w:rPr>
      </w:pPr>
      <w:r>
        <w:rPr>
          <w:rFonts w:hint="eastAsia" w:ascii="黑体" w:hAnsi="黑体" w:eastAsia="黑体" w:cs="黑体"/>
          <w:szCs w:val="32"/>
        </w:rPr>
        <w:t>附件2</w:t>
      </w:r>
    </w:p>
    <w:p w14:paraId="07F52D21">
      <w:pPr>
        <w:pStyle w:val="2"/>
        <w:spacing w:beforeLines="0" w:line="460" w:lineRule="exact"/>
        <w:jc w:val="center"/>
        <w:rPr>
          <w:rFonts w:ascii="宋体" w:hAnsi="宋体" w:cs="宋体"/>
          <w:b/>
          <w:bCs/>
          <w:sz w:val="32"/>
          <w:szCs w:val="32"/>
        </w:rPr>
      </w:pPr>
      <w:r>
        <w:rPr>
          <w:rFonts w:hint="eastAsia" w:ascii="宋体" w:hAnsi="宋体" w:cs="宋体"/>
          <w:b/>
          <w:bCs/>
          <w:sz w:val="32"/>
          <w:szCs w:val="32"/>
        </w:rPr>
        <w:t>2021年度专项（项目）资金绩效自评表</w:t>
      </w:r>
    </w:p>
    <w:p w14:paraId="45F8C0BB">
      <w:pPr>
        <w:pStyle w:val="2"/>
        <w:spacing w:beforeLines="0" w:line="460" w:lineRule="exact"/>
        <w:jc w:val="center"/>
        <w:rPr>
          <w:rFonts w:ascii="宋体" w:hAnsi="宋体" w:cs="宋体"/>
          <w:b/>
          <w:bCs/>
          <w:sz w:val="32"/>
          <w:szCs w:val="32"/>
        </w:rPr>
      </w:pPr>
      <w:r>
        <w:rPr>
          <w:rFonts w:hint="eastAsia" w:hAnsi="宋体" w:cs="宋体"/>
          <w:b/>
          <w:w w:val="90"/>
          <w:sz w:val="24"/>
        </w:rPr>
        <w:t>（“养治康教社”购买服务、购买孤儿及事实无人抚养儿童关爱服务、孤儿保障金项目）</w:t>
      </w:r>
    </w:p>
    <w:tbl>
      <w:tblPr>
        <w:tblStyle w:val="14"/>
        <w:tblpPr w:leftFromText="180" w:rightFromText="180" w:vertAnchor="text" w:horzAnchor="page" w:tblpX="1281" w:tblpY="660"/>
        <w:tblOverlap w:val="never"/>
        <w:tblW w:w="9606" w:type="dxa"/>
        <w:tblInd w:w="0" w:type="dxa"/>
        <w:tblLayout w:type="fixed"/>
        <w:tblCellMar>
          <w:top w:w="0" w:type="dxa"/>
          <w:left w:w="108" w:type="dxa"/>
          <w:bottom w:w="0" w:type="dxa"/>
          <w:right w:w="108" w:type="dxa"/>
        </w:tblCellMar>
      </w:tblPr>
      <w:tblGrid>
        <w:gridCol w:w="1331"/>
        <w:gridCol w:w="945"/>
        <w:gridCol w:w="1725"/>
        <w:gridCol w:w="60"/>
        <w:gridCol w:w="1859"/>
        <w:gridCol w:w="1701"/>
        <w:gridCol w:w="567"/>
        <w:gridCol w:w="1418"/>
      </w:tblGrid>
      <w:tr w14:paraId="293DB359">
        <w:tblPrEx>
          <w:tblCellMar>
            <w:top w:w="0" w:type="dxa"/>
            <w:left w:w="108" w:type="dxa"/>
            <w:bottom w:w="0" w:type="dxa"/>
            <w:right w:w="108" w:type="dxa"/>
          </w:tblCellMar>
        </w:tblPrEx>
        <w:trPr>
          <w:trHeight w:val="254" w:hRule="atLeast"/>
        </w:trPr>
        <w:tc>
          <w:tcPr>
            <w:tcW w:w="2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83198">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主管部门及代码</w:t>
            </w:r>
          </w:p>
        </w:tc>
        <w:tc>
          <w:tcPr>
            <w:tcW w:w="3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21EBA">
            <w:pPr>
              <w:widowControl/>
              <w:spacing w:line="320" w:lineRule="exact"/>
              <w:textAlignment w:val="center"/>
              <w:rPr>
                <w:rFonts w:ascii="仿宋_GB2312" w:hAnsi="仿宋_GB2312" w:cs="仿宋_GB2312"/>
                <w:sz w:val="24"/>
              </w:rPr>
            </w:pPr>
            <w:r>
              <w:rPr>
                <w:rFonts w:hint="eastAsia" w:ascii="仿宋_GB2312" w:hAnsi="仿宋_GB2312" w:cs="仿宋_GB2312"/>
                <w:sz w:val="24"/>
              </w:rPr>
              <w:t>攀枝花市民政局501001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9849">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实施单位</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BA5A8">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攀枝花市儿童福利院</w:t>
            </w:r>
          </w:p>
        </w:tc>
      </w:tr>
      <w:tr w14:paraId="75ECF20A">
        <w:tblPrEx>
          <w:tblCellMar>
            <w:top w:w="0" w:type="dxa"/>
            <w:left w:w="108" w:type="dxa"/>
            <w:bottom w:w="0" w:type="dxa"/>
            <w:right w:w="108" w:type="dxa"/>
          </w:tblCellMar>
        </w:tblPrEx>
        <w:trPr>
          <w:trHeight w:val="341" w:hRule="atLeast"/>
        </w:trPr>
        <w:tc>
          <w:tcPr>
            <w:tcW w:w="22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8B551">
            <w:pPr>
              <w:widowControl/>
              <w:spacing w:line="32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项目预算</w:t>
            </w:r>
          </w:p>
          <w:p w14:paraId="1323F040">
            <w:pPr>
              <w:widowControl/>
              <w:spacing w:line="32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执行情况</w:t>
            </w:r>
          </w:p>
          <w:p w14:paraId="55741FB1">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（万元）</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A60E7">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预算数：</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2B5A">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49.06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0230">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执行数：</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B715D">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49.06</w:t>
            </w:r>
          </w:p>
        </w:tc>
      </w:tr>
      <w:tr w14:paraId="16CA758D">
        <w:tblPrEx>
          <w:tblCellMar>
            <w:top w:w="0" w:type="dxa"/>
            <w:left w:w="108" w:type="dxa"/>
            <w:bottom w:w="0" w:type="dxa"/>
            <w:right w:w="108" w:type="dxa"/>
          </w:tblCellMar>
        </w:tblPrEx>
        <w:trPr>
          <w:trHeight w:val="800" w:hRule="atLeast"/>
        </w:trPr>
        <w:tc>
          <w:tcPr>
            <w:tcW w:w="2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F498D">
            <w:pPr>
              <w:spacing w:line="320" w:lineRule="exact"/>
              <w:jc w:val="center"/>
              <w:rPr>
                <w:rFonts w:ascii="仿宋_GB2312" w:hAnsi="仿宋_GB2312" w:cs="仿宋_GB2312"/>
                <w:sz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EC52DE">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14:paraId="4820E87B">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06E2">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49.06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8434">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14:paraId="35738C47">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5EF60">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49.06</w:t>
            </w:r>
          </w:p>
        </w:tc>
      </w:tr>
      <w:tr w14:paraId="1957B0ED">
        <w:tblPrEx>
          <w:tblCellMar>
            <w:top w:w="0" w:type="dxa"/>
            <w:left w:w="108" w:type="dxa"/>
            <w:bottom w:w="0" w:type="dxa"/>
            <w:right w:w="108" w:type="dxa"/>
          </w:tblCellMar>
        </w:tblPrEx>
        <w:trPr>
          <w:trHeight w:val="341" w:hRule="atLeast"/>
        </w:trPr>
        <w:tc>
          <w:tcPr>
            <w:tcW w:w="2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453F4">
            <w:pPr>
              <w:spacing w:line="320" w:lineRule="exact"/>
              <w:jc w:val="center"/>
              <w:rPr>
                <w:rFonts w:ascii="仿宋_GB2312" w:hAnsi="仿宋_GB2312" w:cs="仿宋_GB2312"/>
                <w:sz w:val="24"/>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A0813">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9CCBF">
            <w:pPr>
              <w:widowControl/>
              <w:spacing w:line="320" w:lineRule="exact"/>
              <w:jc w:val="left"/>
              <w:textAlignment w:val="center"/>
              <w:rPr>
                <w:rFonts w:ascii="仿宋_GB2312" w:hAnsi="仿宋_GB2312" w:cs="仿宋_GB2312"/>
                <w:sz w:val="24"/>
              </w:rPr>
            </w:pPr>
            <w:r>
              <w:rPr>
                <w:rFonts w:hint="eastAsia" w:ascii="仿宋_GB2312" w:hAnsi="仿宋_GB2312" w:cs="仿宋_GB2312"/>
                <w:sz w:val="24"/>
              </w:rPr>
              <w:t xml:space="preserve">   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B5FA">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365AD">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r>
      <w:tr w14:paraId="61C43DE8">
        <w:tblPrEx>
          <w:tblCellMar>
            <w:top w:w="0" w:type="dxa"/>
            <w:left w:w="108" w:type="dxa"/>
            <w:bottom w:w="0" w:type="dxa"/>
            <w:right w:w="108" w:type="dxa"/>
          </w:tblCellMar>
        </w:tblPrEx>
        <w:trPr>
          <w:trHeight w:val="217" w:hRule="atLeast"/>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BE9DA">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年度总体目标完成情况</w:t>
            </w:r>
          </w:p>
        </w:tc>
        <w:tc>
          <w:tcPr>
            <w:tcW w:w="45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F7DAE4">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预期目标</w:t>
            </w: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25C6F">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目标实际完成情况</w:t>
            </w:r>
          </w:p>
        </w:tc>
      </w:tr>
      <w:tr w14:paraId="52A828C1">
        <w:tblPrEx>
          <w:tblCellMar>
            <w:top w:w="0" w:type="dxa"/>
            <w:left w:w="108" w:type="dxa"/>
            <w:bottom w:w="0" w:type="dxa"/>
            <w:right w:w="108" w:type="dxa"/>
          </w:tblCellMar>
        </w:tblPrEx>
        <w:trPr>
          <w:trHeight w:val="797" w:hRule="atLeast"/>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F1ED2">
            <w:pPr>
              <w:spacing w:line="320" w:lineRule="exact"/>
              <w:jc w:val="center"/>
              <w:rPr>
                <w:rFonts w:ascii="仿宋_GB2312" w:hAnsi="仿宋_GB2312" w:cs="仿宋_GB2312"/>
                <w:sz w:val="24"/>
              </w:rPr>
            </w:pPr>
          </w:p>
        </w:tc>
        <w:tc>
          <w:tcPr>
            <w:tcW w:w="4589" w:type="dxa"/>
            <w:gridSpan w:val="4"/>
            <w:tcBorders>
              <w:top w:val="single" w:color="000000" w:sz="4" w:space="0"/>
              <w:left w:val="single" w:color="000000" w:sz="4" w:space="0"/>
              <w:bottom w:val="single" w:color="000000" w:sz="4" w:space="0"/>
              <w:right w:val="single" w:color="000000" w:sz="4" w:space="0"/>
            </w:tcBorders>
            <w:shd w:val="clear" w:color="auto" w:fill="auto"/>
          </w:tcPr>
          <w:p w14:paraId="613DBC80">
            <w:pPr>
              <w:widowControl/>
              <w:spacing w:line="320" w:lineRule="exact"/>
              <w:jc w:val="left"/>
              <w:textAlignment w:val="top"/>
              <w:rPr>
                <w:rFonts w:ascii="仿宋_GB2312" w:hAnsi="仿宋_GB2312" w:cs="仿宋_GB2312"/>
                <w:sz w:val="24"/>
              </w:rPr>
            </w:pPr>
            <w:r>
              <w:rPr>
                <w:rFonts w:hint="eastAsia" w:ascii="仿宋_GB2312" w:hAnsi="仿宋_GB2312" w:cs="仿宋_GB2312"/>
                <w:sz w:val="24"/>
              </w:rPr>
              <w:t>为全市无依无靠、生活无来源孤弃儿童提供保育护理、康复治疗、特殊教学、康复治疗服务人员提供购买关爱服务经费。</w:t>
            </w:r>
          </w:p>
        </w:tc>
        <w:tc>
          <w:tcPr>
            <w:tcW w:w="3686" w:type="dxa"/>
            <w:gridSpan w:val="3"/>
            <w:tcBorders>
              <w:top w:val="single" w:color="000000" w:sz="4" w:space="0"/>
              <w:left w:val="single" w:color="000000" w:sz="4" w:space="0"/>
              <w:bottom w:val="single" w:color="000000" w:sz="4" w:space="0"/>
              <w:right w:val="single" w:color="000000" w:sz="4" w:space="0"/>
            </w:tcBorders>
            <w:shd w:val="clear" w:color="auto" w:fill="auto"/>
          </w:tcPr>
          <w:p w14:paraId="465107DB">
            <w:pPr>
              <w:widowControl/>
              <w:spacing w:line="320" w:lineRule="exact"/>
              <w:jc w:val="left"/>
              <w:textAlignment w:val="top"/>
              <w:rPr>
                <w:rFonts w:ascii="仿宋_GB2312" w:hAnsi="仿宋_GB2312" w:cs="仿宋_GB2312"/>
                <w:sz w:val="24"/>
              </w:rPr>
            </w:pPr>
            <w:r>
              <w:rPr>
                <w:rFonts w:hint="eastAsia" w:ascii="仿宋_GB2312" w:hAnsi="仿宋_GB2312" w:cs="仿宋_GB2312"/>
                <w:sz w:val="24"/>
              </w:rPr>
              <w:t>保障院内孤弃儿童的保育护理、康复治疗、特殊教学等各方面得到购买服务，社会工作人员关爱儿童身心健康，提高孤儿生活质量，完成情况良好。</w:t>
            </w:r>
          </w:p>
        </w:tc>
      </w:tr>
      <w:tr w14:paraId="7F1BCF64">
        <w:tblPrEx>
          <w:tblCellMar>
            <w:top w:w="0" w:type="dxa"/>
            <w:left w:w="108" w:type="dxa"/>
            <w:bottom w:w="0" w:type="dxa"/>
            <w:right w:w="108" w:type="dxa"/>
          </w:tblCellMar>
        </w:tblPrEx>
        <w:trPr>
          <w:trHeight w:val="693" w:hRule="atLeast"/>
        </w:trPr>
        <w:tc>
          <w:tcPr>
            <w:tcW w:w="1331" w:type="dxa"/>
            <w:vMerge w:val="restart"/>
            <w:tcBorders>
              <w:top w:val="single" w:color="000000" w:sz="4" w:space="0"/>
              <w:left w:val="single" w:color="000000" w:sz="4" w:space="0"/>
              <w:right w:val="single" w:color="000000" w:sz="4" w:space="0"/>
            </w:tcBorders>
            <w:shd w:val="clear" w:color="auto" w:fill="auto"/>
            <w:vAlign w:val="center"/>
          </w:tcPr>
          <w:p w14:paraId="79C90EAA">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年度绩效指标完成情况</w:t>
            </w:r>
          </w:p>
        </w:tc>
        <w:tc>
          <w:tcPr>
            <w:tcW w:w="945" w:type="dxa"/>
            <w:tcBorders>
              <w:top w:val="single" w:color="000000" w:sz="4" w:space="0"/>
              <w:left w:val="nil"/>
              <w:bottom w:val="single" w:color="000000" w:sz="4" w:space="0"/>
              <w:right w:val="single" w:color="000000" w:sz="4" w:space="0"/>
            </w:tcBorders>
            <w:shd w:val="clear" w:color="auto" w:fill="auto"/>
            <w:vAlign w:val="center"/>
          </w:tcPr>
          <w:p w14:paraId="53368256">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14:paraId="0D625DBB">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BDE7">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14:paraId="6908E25F">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FBBC4">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14:paraId="323B1BB1">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A7E3E">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8A1D">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14:paraId="0B9E9974">
        <w:tblPrEx>
          <w:tblCellMar>
            <w:top w:w="0" w:type="dxa"/>
            <w:left w:w="108" w:type="dxa"/>
            <w:bottom w:w="0" w:type="dxa"/>
            <w:right w:w="108" w:type="dxa"/>
          </w:tblCellMar>
        </w:tblPrEx>
        <w:trPr>
          <w:trHeight w:val="415" w:hRule="atLeast"/>
        </w:trPr>
        <w:tc>
          <w:tcPr>
            <w:tcW w:w="1331" w:type="dxa"/>
            <w:vMerge w:val="continue"/>
            <w:tcBorders>
              <w:left w:val="single" w:color="000000" w:sz="4" w:space="0"/>
              <w:right w:val="single" w:color="000000" w:sz="4" w:space="0"/>
            </w:tcBorders>
            <w:shd w:val="clear" w:color="auto" w:fill="auto"/>
            <w:vAlign w:val="center"/>
          </w:tcPr>
          <w:p w14:paraId="67A138ED">
            <w:pPr>
              <w:spacing w:line="320" w:lineRule="exact"/>
              <w:jc w:val="center"/>
              <w:rPr>
                <w:rFonts w:ascii="仿宋_GB2312" w:hAnsi="仿宋_GB2312" w:cs="仿宋_GB2312"/>
                <w:sz w:val="24"/>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BEC40">
            <w:pPr>
              <w:widowControl/>
              <w:spacing w:line="32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14:paraId="6FC1DF2A">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754C30">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D253055">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孤儿人数</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722AB99">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34人</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FF971DE">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34人</w:t>
            </w:r>
          </w:p>
        </w:tc>
      </w:tr>
      <w:tr w14:paraId="0A889913">
        <w:tblPrEx>
          <w:tblCellMar>
            <w:top w:w="0" w:type="dxa"/>
            <w:left w:w="108" w:type="dxa"/>
            <w:bottom w:w="0" w:type="dxa"/>
            <w:right w:w="108" w:type="dxa"/>
          </w:tblCellMar>
        </w:tblPrEx>
        <w:trPr>
          <w:trHeight w:val="415" w:hRule="atLeast"/>
        </w:trPr>
        <w:tc>
          <w:tcPr>
            <w:tcW w:w="1331" w:type="dxa"/>
            <w:vMerge w:val="continue"/>
            <w:tcBorders>
              <w:left w:val="single" w:color="000000" w:sz="4" w:space="0"/>
              <w:right w:val="single" w:color="000000" w:sz="4" w:space="0"/>
            </w:tcBorders>
            <w:shd w:val="clear" w:color="auto" w:fill="auto"/>
            <w:vAlign w:val="center"/>
          </w:tcPr>
          <w:p w14:paraId="20FA1E02">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3593D43">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ED6904">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E52BC62">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通过购买服务提高孤儿生活水平</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A6610FF">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保障院内孤弃儿童各项服务得到保证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6F5A77">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0BF4D780">
        <w:tblPrEx>
          <w:tblCellMar>
            <w:top w:w="0" w:type="dxa"/>
            <w:left w:w="108" w:type="dxa"/>
            <w:bottom w:w="0" w:type="dxa"/>
            <w:right w:w="108" w:type="dxa"/>
          </w:tblCellMar>
        </w:tblPrEx>
        <w:trPr>
          <w:trHeight w:val="415" w:hRule="atLeast"/>
        </w:trPr>
        <w:tc>
          <w:tcPr>
            <w:tcW w:w="1331" w:type="dxa"/>
            <w:vMerge w:val="continue"/>
            <w:tcBorders>
              <w:left w:val="single" w:color="000000" w:sz="4" w:space="0"/>
              <w:right w:val="single" w:color="000000" w:sz="4" w:space="0"/>
            </w:tcBorders>
            <w:shd w:val="clear" w:color="auto" w:fill="auto"/>
            <w:vAlign w:val="center"/>
          </w:tcPr>
          <w:p w14:paraId="0CC5C0FA">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727EA44">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13F94F">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B4ECCAF">
            <w:pPr>
              <w:widowControl/>
              <w:spacing w:line="320" w:lineRule="exact"/>
              <w:jc w:val="center"/>
              <w:textAlignment w:val="bottom"/>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完成时间</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BDEF080">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A6BE98">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6300C8FA">
        <w:tblPrEx>
          <w:tblCellMar>
            <w:top w:w="0" w:type="dxa"/>
            <w:left w:w="108" w:type="dxa"/>
            <w:bottom w:w="0" w:type="dxa"/>
            <w:right w:w="108" w:type="dxa"/>
          </w:tblCellMar>
        </w:tblPrEx>
        <w:trPr>
          <w:trHeight w:val="480" w:hRule="atLeast"/>
        </w:trPr>
        <w:tc>
          <w:tcPr>
            <w:tcW w:w="1331" w:type="dxa"/>
            <w:vMerge w:val="continue"/>
            <w:tcBorders>
              <w:left w:val="single" w:color="000000" w:sz="4" w:space="0"/>
              <w:right w:val="single" w:color="000000" w:sz="4" w:space="0"/>
            </w:tcBorders>
            <w:shd w:val="clear" w:color="auto" w:fill="auto"/>
            <w:vAlign w:val="center"/>
          </w:tcPr>
          <w:p w14:paraId="56692920">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D373452">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36CBEC">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614501A">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购买服务费用</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8DBA70C">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49.06万元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FE6450">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49.06万元</w:t>
            </w:r>
          </w:p>
        </w:tc>
      </w:tr>
      <w:tr w14:paraId="1880C61E">
        <w:tblPrEx>
          <w:tblCellMar>
            <w:top w:w="0" w:type="dxa"/>
            <w:left w:w="108" w:type="dxa"/>
            <w:bottom w:w="0" w:type="dxa"/>
            <w:right w:w="108" w:type="dxa"/>
          </w:tblCellMar>
        </w:tblPrEx>
        <w:trPr>
          <w:trHeight w:val="480" w:hRule="atLeast"/>
        </w:trPr>
        <w:tc>
          <w:tcPr>
            <w:tcW w:w="1331" w:type="dxa"/>
            <w:vMerge w:val="continue"/>
            <w:tcBorders>
              <w:left w:val="single" w:color="000000" w:sz="4" w:space="0"/>
              <w:right w:val="single" w:color="000000" w:sz="4" w:space="0"/>
            </w:tcBorders>
            <w:shd w:val="clear" w:color="auto" w:fill="auto"/>
            <w:vAlign w:val="center"/>
          </w:tcPr>
          <w:p w14:paraId="40CBAF97">
            <w:pPr>
              <w:spacing w:line="320" w:lineRule="exact"/>
              <w:jc w:val="center"/>
              <w:rPr>
                <w:rFonts w:ascii="仿宋_GB2312" w:hAnsi="仿宋_GB2312" w:cs="仿宋_GB2312"/>
                <w:sz w:val="24"/>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2BDD7">
            <w:pPr>
              <w:widowControl/>
              <w:spacing w:line="32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效益</w:t>
            </w:r>
          </w:p>
          <w:p w14:paraId="056724E4">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C217A3">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经济效益指标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B70F3F7">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07D6E05">
            <w:pPr>
              <w:widowControl/>
              <w:spacing w:line="320" w:lineRule="exact"/>
              <w:jc w:val="center"/>
              <w:textAlignment w:val="bottom"/>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2C1831">
            <w:pPr>
              <w:widowControl/>
              <w:spacing w:line="320" w:lineRule="exact"/>
              <w:jc w:val="center"/>
              <w:textAlignment w:val="bottom"/>
              <w:rPr>
                <w:rFonts w:ascii="仿宋_GB2312" w:hAnsi="仿宋_GB2312" w:cs="仿宋_GB2312"/>
                <w:sz w:val="24"/>
              </w:rPr>
            </w:pPr>
          </w:p>
        </w:tc>
      </w:tr>
      <w:tr w14:paraId="0575A6D1">
        <w:tblPrEx>
          <w:tblCellMar>
            <w:top w:w="0" w:type="dxa"/>
            <w:left w:w="108" w:type="dxa"/>
            <w:bottom w:w="0" w:type="dxa"/>
            <w:right w:w="108" w:type="dxa"/>
          </w:tblCellMar>
        </w:tblPrEx>
        <w:trPr>
          <w:trHeight w:val="480" w:hRule="atLeast"/>
        </w:trPr>
        <w:tc>
          <w:tcPr>
            <w:tcW w:w="1331" w:type="dxa"/>
            <w:vMerge w:val="continue"/>
            <w:tcBorders>
              <w:left w:val="single" w:color="000000" w:sz="4" w:space="0"/>
              <w:right w:val="single" w:color="000000" w:sz="4" w:space="0"/>
            </w:tcBorders>
            <w:shd w:val="clear" w:color="auto" w:fill="auto"/>
            <w:vAlign w:val="center"/>
          </w:tcPr>
          <w:p w14:paraId="667F9E49">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F0B8805">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BC8698">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社会效益指标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4B0A5F3">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 xml:space="preserve">促进社会和谐，提高社会整体福利。 </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48C1147">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促进社会和谐，确保孤弃儿童享受公平的生活、生命权益</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EEA2B1">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7D671E26">
        <w:tblPrEx>
          <w:tblCellMar>
            <w:top w:w="0" w:type="dxa"/>
            <w:left w:w="108" w:type="dxa"/>
            <w:bottom w:w="0" w:type="dxa"/>
            <w:right w:w="108" w:type="dxa"/>
          </w:tblCellMar>
        </w:tblPrEx>
        <w:trPr>
          <w:trHeight w:val="577" w:hRule="atLeast"/>
        </w:trPr>
        <w:tc>
          <w:tcPr>
            <w:tcW w:w="1331" w:type="dxa"/>
            <w:vMerge w:val="continue"/>
            <w:tcBorders>
              <w:left w:val="single" w:color="000000" w:sz="4" w:space="0"/>
              <w:right w:val="single" w:color="000000" w:sz="4" w:space="0"/>
            </w:tcBorders>
            <w:shd w:val="clear" w:color="auto" w:fill="auto"/>
            <w:vAlign w:val="center"/>
          </w:tcPr>
          <w:p w14:paraId="256F0D0F">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EDC4B97">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9F7AF8">
            <w:pPr>
              <w:widowControl/>
              <w:spacing w:line="320" w:lineRule="exact"/>
              <w:jc w:val="left"/>
              <w:textAlignment w:val="bottom"/>
              <w:rPr>
                <w:rFonts w:ascii="仿宋_GB2312" w:hAnsi="仿宋_GB2312" w:cs="仿宋_GB2312"/>
                <w:sz w:val="24"/>
              </w:rPr>
            </w:pPr>
            <w:r>
              <w:rPr>
                <w:rFonts w:hint="eastAsia" w:ascii="仿宋_GB2312" w:hAnsi="仿宋_GB2312" w:cs="仿宋_GB2312"/>
                <w:kern w:val="0"/>
                <w:sz w:val="24"/>
              </w:rPr>
              <w:t>生态效益指标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FC338AF">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1D56B8B">
            <w:pPr>
              <w:widowControl/>
              <w:spacing w:line="320" w:lineRule="exact"/>
              <w:jc w:val="center"/>
              <w:textAlignment w:val="bottom"/>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A6CB0E">
            <w:pPr>
              <w:widowControl/>
              <w:spacing w:line="320" w:lineRule="exact"/>
              <w:jc w:val="center"/>
              <w:textAlignment w:val="bottom"/>
              <w:rPr>
                <w:rFonts w:ascii="仿宋_GB2312" w:hAnsi="仿宋_GB2312" w:cs="仿宋_GB2312"/>
                <w:sz w:val="24"/>
              </w:rPr>
            </w:pPr>
          </w:p>
        </w:tc>
      </w:tr>
      <w:tr w14:paraId="49899B1A">
        <w:tblPrEx>
          <w:tblCellMar>
            <w:top w:w="0" w:type="dxa"/>
            <w:left w:w="108" w:type="dxa"/>
            <w:bottom w:w="0" w:type="dxa"/>
            <w:right w:w="108" w:type="dxa"/>
          </w:tblCellMar>
        </w:tblPrEx>
        <w:trPr>
          <w:trHeight w:val="480" w:hRule="atLeast"/>
        </w:trPr>
        <w:tc>
          <w:tcPr>
            <w:tcW w:w="1331" w:type="dxa"/>
            <w:vMerge w:val="continue"/>
            <w:tcBorders>
              <w:left w:val="single" w:color="000000" w:sz="4" w:space="0"/>
              <w:right w:val="single" w:color="000000" w:sz="4" w:space="0"/>
            </w:tcBorders>
            <w:shd w:val="clear" w:color="auto" w:fill="auto"/>
            <w:vAlign w:val="center"/>
          </w:tcPr>
          <w:p w14:paraId="2CCFA1B4">
            <w:pPr>
              <w:spacing w:line="320" w:lineRule="exact"/>
              <w:jc w:val="center"/>
              <w:rPr>
                <w:rFonts w:ascii="仿宋_GB2312" w:hAnsi="仿宋_GB2312" w:cs="仿宋_GB2312"/>
                <w:sz w:val="24"/>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181A276">
            <w:pPr>
              <w:spacing w:line="320" w:lineRule="exact"/>
              <w:jc w:val="center"/>
              <w:rPr>
                <w:rFonts w:ascii="仿宋_GB2312" w:hAnsi="仿宋_GB2312" w:cs="仿宋_GB2312"/>
                <w:sz w:val="24"/>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DA2322">
            <w:pPr>
              <w:widowControl/>
              <w:spacing w:line="320" w:lineRule="exact"/>
              <w:textAlignment w:val="bottom"/>
              <w:rPr>
                <w:rFonts w:ascii="仿宋_GB2312" w:hAnsi="仿宋_GB2312" w:cs="仿宋_GB2312"/>
                <w:sz w:val="24"/>
              </w:rPr>
            </w:pPr>
            <w:r>
              <w:rPr>
                <w:rFonts w:hint="eastAsia" w:ascii="仿宋_GB2312" w:hAnsi="仿宋_GB2312" w:cs="仿宋_GB2312"/>
                <w:kern w:val="0"/>
                <w:sz w:val="24"/>
              </w:rPr>
              <w:t>可持续影响 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02A6BE5">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C75B554">
            <w:pPr>
              <w:widowControl/>
              <w:spacing w:line="320" w:lineRule="exact"/>
              <w:jc w:val="center"/>
              <w:textAlignment w:val="bottom"/>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22D07F">
            <w:pPr>
              <w:widowControl/>
              <w:spacing w:line="320" w:lineRule="exact"/>
              <w:jc w:val="center"/>
              <w:textAlignment w:val="bottom"/>
              <w:rPr>
                <w:rFonts w:ascii="仿宋_GB2312" w:hAnsi="仿宋_GB2312" w:cs="仿宋_GB2312"/>
                <w:sz w:val="24"/>
              </w:rPr>
            </w:pPr>
          </w:p>
        </w:tc>
      </w:tr>
      <w:tr w14:paraId="3C2567AD">
        <w:tblPrEx>
          <w:tblCellMar>
            <w:top w:w="0" w:type="dxa"/>
            <w:left w:w="108" w:type="dxa"/>
            <w:bottom w:w="0" w:type="dxa"/>
            <w:right w:w="108" w:type="dxa"/>
          </w:tblCellMar>
        </w:tblPrEx>
        <w:trPr>
          <w:trHeight w:val="530" w:hRule="atLeast"/>
        </w:trPr>
        <w:tc>
          <w:tcPr>
            <w:tcW w:w="1331" w:type="dxa"/>
            <w:vMerge w:val="continue"/>
            <w:tcBorders>
              <w:left w:val="single" w:color="000000" w:sz="4" w:space="0"/>
              <w:bottom w:val="single" w:color="000000" w:sz="4" w:space="0"/>
              <w:right w:val="single" w:color="000000" w:sz="4" w:space="0"/>
            </w:tcBorders>
            <w:shd w:val="clear" w:color="auto" w:fill="auto"/>
            <w:vAlign w:val="center"/>
          </w:tcPr>
          <w:p w14:paraId="52639850">
            <w:pPr>
              <w:spacing w:line="320" w:lineRule="exact"/>
              <w:jc w:val="center"/>
              <w:rPr>
                <w:rFonts w:ascii="仿宋_GB2312" w:hAnsi="仿宋_GB2312" w:cs="仿宋_GB2312"/>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1AAD02">
            <w:pPr>
              <w:widowControl/>
              <w:spacing w:line="320" w:lineRule="exact"/>
              <w:textAlignment w:val="bottom"/>
              <w:rPr>
                <w:rFonts w:ascii="仿宋_GB2312" w:hAnsi="仿宋_GB2312" w:cs="仿宋_GB2312"/>
                <w:sz w:val="24"/>
              </w:rPr>
            </w:pPr>
            <w:r>
              <w:rPr>
                <w:rFonts w:hint="eastAsia" w:ascii="仿宋_GB2312" w:hAnsi="仿宋_GB2312" w:cs="仿宋_GB2312"/>
                <w:kern w:val="0"/>
                <w:sz w:val="24"/>
              </w:rPr>
              <w:t>满意度指标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C65B68">
            <w:pPr>
              <w:widowControl/>
              <w:spacing w:line="320" w:lineRule="exact"/>
              <w:textAlignment w:val="bottom"/>
              <w:rPr>
                <w:rFonts w:ascii="仿宋_GB2312" w:hAnsi="仿宋_GB2312" w:cs="仿宋_GB2312"/>
                <w:kern w:val="0"/>
                <w:sz w:val="24"/>
              </w:rPr>
            </w:pPr>
            <w:r>
              <w:rPr>
                <w:rFonts w:hint="eastAsia" w:ascii="仿宋_GB2312" w:hAnsi="仿宋_GB2312" w:cs="仿宋_GB2312"/>
                <w:kern w:val="0"/>
                <w:sz w:val="24"/>
              </w:rPr>
              <w:t>满意度指标</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4267787">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孤儿满意度</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42101AF">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&gt;90%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A47F3E">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95%</w:t>
            </w:r>
          </w:p>
        </w:tc>
      </w:tr>
    </w:tbl>
    <w:p w14:paraId="1D433A61">
      <w:pPr>
        <w:spacing w:line="572" w:lineRule="exact"/>
        <w:jc w:val="left"/>
        <w:outlineLvl w:val="0"/>
        <w:rPr>
          <w:rFonts w:ascii="黑体" w:hAnsi="黑体" w:eastAsia="黑体" w:cs="黑体"/>
          <w:szCs w:val="32"/>
        </w:rPr>
      </w:pPr>
    </w:p>
    <w:p w14:paraId="1CF01A9B">
      <w:pPr>
        <w:spacing w:line="572" w:lineRule="exact"/>
        <w:jc w:val="left"/>
        <w:outlineLvl w:val="0"/>
        <w:rPr>
          <w:rFonts w:ascii="仿宋_GB2312" w:hAnsi="仿宋_GB2312" w:cs="仿宋_GB2312"/>
          <w:szCs w:val="32"/>
        </w:rPr>
      </w:pPr>
      <w:r>
        <w:rPr>
          <w:rFonts w:hint="eastAsia" w:ascii="黑体" w:hAnsi="黑体" w:eastAsia="黑体" w:cs="黑体"/>
          <w:szCs w:val="32"/>
        </w:rPr>
        <w:t>附件3</w:t>
      </w:r>
    </w:p>
    <w:tbl>
      <w:tblPr>
        <w:tblStyle w:val="14"/>
        <w:tblpPr w:leftFromText="180" w:rightFromText="180" w:vertAnchor="text" w:horzAnchor="margin" w:tblpXSpec="center" w:tblpY="595"/>
        <w:tblOverlap w:val="never"/>
        <w:tblW w:w="9983" w:type="dxa"/>
        <w:tblInd w:w="0" w:type="dxa"/>
        <w:tblLayout w:type="fixed"/>
        <w:tblCellMar>
          <w:top w:w="0" w:type="dxa"/>
          <w:left w:w="108" w:type="dxa"/>
          <w:bottom w:w="0" w:type="dxa"/>
          <w:right w:w="108" w:type="dxa"/>
        </w:tblCellMar>
      </w:tblPr>
      <w:tblGrid>
        <w:gridCol w:w="1320"/>
        <w:gridCol w:w="1140"/>
        <w:gridCol w:w="1350"/>
        <w:gridCol w:w="943"/>
        <w:gridCol w:w="1037"/>
        <w:gridCol w:w="1548"/>
        <w:gridCol w:w="1062"/>
        <w:gridCol w:w="1347"/>
        <w:gridCol w:w="236"/>
      </w:tblGrid>
      <w:tr w14:paraId="1BCC35A4">
        <w:tblPrEx>
          <w:tblCellMar>
            <w:top w:w="0" w:type="dxa"/>
            <w:left w:w="108" w:type="dxa"/>
            <w:bottom w:w="0" w:type="dxa"/>
            <w:right w:w="108" w:type="dxa"/>
          </w:tblCellMar>
        </w:tblPrEx>
        <w:trPr>
          <w:trHeight w:val="675" w:hRule="atLeast"/>
        </w:trPr>
        <w:tc>
          <w:tcPr>
            <w:tcW w:w="9747" w:type="dxa"/>
            <w:gridSpan w:val="8"/>
            <w:tcBorders>
              <w:top w:val="nil"/>
              <w:left w:val="nil"/>
              <w:bottom w:val="nil"/>
              <w:right w:val="nil"/>
            </w:tcBorders>
            <w:shd w:val="clear" w:color="auto" w:fill="auto"/>
            <w:vAlign w:val="center"/>
          </w:tcPr>
          <w:p w14:paraId="7D92F261">
            <w:pPr>
              <w:pStyle w:val="2"/>
              <w:spacing w:before="166"/>
              <w:jc w:val="center"/>
              <w:rPr>
                <w:rFonts w:hAnsi="宋体" w:cs="宋体"/>
                <w:b/>
                <w:bCs/>
                <w:sz w:val="32"/>
                <w:szCs w:val="32"/>
              </w:rPr>
            </w:pPr>
            <w:r>
              <w:rPr>
                <w:rFonts w:hint="eastAsia" w:hAnsi="宋体" w:cs="宋体"/>
                <w:b/>
                <w:bCs/>
                <w:sz w:val="32"/>
                <w:szCs w:val="32"/>
              </w:rPr>
              <w:t>2021年度专项（项目）资金绩效自评表</w:t>
            </w:r>
          </w:p>
          <w:p w14:paraId="4737D9AA">
            <w:pPr>
              <w:widowControl/>
              <w:jc w:val="center"/>
              <w:textAlignment w:val="center"/>
              <w:rPr>
                <w:rFonts w:ascii="仿宋_GB2312" w:hAnsi="宋体" w:cs="宋体"/>
                <w:b/>
                <w:sz w:val="28"/>
                <w:szCs w:val="28"/>
              </w:rPr>
            </w:pPr>
            <w:r>
              <w:rPr>
                <w:rFonts w:hint="eastAsia" w:ascii="仿宋_GB2312" w:hAnsi="宋体" w:cs="宋体"/>
                <w:b/>
                <w:sz w:val="28"/>
                <w:szCs w:val="28"/>
              </w:rPr>
              <w:t>（“阳光童行”喘息服务项目）</w:t>
            </w:r>
          </w:p>
        </w:tc>
        <w:tc>
          <w:tcPr>
            <w:tcW w:w="236" w:type="dxa"/>
            <w:tcBorders>
              <w:top w:val="nil"/>
              <w:left w:val="nil"/>
              <w:bottom w:val="nil"/>
              <w:right w:val="nil"/>
            </w:tcBorders>
            <w:shd w:val="clear" w:color="auto" w:fill="auto"/>
            <w:vAlign w:val="center"/>
          </w:tcPr>
          <w:p w14:paraId="6CEEAC2B">
            <w:pPr>
              <w:widowControl/>
              <w:jc w:val="center"/>
              <w:textAlignment w:val="center"/>
              <w:rPr>
                <w:rFonts w:ascii="仿宋_GB2312" w:hAnsi="宋体" w:cs="宋体"/>
                <w:b/>
                <w:kern w:val="0"/>
                <w:sz w:val="18"/>
                <w:szCs w:val="18"/>
              </w:rPr>
            </w:pPr>
          </w:p>
        </w:tc>
      </w:tr>
      <w:tr w14:paraId="74D48DBE">
        <w:tblPrEx>
          <w:tblCellMar>
            <w:top w:w="0" w:type="dxa"/>
            <w:left w:w="108" w:type="dxa"/>
            <w:bottom w:w="0" w:type="dxa"/>
            <w:right w:w="108" w:type="dxa"/>
          </w:tblCellMar>
        </w:tblPrEx>
        <w:trPr>
          <w:gridAfter w:val="1"/>
          <w:wAfter w:w="236" w:type="dxa"/>
          <w:trHeight w:val="254" w:hRule="atLeast"/>
        </w:trPr>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CB5A7">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主管部门及代码</w:t>
            </w:r>
          </w:p>
        </w:tc>
        <w:tc>
          <w:tcPr>
            <w:tcW w:w="33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E5217">
            <w:pPr>
              <w:widowControl/>
              <w:spacing w:line="320" w:lineRule="exact"/>
              <w:textAlignment w:val="center"/>
              <w:rPr>
                <w:rFonts w:ascii="仿宋_GB2312" w:hAnsi="仿宋_GB2312" w:cs="仿宋_GB2312"/>
                <w:sz w:val="24"/>
              </w:rPr>
            </w:pPr>
            <w:r>
              <w:rPr>
                <w:rFonts w:hint="eastAsia" w:ascii="仿宋_GB2312" w:hAnsi="仿宋_GB2312" w:cs="仿宋_GB2312"/>
                <w:sz w:val="24"/>
              </w:rPr>
              <w:t>攀枝花市民政局501001</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A516">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实施单位</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65A55">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攀枝花市儿童福利院</w:t>
            </w:r>
          </w:p>
        </w:tc>
      </w:tr>
      <w:tr w14:paraId="4A331A59">
        <w:tblPrEx>
          <w:tblCellMar>
            <w:top w:w="0" w:type="dxa"/>
            <w:left w:w="108" w:type="dxa"/>
            <w:bottom w:w="0" w:type="dxa"/>
            <w:right w:w="108" w:type="dxa"/>
          </w:tblCellMar>
        </w:tblPrEx>
        <w:trPr>
          <w:gridAfter w:val="1"/>
          <w:wAfter w:w="236" w:type="dxa"/>
          <w:trHeight w:val="341" w:hRule="atLeast"/>
        </w:trPr>
        <w:tc>
          <w:tcPr>
            <w:tcW w:w="2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A597A">
            <w:pPr>
              <w:widowControl/>
              <w:spacing w:line="32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项目预算</w:t>
            </w:r>
          </w:p>
          <w:p w14:paraId="7A2F87BE">
            <w:pPr>
              <w:widowControl/>
              <w:spacing w:line="32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执行情况</w:t>
            </w:r>
          </w:p>
          <w:p w14:paraId="66CA9BE2">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（万元）</w:t>
            </w: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9052F">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预算数：</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4D5B">
            <w:pPr>
              <w:widowControl/>
              <w:spacing w:line="320" w:lineRule="exact"/>
              <w:jc w:val="left"/>
              <w:textAlignment w:val="center"/>
              <w:rPr>
                <w:rFonts w:ascii="仿宋_GB2312" w:hAnsi="仿宋_GB2312" w:cs="仿宋_GB2312"/>
                <w:sz w:val="24"/>
              </w:rPr>
            </w:pPr>
            <w:r>
              <w:rPr>
                <w:rFonts w:hint="eastAsia" w:ascii="仿宋_GB2312" w:hAnsi="仿宋_GB2312" w:cs="仿宋_GB2312"/>
                <w:sz w:val="24"/>
              </w:rPr>
              <w:t>11.43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D299">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执行数：</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0A8F5">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11.43</w:t>
            </w:r>
          </w:p>
        </w:tc>
      </w:tr>
      <w:tr w14:paraId="5A2065F2">
        <w:tblPrEx>
          <w:tblCellMar>
            <w:top w:w="0" w:type="dxa"/>
            <w:left w:w="108" w:type="dxa"/>
            <w:bottom w:w="0" w:type="dxa"/>
            <w:right w:w="108" w:type="dxa"/>
          </w:tblCellMar>
        </w:tblPrEx>
        <w:trPr>
          <w:gridAfter w:val="1"/>
          <w:wAfter w:w="236" w:type="dxa"/>
          <w:trHeight w:val="555" w:hRule="atLeast"/>
        </w:trPr>
        <w:tc>
          <w:tcPr>
            <w:tcW w:w="2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21D31">
            <w:pPr>
              <w:spacing w:line="320" w:lineRule="exact"/>
              <w:jc w:val="center"/>
              <w:rPr>
                <w:rFonts w:ascii="仿宋_GB2312" w:hAnsi="仿宋_GB2312" w:cs="仿宋_GB2312"/>
                <w:sz w:val="24"/>
              </w:rPr>
            </w:pP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23368">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14:paraId="1AB54257">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7F24">
            <w:pPr>
              <w:widowControl/>
              <w:spacing w:line="320" w:lineRule="exact"/>
              <w:jc w:val="left"/>
              <w:textAlignment w:val="center"/>
              <w:rPr>
                <w:rFonts w:ascii="仿宋_GB2312" w:hAnsi="仿宋_GB2312" w:cs="仿宋_GB2312"/>
                <w:sz w:val="24"/>
              </w:rPr>
            </w:pPr>
            <w:r>
              <w:rPr>
                <w:rFonts w:hint="eastAsia" w:ascii="仿宋_GB2312" w:hAnsi="仿宋_GB2312" w:cs="仿宋_GB2312"/>
                <w:sz w:val="24"/>
              </w:rPr>
              <w:t>11.43</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2A67">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14:paraId="60E1CBA3">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005BE">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11.43</w:t>
            </w:r>
          </w:p>
        </w:tc>
      </w:tr>
      <w:tr w14:paraId="35A7DA50">
        <w:tblPrEx>
          <w:tblCellMar>
            <w:top w:w="0" w:type="dxa"/>
            <w:left w:w="108" w:type="dxa"/>
            <w:bottom w:w="0" w:type="dxa"/>
            <w:right w:w="108" w:type="dxa"/>
          </w:tblCellMar>
        </w:tblPrEx>
        <w:trPr>
          <w:gridAfter w:val="1"/>
          <w:wAfter w:w="236" w:type="dxa"/>
          <w:trHeight w:val="341" w:hRule="atLeast"/>
        </w:trPr>
        <w:tc>
          <w:tcPr>
            <w:tcW w:w="2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67B8F">
            <w:pPr>
              <w:spacing w:line="320" w:lineRule="exact"/>
              <w:jc w:val="center"/>
              <w:rPr>
                <w:rFonts w:ascii="仿宋_GB2312" w:hAnsi="仿宋_GB2312" w:cs="仿宋_GB2312"/>
                <w:sz w:val="24"/>
              </w:rPr>
            </w:pPr>
          </w:p>
        </w:tc>
        <w:tc>
          <w:tcPr>
            <w:tcW w:w="2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F47C4">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0E94">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B537">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24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3570C">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r>
      <w:tr w14:paraId="01C2E563">
        <w:tblPrEx>
          <w:tblCellMar>
            <w:top w:w="0" w:type="dxa"/>
            <w:left w:w="108" w:type="dxa"/>
            <w:bottom w:w="0" w:type="dxa"/>
            <w:right w:w="108" w:type="dxa"/>
          </w:tblCellMar>
        </w:tblPrEx>
        <w:trPr>
          <w:gridAfter w:val="1"/>
          <w:wAfter w:w="236" w:type="dxa"/>
          <w:trHeight w:val="217"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0E1E1">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年度总体目标</w:t>
            </w:r>
          </w:p>
          <w:p w14:paraId="5683595A">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完成情况</w:t>
            </w:r>
          </w:p>
        </w:tc>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A6EF1D">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预期目标</w:t>
            </w:r>
          </w:p>
        </w:tc>
        <w:tc>
          <w:tcPr>
            <w:tcW w:w="39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D3664">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目标实际完成情况</w:t>
            </w:r>
          </w:p>
        </w:tc>
      </w:tr>
      <w:tr w14:paraId="4B122D5D">
        <w:tblPrEx>
          <w:tblCellMar>
            <w:top w:w="0" w:type="dxa"/>
            <w:left w:w="108" w:type="dxa"/>
            <w:bottom w:w="0" w:type="dxa"/>
            <w:right w:w="108" w:type="dxa"/>
          </w:tblCellMar>
        </w:tblPrEx>
        <w:trPr>
          <w:gridAfter w:val="1"/>
          <w:wAfter w:w="236" w:type="dxa"/>
          <w:trHeight w:val="797"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54CBB">
            <w:pPr>
              <w:widowControl/>
              <w:spacing w:line="280" w:lineRule="exact"/>
              <w:jc w:val="center"/>
              <w:rPr>
                <w:rFonts w:ascii="仿宋_GB2312" w:hAnsi="仿宋_GB2312" w:cs="仿宋_GB2312"/>
                <w:sz w:val="24"/>
              </w:rPr>
            </w:pPr>
          </w:p>
        </w:tc>
        <w:tc>
          <w:tcPr>
            <w:tcW w:w="4470" w:type="dxa"/>
            <w:gridSpan w:val="4"/>
            <w:tcBorders>
              <w:top w:val="single" w:color="000000" w:sz="4" w:space="0"/>
              <w:left w:val="single" w:color="000000" w:sz="4" w:space="0"/>
              <w:bottom w:val="single" w:color="000000" w:sz="4" w:space="0"/>
              <w:right w:val="single" w:color="000000" w:sz="4" w:space="0"/>
            </w:tcBorders>
            <w:shd w:val="clear" w:color="auto" w:fill="auto"/>
          </w:tcPr>
          <w:p w14:paraId="62250990">
            <w:pPr>
              <w:widowControl/>
              <w:spacing w:line="280" w:lineRule="exact"/>
              <w:jc w:val="left"/>
              <w:textAlignment w:val="top"/>
              <w:rPr>
                <w:rFonts w:ascii="仿宋_GB2312" w:hAnsi="仿宋_GB2312" w:cs="仿宋_GB2312"/>
                <w:sz w:val="24"/>
              </w:rPr>
            </w:pPr>
            <w:r>
              <w:rPr>
                <w:rFonts w:hint="eastAsia" w:ascii="仿宋_GB2312" w:hAnsi="仿宋_GB2312" w:cs="仿宋_GB2312"/>
                <w:sz w:val="24"/>
              </w:rPr>
              <w:t>为贫困重度残疾儿童家庭提供短期机构托养，为残疾儿童家庭提供残疾儿童护理、康教等服务、链接社会资源开展就业培训等各类所需支援服务及社会宣传等。</w:t>
            </w:r>
          </w:p>
        </w:tc>
        <w:tc>
          <w:tcPr>
            <w:tcW w:w="3957" w:type="dxa"/>
            <w:gridSpan w:val="3"/>
            <w:tcBorders>
              <w:top w:val="single" w:color="000000" w:sz="4" w:space="0"/>
              <w:left w:val="single" w:color="000000" w:sz="4" w:space="0"/>
              <w:bottom w:val="single" w:color="000000" w:sz="4" w:space="0"/>
              <w:right w:val="single" w:color="000000" w:sz="4" w:space="0"/>
            </w:tcBorders>
            <w:shd w:val="clear" w:color="auto" w:fill="auto"/>
          </w:tcPr>
          <w:p w14:paraId="7D93F284">
            <w:pPr>
              <w:widowControl/>
              <w:spacing w:line="280" w:lineRule="exact"/>
              <w:jc w:val="left"/>
              <w:textAlignment w:val="top"/>
              <w:rPr>
                <w:rFonts w:ascii="仿宋_GB2312" w:hAnsi="仿宋_GB2312" w:cs="仿宋_GB2312"/>
                <w:sz w:val="24"/>
              </w:rPr>
            </w:pPr>
            <w:r>
              <w:rPr>
                <w:rFonts w:hint="eastAsia" w:ascii="仿宋_GB2312" w:hAnsi="仿宋_GB2312" w:cs="仿宋_GB2312"/>
                <w:sz w:val="24"/>
              </w:rPr>
              <w:t>我院开展了一期喘息服务，为2名贫困重度残疾儿童家庭提供了喘息服务，为2名喘息儿童监护人提供了农业技能培训，让享受喘息服务的残疾儿童家庭感受到社会的支持。</w:t>
            </w:r>
          </w:p>
        </w:tc>
      </w:tr>
      <w:tr w14:paraId="44FFE777">
        <w:tblPrEx>
          <w:tblCellMar>
            <w:top w:w="0" w:type="dxa"/>
            <w:left w:w="108" w:type="dxa"/>
            <w:bottom w:w="0" w:type="dxa"/>
            <w:right w:w="108" w:type="dxa"/>
          </w:tblCellMar>
        </w:tblPrEx>
        <w:trPr>
          <w:gridAfter w:val="1"/>
          <w:wAfter w:w="236" w:type="dxa"/>
          <w:trHeight w:val="693" w:hRule="atLeast"/>
        </w:trPr>
        <w:tc>
          <w:tcPr>
            <w:tcW w:w="1320" w:type="dxa"/>
            <w:vMerge w:val="restart"/>
            <w:tcBorders>
              <w:top w:val="single" w:color="000000" w:sz="4" w:space="0"/>
              <w:left w:val="single" w:color="000000" w:sz="4" w:space="0"/>
              <w:right w:val="single" w:color="000000" w:sz="4" w:space="0"/>
            </w:tcBorders>
            <w:shd w:val="clear" w:color="auto" w:fill="auto"/>
            <w:vAlign w:val="center"/>
          </w:tcPr>
          <w:p w14:paraId="0D80BA7E">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年度绩效指标完成情况</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2BBCE8D9">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14:paraId="051FC1DB">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DBED">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14:paraId="251ED2E5">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DB1CE">
            <w:pPr>
              <w:widowControl/>
              <w:spacing w:line="28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14:paraId="195D2DE1">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44495">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78E6">
            <w:pPr>
              <w:widowControl/>
              <w:spacing w:line="28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14:paraId="05ED10CD">
        <w:tblPrEx>
          <w:tblCellMar>
            <w:top w:w="0" w:type="dxa"/>
            <w:left w:w="108" w:type="dxa"/>
            <w:bottom w:w="0" w:type="dxa"/>
            <w:right w:w="108" w:type="dxa"/>
          </w:tblCellMar>
        </w:tblPrEx>
        <w:trPr>
          <w:gridAfter w:val="1"/>
          <w:wAfter w:w="236" w:type="dxa"/>
          <w:trHeight w:val="415" w:hRule="atLeast"/>
        </w:trPr>
        <w:tc>
          <w:tcPr>
            <w:tcW w:w="1320" w:type="dxa"/>
            <w:vMerge w:val="continue"/>
            <w:tcBorders>
              <w:left w:val="single" w:color="000000" w:sz="4" w:space="0"/>
              <w:right w:val="single" w:color="000000" w:sz="4" w:space="0"/>
            </w:tcBorders>
            <w:shd w:val="clear" w:color="auto" w:fill="auto"/>
            <w:vAlign w:val="center"/>
          </w:tcPr>
          <w:p w14:paraId="5A0981A5">
            <w:pPr>
              <w:widowControl/>
              <w:spacing w:line="280" w:lineRule="exact"/>
              <w:jc w:val="center"/>
              <w:rPr>
                <w:rFonts w:ascii="仿宋_GB2312" w:hAnsi="仿宋_GB2312" w:cs="仿宋_GB2312"/>
                <w:sz w:val="24"/>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D7F6E">
            <w:pPr>
              <w:widowControl/>
              <w:spacing w:line="28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14:paraId="2BB7DBFB">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07C791">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41D2B97">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2名重度残疾儿童家庭</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E1C28D6">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2名重度残疾儿童家庭</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77B569">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5E896FF8">
        <w:tblPrEx>
          <w:tblCellMar>
            <w:top w:w="0" w:type="dxa"/>
            <w:left w:w="108" w:type="dxa"/>
            <w:bottom w:w="0" w:type="dxa"/>
            <w:right w:w="108" w:type="dxa"/>
          </w:tblCellMar>
        </w:tblPrEx>
        <w:trPr>
          <w:gridAfter w:val="1"/>
          <w:wAfter w:w="236" w:type="dxa"/>
          <w:trHeight w:val="415" w:hRule="atLeast"/>
        </w:trPr>
        <w:tc>
          <w:tcPr>
            <w:tcW w:w="1320" w:type="dxa"/>
            <w:vMerge w:val="continue"/>
            <w:tcBorders>
              <w:left w:val="single" w:color="000000" w:sz="4" w:space="0"/>
              <w:right w:val="single" w:color="000000" w:sz="4" w:space="0"/>
            </w:tcBorders>
            <w:shd w:val="clear" w:color="auto" w:fill="auto"/>
            <w:vAlign w:val="center"/>
          </w:tcPr>
          <w:p w14:paraId="6C83D550">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E8200C8">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3C4786">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D5DC235">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关爱服务水平</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70690DC">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提高服务家庭的生存能力和生活质量</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2D1459">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5B75A2F4">
        <w:tblPrEx>
          <w:tblCellMar>
            <w:top w:w="0" w:type="dxa"/>
            <w:left w:w="108" w:type="dxa"/>
            <w:bottom w:w="0" w:type="dxa"/>
            <w:right w:w="108" w:type="dxa"/>
          </w:tblCellMar>
        </w:tblPrEx>
        <w:trPr>
          <w:gridAfter w:val="1"/>
          <w:wAfter w:w="236" w:type="dxa"/>
          <w:trHeight w:val="415" w:hRule="atLeast"/>
        </w:trPr>
        <w:tc>
          <w:tcPr>
            <w:tcW w:w="1320" w:type="dxa"/>
            <w:vMerge w:val="continue"/>
            <w:tcBorders>
              <w:left w:val="single" w:color="000000" w:sz="4" w:space="0"/>
              <w:right w:val="single" w:color="000000" w:sz="4" w:space="0"/>
            </w:tcBorders>
            <w:shd w:val="clear" w:color="auto" w:fill="auto"/>
            <w:vAlign w:val="center"/>
          </w:tcPr>
          <w:p w14:paraId="686DE4B7">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0DAD54C">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ECB237">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E04ADC4">
            <w:pPr>
              <w:widowControl/>
              <w:spacing w:line="280" w:lineRule="exact"/>
              <w:jc w:val="center"/>
              <w:textAlignment w:val="bottom"/>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完成时间</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26ECC83">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150E0F">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45144C8F">
        <w:tblPrEx>
          <w:tblCellMar>
            <w:top w:w="0" w:type="dxa"/>
            <w:left w:w="108" w:type="dxa"/>
            <w:bottom w:w="0" w:type="dxa"/>
            <w:right w:w="108" w:type="dxa"/>
          </w:tblCellMar>
        </w:tblPrEx>
        <w:trPr>
          <w:gridAfter w:val="1"/>
          <w:wAfter w:w="236" w:type="dxa"/>
          <w:trHeight w:val="480" w:hRule="atLeast"/>
        </w:trPr>
        <w:tc>
          <w:tcPr>
            <w:tcW w:w="1320" w:type="dxa"/>
            <w:vMerge w:val="continue"/>
            <w:tcBorders>
              <w:left w:val="single" w:color="000000" w:sz="4" w:space="0"/>
              <w:right w:val="single" w:color="000000" w:sz="4" w:space="0"/>
            </w:tcBorders>
            <w:shd w:val="clear" w:color="auto" w:fill="auto"/>
            <w:vAlign w:val="center"/>
          </w:tcPr>
          <w:p w14:paraId="4A11799A">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7D4B414">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151EE">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202C0A9">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托养儿童各项费用</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343D6B6">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11.43万元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E804AC">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2FB1DC17">
        <w:tblPrEx>
          <w:tblCellMar>
            <w:top w:w="0" w:type="dxa"/>
            <w:left w:w="108" w:type="dxa"/>
            <w:bottom w:w="0" w:type="dxa"/>
            <w:right w:w="108" w:type="dxa"/>
          </w:tblCellMar>
        </w:tblPrEx>
        <w:trPr>
          <w:gridAfter w:val="1"/>
          <w:wAfter w:w="236" w:type="dxa"/>
          <w:trHeight w:val="480" w:hRule="atLeast"/>
        </w:trPr>
        <w:tc>
          <w:tcPr>
            <w:tcW w:w="1320" w:type="dxa"/>
            <w:vMerge w:val="continue"/>
            <w:tcBorders>
              <w:left w:val="single" w:color="000000" w:sz="4" w:space="0"/>
              <w:right w:val="single" w:color="000000" w:sz="4" w:space="0"/>
            </w:tcBorders>
            <w:shd w:val="clear" w:color="auto" w:fill="auto"/>
            <w:vAlign w:val="center"/>
          </w:tcPr>
          <w:p w14:paraId="2C364371">
            <w:pPr>
              <w:widowControl/>
              <w:spacing w:line="280" w:lineRule="exact"/>
              <w:jc w:val="center"/>
              <w:rPr>
                <w:rFonts w:ascii="仿宋_GB2312" w:hAnsi="仿宋_GB2312" w:cs="仿宋_GB2312"/>
                <w:sz w:val="24"/>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59DC4">
            <w:pPr>
              <w:widowControl/>
              <w:spacing w:line="28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效益</w:t>
            </w:r>
          </w:p>
          <w:p w14:paraId="7F5EB19E">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269039">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经济效益  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8D68B0E">
            <w:pPr>
              <w:widowControl/>
              <w:spacing w:line="280" w:lineRule="exact"/>
              <w:jc w:val="center"/>
              <w:textAlignment w:val="bottom"/>
              <w:rPr>
                <w:rFonts w:ascii="仿宋_GB2312" w:hAnsi="仿宋_GB2312" w:cs="仿宋_GB2312"/>
                <w:sz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F246EFC">
            <w:pPr>
              <w:widowControl/>
              <w:spacing w:line="280" w:lineRule="exact"/>
              <w:jc w:val="center"/>
              <w:textAlignment w:val="bottom"/>
              <w:rPr>
                <w:rFonts w:ascii="仿宋_GB2312" w:hAnsi="仿宋_GB2312" w:cs="仿宋_GB2312"/>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B6287E">
            <w:pPr>
              <w:widowControl/>
              <w:spacing w:line="280" w:lineRule="exact"/>
              <w:jc w:val="center"/>
              <w:textAlignment w:val="bottom"/>
              <w:rPr>
                <w:rFonts w:ascii="仿宋_GB2312" w:hAnsi="仿宋_GB2312" w:cs="仿宋_GB2312"/>
                <w:sz w:val="24"/>
              </w:rPr>
            </w:pPr>
          </w:p>
        </w:tc>
      </w:tr>
      <w:tr w14:paraId="2B9DE4B4">
        <w:tblPrEx>
          <w:tblCellMar>
            <w:top w:w="0" w:type="dxa"/>
            <w:left w:w="108" w:type="dxa"/>
            <w:bottom w:w="0" w:type="dxa"/>
            <w:right w:w="108" w:type="dxa"/>
          </w:tblCellMar>
        </w:tblPrEx>
        <w:trPr>
          <w:gridAfter w:val="1"/>
          <w:wAfter w:w="236" w:type="dxa"/>
          <w:trHeight w:val="480" w:hRule="atLeast"/>
        </w:trPr>
        <w:tc>
          <w:tcPr>
            <w:tcW w:w="1320" w:type="dxa"/>
            <w:vMerge w:val="continue"/>
            <w:tcBorders>
              <w:left w:val="single" w:color="000000" w:sz="4" w:space="0"/>
              <w:right w:val="single" w:color="000000" w:sz="4" w:space="0"/>
            </w:tcBorders>
            <w:shd w:val="clear" w:color="auto" w:fill="auto"/>
            <w:vAlign w:val="center"/>
          </w:tcPr>
          <w:p w14:paraId="2BDA674C">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7C90C83">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2F6378">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社会效益指标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6010834">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提升重度残疾儿童家庭幸福感</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1BAD75A">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为贫困重度残疾儿童家庭提供喘息的机会，提高生活就业能力</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F3A39F">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53C1DA81">
        <w:tblPrEx>
          <w:tblCellMar>
            <w:top w:w="0" w:type="dxa"/>
            <w:left w:w="108" w:type="dxa"/>
            <w:bottom w:w="0" w:type="dxa"/>
            <w:right w:w="108" w:type="dxa"/>
          </w:tblCellMar>
        </w:tblPrEx>
        <w:trPr>
          <w:gridAfter w:val="1"/>
          <w:wAfter w:w="236" w:type="dxa"/>
          <w:trHeight w:val="577" w:hRule="atLeast"/>
        </w:trPr>
        <w:tc>
          <w:tcPr>
            <w:tcW w:w="1320" w:type="dxa"/>
            <w:vMerge w:val="continue"/>
            <w:tcBorders>
              <w:left w:val="single" w:color="000000" w:sz="4" w:space="0"/>
              <w:right w:val="single" w:color="000000" w:sz="4" w:space="0"/>
            </w:tcBorders>
            <w:shd w:val="clear" w:color="auto" w:fill="auto"/>
            <w:vAlign w:val="center"/>
          </w:tcPr>
          <w:p w14:paraId="7DEC45C0">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3C9FCF9">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205210">
            <w:pPr>
              <w:widowControl/>
              <w:spacing w:line="280" w:lineRule="exact"/>
              <w:jc w:val="left"/>
              <w:textAlignment w:val="bottom"/>
              <w:rPr>
                <w:rFonts w:ascii="仿宋_GB2312" w:hAnsi="仿宋_GB2312" w:cs="仿宋_GB2312"/>
                <w:sz w:val="24"/>
              </w:rPr>
            </w:pPr>
            <w:r>
              <w:rPr>
                <w:rFonts w:hint="eastAsia" w:ascii="仿宋_GB2312" w:hAnsi="仿宋_GB2312" w:cs="仿宋_GB2312"/>
                <w:kern w:val="0"/>
                <w:sz w:val="24"/>
              </w:rPr>
              <w:t>生态效益指标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5630E97">
            <w:pPr>
              <w:widowControl/>
              <w:spacing w:line="280" w:lineRule="exact"/>
              <w:jc w:val="center"/>
              <w:textAlignment w:val="bottom"/>
              <w:rPr>
                <w:rFonts w:ascii="仿宋_GB2312" w:hAnsi="仿宋_GB2312" w:cs="仿宋_GB2312"/>
                <w:sz w:val="24"/>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625FEE7">
            <w:pPr>
              <w:widowControl/>
              <w:spacing w:line="280" w:lineRule="exact"/>
              <w:jc w:val="center"/>
              <w:textAlignment w:val="bottom"/>
              <w:rPr>
                <w:rFonts w:ascii="仿宋_GB2312" w:hAnsi="仿宋_GB2312" w:cs="仿宋_GB2312"/>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318069B">
            <w:pPr>
              <w:widowControl/>
              <w:spacing w:line="280" w:lineRule="exact"/>
              <w:jc w:val="center"/>
              <w:textAlignment w:val="bottom"/>
              <w:rPr>
                <w:rFonts w:ascii="仿宋_GB2312" w:hAnsi="仿宋_GB2312" w:cs="仿宋_GB2312"/>
                <w:sz w:val="24"/>
              </w:rPr>
            </w:pPr>
          </w:p>
        </w:tc>
      </w:tr>
      <w:tr w14:paraId="26B3308E">
        <w:tblPrEx>
          <w:tblCellMar>
            <w:top w:w="0" w:type="dxa"/>
            <w:left w:w="108" w:type="dxa"/>
            <w:bottom w:w="0" w:type="dxa"/>
            <w:right w:w="108" w:type="dxa"/>
          </w:tblCellMar>
        </w:tblPrEx>
        <w:trPr>
          <w:gridAfter w:val="1"/>
          <w:wAfter w:w="236" w:type="dxa"/>
          <w:trHeight w:val="480" w:hRule="atLeast"/>
        </w:trPr>
        <w:tc>
          <w:tcPr>
            <w:tcW w:w="1320" w:type="dxa"/>
            <w:vMerge w:val="continue"/>
            <w:tcBorders>
              <w:left w:val="single" w:color="000000" w:sz="4" w:space="0"/>
              <w:right w:val="single" w:color="000000" w:sz="4" w:space="0"/>
            </w:tcBorders>
            <w:shd w:val="clear" w:color="auto" w:fill="auto"/>
            <w:vAlign w:val="center"/>
          </w:tcPr>
          <w:p w14:paraId="488BF84B">
            <w:pPr>
              <w:widowControl/>
              <w:spacing w:line="280" w:lineRule="exact"/>
              <w:jc w:val="center"/>
              <w:rPr>
                <w:rFonts w:ascii="仿宋_GB2312" w:hAnsi="仿宋_GB2312" w:cs="仿宋_GB2312"/>
                <w:sz w:val="24"/>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159C018">
            <w:pPr>
              <w:widowControl/>
              <w:spacing w:line="280" w:lineRule="exact"/>
              <w:jc w:val="center"/>
              <w:rPr>
                <w:rFonts w:ascii="仿宋_GB2312" w:hAnsi="仿宋_GB2312" w:cs="仿宋_GB2312"/>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D8817F">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可持续影响指标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067EF20">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提高贫困重度残疾儿童家庭的幸福指数</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FE41C7E">
            <w:pPr>
              <w:widowControl/>
              <w:spacing w:line="280" w:lineRule="exact"/>
              <w:jc w:val="left"/>
              <w:textAlignment w:val="bottom"/>
              <w:rPr>
                <w:rFonts w:ascii="仿宋_GB2312" w:hAnsi="仿宋_GB2312" w:cs="仿宋_GB2312"/>
                <w:sz w:val="24"/>
              </w:rPr>
            </w:pPr>
            <w:r>
              <w:rPr>
                <w:rFonts w:hint="eastAsia" w:ascii="仿宋_GB2312" w:hAnsi="仿宋_GB2312" w:cs="仿宋_GB2312"/>
                <w:sz w:val="24"/>
              </w:rPr>
              <w:t>促进社会和谐，让贫困重度残疾儿童家庭幸福指数提高</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50D02B">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6946D1D4">
        <w:tblPrEx>
          <w:tblCellMar>
            <w:top w:w="0" w:type="dxa"/>
            <w:left w:w="108" w:type="dxa"/>
            <w:bottom w:w="0" w:type="dxa"/>
            <w:right w:w="108" w:type="dxa"/>
          </w:tblCellMar>
        </w:tblPrEx>
        <w:trPr>
          <w:gridAfter w:val="1"/>
          <w:wAfter w:w="236" w:type="dxa"/>
          <w:trHeight w:val="530" w:hRule="atLeast"/>
        </w:trPr>
        <w:tc>
          <w:tcPr>
            <w:tcW w:w="1320" w:type="dxa"/>
            <w:vMerge w:val="continue"/>
            <w:tcBorders>
              <w:left w:val="single" w:color="000000" w:sz="4" w:space="0"/>
              <w:bottom w:val="single" w:color="000000" w:sz="4" w:space="0"/>
              <w:right w:val="single" w:color="000000" w:sz="4" w:space="0"/>
            </w:tcBorders>
            <w:shd w:val="clear" w:color="auto" w:fill="auto"/>
            <w:vAlign w:val="center"/>
          </w:tcPr>
          <w:p w14:paraId="31C8C52F">
            <w:pPr>
              <w:widowControl/>
              <w:spacing w:line="280" w:lineRule="exact"/>
              <w:jc w:val="center"/>
              <w:rPr>
                <w:rFonts w:ascii="仿宋_GB2312" w:hAnsi="仿宋_GB2312" w:cs="仿宋_GB2312"/>
                <w:sz w:val="24"/>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5C8FCC">
            <w:pPr>
              <w:widowControl/>
              <w:spacing w:line="28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满意</w:t>
            </w:r>
          </w:p>
          <w:p w14:paraId="758A8FC7">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度指标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BC6A039">
            <w:pPr>
              <w:widowControl/>
              <w:spacing w:line="280" w:lineRule="exact"/>
              <w:jc w:val="center"/>
              <w:textAlignment w:val="bottom"/>
              <w:rPr>
                <w:rFonts w:ascii="仿宋_GB2312" w:hAnsi="仿宋_GB2312" w:cs="仿宋_GB2312"/>
                <w:kern w:val="0"/>
                <w:sz w:val="24"/>
              </w:rPr>
            </w:pPr>
            <w:r>
              <w:rPr>
                <w:rFonts w:hint="eastAsia" w:ascii="仿宋_GB2312" w:hAnsi="仿宋_GB2312" w:cs="仿宋_GB2312"/>
                <w:kern w:val="0"/>
                <w:sz w:val="24"/>
              </w:rPr>
              <w:t>满意度</w:t>
            </w:r>
          </w:p>
          <w:p w14:paraId="001446EA">
            <w:pPr>
              <w:widowControl/>
              <w:spacing w:line="28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57768F7">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服务对象满意度</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BF58FE0">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&gt;90%</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9AEDC6">
            <w:pPr>
              <w:widowControl/>
              <w:spacing w:line="280" w:lineRule="exact"/>
              <w:jc w:val="center"/>
              <w:textAlignment w:val="bottom"/>
              <w:rPr>
                <w:rFonts w:ascii="仿宋_GB2312" w:hAnsi="仿宋_GB2312" w:cs="仿宋_GB2312"/>
                <w:sz w:val="24"/>
              </w:rPr>
            </w:pPr>
            <w:r>
              <w:rPr>
                <w:rFonts w:hint="eastAsia" w:ascii="仿宋_GB2312" w:hAnsi="仿宋_GB2312" w:cs="仿宋_GB2312"/>
                <w:sz w:val="24"/>
              </w:rPr>
              <w:t>95%</w:t>
            </w:r>
          </w:p>
        </w:tc>
      </w:tr>
    </w:tbl>
    <w:p w14:paraId="627FEEE5">
      <w:pPr>
        <w:spacing w:line="572" w:lineRule="exact"/>
        <w:jc w:val="left"/>
        <w:outlineLvl w:val="0"/>
        <w:rPr>
          <w:rFonts w:ascii="仿宋_GB2312" w:hAnsi="仿宋_GB2312" w:cs="仿宋_GB2312"/>
          <w:szCs w:val="32"/>
        </w:rPr>
      </w:pPr>
    </w:p>
    <w:p w14:paraId="7038798D">
      <w:pPr>
        <w:spacing w:line="572" w:lineRule="exact"/>
        <w:jc w:val="left"/>
        <w:outlineLvl w:val="0"/>
        <w:rPr>
          <w:rFonts w:ascii="黑体" w:hAnsi="黑体" w:eastAsia="黑体" w:cs="黑体"/>
          <w:szCs w:val="32"/>
        </w:rPr>
      </w:pPr>
    </w:p>
    <w:p w14:paraId="48FB4875">
      <w:pPr>
        <w:spacing w:line="572" w:lineRule="exact"/>
        <w:jc w:val="left"/>
        <w:outlineLvl w:val="0"/>
        <w:rPr>
          <w:rFonts w:ascii="仿宋_GB2312" w:hAnsi="仿宋_GB2312" w:cs="仿宋_GB2312"/>
          <w:szCs w:val="32"/>
        </w:rPr>
      </w:pPr>
      <w:r>
        <w:rPr>
          <w:rFonts w:hint="eastAsia" w:ascii="黑体" w:hAnsi="黑体" w:eastAsia="黑体" w:cs="黑体"/>
          <w:szCs w:val="32"/>
        </w:rPr>
        <w:t>附件4</w:t>
      </w:r>
    </w:p>
    <w:tbl>
      <w:tblPr>
        <w:tblStyle w:val="14"/>
        <w:tblpPr w:leftFromText="180" w:rightFromText="180" w:vertAnchor="text" w:horzAnchor="page" w:tblpX="1281" w:tblpY="660"/>
        <w:tblOverlap w:val="never"/>
        <w:tblW w:w="9983" w:type="dxa"/>
        <w:tblInd w:w="0" w:type="dxa"/>
        <w:tblLayout w:type="fixed"/>
        <w:tblCellMar>
          <w:top w:w="0" w:type="dxa"/>
          <w:left w:w="108" w:type="dxa"/>
          <w:bottom w:w="0" w:type="dxa"/>
          <w:right w:w="108" w:type="dxa"/>
        </w:tblCellMar>
      </w:tblPr>
      <w:tblGrid>
        <w:gridCol w:w="1976"/>
        <w:gridCol w:w="967"/>
        <w:gridCol w:w="142"/>
        <w:gridCol w:w="1418"/>
        <w:gridCol w:w="250"/>
        <w:gridCol w:w="1708"/>
        <w:gridCol w:w="1444"/>
        <w:gridCol w:w="141"/>
        <w:gridCol w:w="1701"/>
        <w:gridCol w:w="236"/>
      </w:tblGrid>
      <w:tr w14:paraId="290E6C46">
        <w:tblPrEx>
          <w:tblCellMar>
            <w:top w:w="0" w:type="dxa"/>
            <w:left w:w="108" w:type="dxa"/>
            <w:bottom w:w="0" w:type="dxa"/>
            <w:right w:w="108" w:type="dxa"/>
          </w:tblCellMar>
        </w:tblPrEx>
        <w:trPr>
          <w:trHeight w:val="675" w:hRule="atLeast"/>
        </w:trPr>
        <w:tc>
          <w:tcPr>
            <w:tcW w:w="9747" w:type="dxa"/>
            <w:gridSpan w:val="9"/>
            <w:tcBorders>
              <w:top w:val="nil"/>
              <w:left w:val="nil"/>
              <w:bottom w:val="nil"/>
              <w:right w:val="nil"/>
            </w:tcBorders>
            <w:shd w:val="clear" w:color="auto" w:fill="auto"/>
            <w:vAlign w:val="center"/>
          </w:tcPr>
          <w:p w14:paraId="1CCE47F2">
            <w:pPr>
              <w:pStyle w:val="2"/>
              <w:spacing w:before="166"/>
              <w:jc w:val="center"/>
              <w:rPr>
                <w:rFonts w:hAnsi="宋体" w:cs="宋体"/>
                <w:b/>
                <w:bCs/>
                <w:sz w:val="32"/>
                <w:szCs w:val="32"/>
              </w:rPr>
            </w:pPr>
            <w:r>
              <w:rPr>
                <w:rFonts w:hint="eastAsia" w:hAnsi="宋体" w:cs="宋体"/>
                <w:b/>
                <w:bCs/>
                <w:sz w:val="32"/>
                <w:szCs w:val="32"/>
              </w:rPr>
              <w:t>2021年度专项（项目）资金绩效自评表</w:t>
            </w:r>
          </w:p>
          <w:p w14:paraId="316BB126">
            <w:pPr>
              <w:widowControl/>
              <w:jc w:val="center"/>
              <w:textAlignment w:val="center"/>
              <w:rPr>
                <w:rFonts w:ascii="仿宋_GB2312" w:hAnsi="宋体" w:cs="宋体"/>
                <w:b/>
                <w:sz w:val="28"/>
                <w:szCs w:val="28"/>
              </w:rPr>
            </w:pPr>
            <w:r>
              <w:rPr>
                <w:rFonts w:hint="eastAsia" w:ascii="仿宋_GB2312" w:hAnsi="宋体" w:cs="宋体"/>
                <w:b/>
                <w:sz w:val="28"/>
                <w:szCs w:val="28"/>
              </w:rPr>
              <w:t>（福彩圆梦孤儿助学工程项目）</w:t>
            </w:r>
          </w:p>
        </w:tc>
        <w:tc>
          <w:tcPr>
            <w:tcW w:w="236" w:type="dxa"/>
            <w:tcBorders>
              <w:top w:val="nil"/>
              <w:left w:val="nil"/>
              <w:bottom w:val="nil"/>
              <w:right w:val="nil"/>
            </w:tcBorders>
            <w:shd w:val="clear" w:color="auto" w:fill="auto"/>
            <w:vAlign w:val="center"/>
          </w:tcPr>
          <w:p w14:paraId="0DF7F9CC">
            <w:pPr>
              <w:widowControl/>
              <w:jc w:val="center"/>
              <w:textAlignment w:val="center"/>
              <w:rPr>
                <w:rFonts w:ascii="宋体" w:hAnsi="宋体" w:cs="宋体"/>
                <w:b/>
                <w:kern w:val="0"/>
                <w:szCs w:val="32"/>
              </w:rPr>
            </w:pPr>
          </w:p>
        </w:tc>
      </w:tr>
      <w:tr w14:paraId="193F9159">
        <w:tblPrEx>
          <w:tblCellMar>
            <w:top w:w="0" w:type="dxa"/>
            <w:left w:w="108" w:type="dxa"/>
            <w:bottom w:w="0" w:type="dxa"/>
            <w:right w:w="108" w:type="dxa"/>
          </w:tblCellMar>
        </w:tblPrEx>
        <w:trPr>
          <w:gridAfter w:val="1"/>
          <w:wAfter w:w="236" w:type="dxa"/>
          <w:trHeight w:val="254" w:hRule="atLeast"/>
        </w:trPr>
        <w:tc>
          <w:tcPr>
            <w:tcW w:w="2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100F2">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主管部门及代码</w:t>
            </w:r>
          </w:p>
        </w:tc>
        <w:tc>
          <w:tcPr>
            <w:tcW w:w="35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F35413">
            <w:pPr>
              <w:widowControl/>
              <w:spacing w:line="300" w:lineRule="exact"/>
              <w:textAlignment w:val="center"/>
              <w:rPr>
                <w:rFonts w:ascii="仿宋_GB2312" w:hAnsi="仿宋_GB2312" w:cs="仿宋_GB2312"/>
                <w:sz w:val="24"/>
              </w:rPr>
            </w:pPr>
            <w:r>
              <w:rPr>
                <w:rFonts w:hint="eastAsia" w:ascii="仿宋_GB2312" w:hAnsi="仿宋_GB2312" w:cs="仿宋_GB2312"/>
                <w:sz w:val="24"/>
              </w:rPr>
              <w:t>攀枝花市民政局501001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E467">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实施单位</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A2E21">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攀枝花市儿童福利院</w:t>
            </w:r>
          </w:p>
        </w:tc>
      </w:tr>
      <w:tr w14:paraId="3B9D22B9">
        <w:tblPrEx>
          <w:tblCellMar>
            <w:top w:w="0" w:type="dxa"/>
            <w:left w:w="108" w:type="dxa"/>
            <w:bottom w:w="0" w:type="dxa"/>
            <w:right w:w="108" w:type="dxa"/>
          </w:tblCellMar>
        </w:tblPrEx>
        <w:trPr>
          <w:gridAfter w:val="1"/>
          <w:wAfter w:w="236" w:type="dxa"/>
          <w:trHeight w:val="341" w:hRule="atLeast"/>
        </w:trPr>
        <w:tc>
          <w:tcPr>
            <w:tcW w:w="29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55DBD">
            <w:pPr>
              <w:widowControl/>
              <w:spacing w:line="30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项目预算</w:t>
            </w:r>
          </w:p>
          <w:p w14:paraId="524DA87E">
            <w:pPr>
              <w:widowControl/>
              <w:spacing w:line="30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执行情况</w:t>
            </w:r>
          </w:p>
          <w:p w14:paraId="1B0FD984">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（万元）</w:t>
            </w: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AACE1">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预算数：</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ABB4">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4655">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执行数：</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D8EFD">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1</w:t>
            </w:r>
          </w:p>
        </w:tc>
      </w:tr>
      <w:tr w14:paraId="3C3085AE">
        <w:tblPrEx>
          <w:tblCellMar>
            <w:top w:w="0" w:type="dxa"/>
            <w:left w:w="108" w:type="dxa"/>
            <w:bottom w:w="0" w:type="dxa"/>
            <w:right w:w="108" w:type="dxa"/>
          </w:tblCellMar>
        </w:tblPrEx>
        <w:trPr>
          <w:gridAfter w:val="1"/>
          <w:wAfter w:w="236" w:type="dxa"/>
          <w:trHeight w:val="555" w:hRule="atLeast"/>
        </w:trPr>
        <w:tc>
          <w:tcPr>
            <w:tcW w:w="2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719EB">
            <w:pPr>
              <w:widowControl/>
              <w:spacing w:line="300" w:lineRule="exact"/>
              <w:jc w:val="center"/>
              <w:rPr>
                <w:rFonts w:ascii="仿宋_GB2312" w:hAnsi="仿宋_GB2312" w:cs="仿宋_GB2312"/>
                <w:sz w:val="24"/>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63D477">
            <w:pPr>
              <w:widowControl/>
              <w:spacing w:line="30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14:paraId="273F7CE4">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262C2">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C3F7">
            <w:pPr>
              <w:widowControl/>
              <w:spacing w:line="30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14:paraId="008D97B9">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11132">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1</w:t>
            </w:r>
          </w:p>
        </w:tc>
      </w:tr>
      <w:tr w14:paraId="3ABC9C85">
        <w:tblPrEx>
          <w:tblCellMar>
            <w:top w:w="0" w:type="dxa"/>
            <w:left w:w="108" w:type="dxa"/>
            <w:bottom w:w="0" w:type="dxa"/>
            <w:right w:w="108" w:type="dxa"/>
          </w:tblCellMar>
        </w:tblPrEx>
        <w:trPr>
          <w:gridAfter w:val="1"/>
          <w:wAfter w:w="236" w:type="dxa"/>
          <w:trHeight w:val="341" w:hRule="atLeast"/>
        </w:trPr>
        <w:tc>
          <w:tcPr>
            <w:tcW w:w="29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74B96">
            <w:pPr>
              <w:widowControl/>
              <w:spacing w:line="300" w:lineRule="exact"/>
              <w:jc w:val="center"/>
              <w:rPr>
                <w:rFonts w:ascii="仿宋_GB2312" w:hAnsi="仿宋_GB2312" w:cs="仿宋_GB2312"/>
                <w:sz w:val="24"/>
              </w:rPr>
            </w:pPr>
          </w:p>
        </w:tc>
        <w:tc>
          <w:tcPr>
            <w:tcW w:w="1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533B3">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62FC">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0</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DEBA">
            <w:pPr>
              <w:widowControl/>
              <w:spacing w:line="30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EC6B5">
            <w:pPr>
              <w:widowControl/>
              <w:spacing w:line="300" w:lineRule="exact"/>
              <w:jc w:val="center"/>
              <w:textAlignment w:val="center"/>
              <w:rPr>
                <w:rFonts w:ascii="仿宋_GB2312" w:hAnsi="仿宋_GB2312" w:cs="仿宋_GB2312"/>
                <w:sz w:val="24"/>
              </w:rPr>
            </w:pPr>
            <w:r>
              <w:rPr>
                <w:rFonts w:hint="eastAsia" w:ascii="仿宋_GB2312" w:hAnsi="仿宋_GB2312" w:cs="仿宋_GB2312"/>
                <w:sz w:val="24"/>
              </w:rPr>
              <w:t>0</w:t>
            </w:r>
          </w:p>
        </w:tc>
      </w:tr>
      <w:tr w14:paraId="4C7FA2FE">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4CCCA">
            <w:pPr>
              <w:widowControl/>
              <w:spacing w:line="300" w:lineRule="exact"/>
              <w:jc w:val="center"/>
              <w:textAlignment w:val="center"/>
              <w:rPr>
                <w:rFonts w:ascii="仿宋_GB2312" w:hAnsi="仿宋_GB2312" w:cs="仿宋_GB2312"/>
                <w:kern w:val="0"/>
                <w:sz w:val="24"/>
              </w:rPr>
            </w:pPr>
            <w:r>
              <w:rPr>
                <w:rFonts w:hint="eastAsia" w:ascii="仿宋_GB2312" w:hAnsi="仿宋_GB2312" w:cs="仿宋_GB2312"/>
                <w:kern w:val="0"/>
                <w:sz w:val="24"/>
              </w:rPr>
              <w:t>年度总体目标</w:t>
            </w:r>
          </w:p>
          <w:p w14:paraId="4C0FCFD3">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完成情况</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3ABF93">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预期目标</w:t>
            </w:r>
          </w:p>
        </w:tc>
        <w:tc>
          <w:tcPr>
            <w:tcW w:w="3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6AF26">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目标实际完成情况</w:t>
            </w:r>
          </w:p>
        </w:tc>
      </w:tr>
      <w:tr w14:paraId="58CB01D7">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ADAAA">
            <w:pPr>
              <w:widowControl/>
              <w:spacing w:line="300" w:lineRule="exact"/>
              <w:jc w:val="center"/>
              <w:rPr>
                <w:rFonts w:ascii="仿宋_GB2312" w:hAnsi="仿宋_GB2312" w:cs="仿宋_GB2312"/>
                <w:sz w:val="24"/>
              </w:rPr>
            </w:pP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tcPr>
          <w:p w14:paraId="25AC33EE">
            <w:pPr>
              <w:widowControl/>
              <w:spacing w:line="300" w:lineRule="exact"/>
              <w:jc w:val="left"/>
              <w:textAlignment w:val="top"/>
              <w:rPr>
                <w:rFonts w:ascii="仿宋_GB2312" w:hAnsi="仿宋_GB2312" w:cs="仿宋_GB2312"/>
                <w:sz w:val="24"/>
              </w:rPr>
            </w:pPr>
            <w:r>
              <w:rPr>
                <w:rFonts w:hint="eastAsia" w:ascii="仿宋_GB2312" w:hAnsi="仿宋_GB2312" w:cs="仿宋_GB2312"/>
                <w:sz w:val="24"/>
              </w:rPr>
              <w:t>资助我院在读成年孤儿1人就学，确保其更好的完成学业。</w:t>
            </w:r>
          </w:p>
        </w:tc>
        <w:tc>
          <w:tcPr>
            <w:tcW w:w="3286" w:type="dxa"/>
            <w:gridSpan w:val="3"/>
            <w:tcBorders>
              <w:top w:val="single" w:color="000000" w:sz="4" w:space="0"/>
              <w:left w:val="single" w:color="000000" w:sz="4" w:space="0"/>
              <w:bottom w:val="single" w:color="000000" w:sz="4" w:space="0"/>
              <w:right w:val="single" w:color="000000" w:sz="4" w:space="0"/>
            </w:tcBorders>
            <w:shd w:val="clear" w:color="auto" w:fill="auto"/>
          </w:tcPr>
          <w:p w14:paraId="0229E253">
            <w:pPr>
              <w:widowControl/>
              <w:spacing w:line="300" w:lineRule="exact"/>
              <w:jc w:val="left"/>
              <w:textAlignment w:val="top"/>
              <w:rPr>
                <w:rFonts w:ascii="仿宋_GB2312" w:hAnsi="仿宋_GB2312" w:cs="仿宋_GB2312"/>
                <w:sz w:val="24"/>
              </w:rPr>
            </w:pPr>
            <w:r>
              <w:rPr>
                <w:rFonts w:hint="eastAsia" w:ascii="仿宋_GB2312" w:hAnsi="仿宋_GB2312" w:cs="仿宋_GB2312"/>
                <w:sz w:val="24"/>
              </w:rPr>
              <w:t>完成了一名成年孤儿上大学2021年的部分学费问题，让其能更好的完成学业。</w:t>
            </w:r>
          </w:p>
        </w:tc>
      </w:tr>
      <w:tr w14:paraId="6E65E0A9">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14:paraId="40A06CE5">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年度绩效指标完成情况</w:t>
            </w:r>
          </w:p>
        </w:tc>
        <w:tc>
          <w:tcPr>
            <w:tcW w:w="1109" w:type="dxa"/>
            <w:gridSpan w:val="2"/>
            <w:tcBorders>
              <w:top w:val="single" w:color="000000" w:sz="4" w:space="0"/>
              <w:left w:val="nil"/>
              <w:bottom w:val="single" w:color="000000" w:sz="4" w:space="0"/>
              <w:right w:val="single" w:color="000000" w:sz="4" w:space="0"/>
            </w:tcBorders>
            <w:shd w:val="clear" w:color="auto" w:fill="auto"/>
            <w:vAlign w:val="center"/>
          </w:tcPr>
          <w:p w14:paraId="27F8AA4E">
            <w:pPr>
              <w:widowControl/>
              <w:spacing w:line="30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14:paraId="1FC10EA1">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103E">
            <w:pPr>
              <w:widowControl/>
              <w:spacing w:line="30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14:paraId="4DA6B4A1">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BA80A">
            <w:pPr>
              <w:widowControl/>
              <w:spacing w:line="30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14:paraId="73FC913F">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DDA62">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10F3">
            <w:pPr>
              <w:widowControl/>
              <w:spacing w:line="30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14:paraId="4B371268">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4ED5B158">
            <w:pPr>
              <w:widowControl/>
              <w:spacing w:line="300" w:lineRule="exact"/>
              <w:jc w:val="center"/>
              <w:rPr>
                <w:rFonts w:ascii="仿宋_GB2312" w:hAnsi="仿宋_GB2312" w:cs="仿宋_GB2312"/>
                <w:sz w:val="24"/>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CD5D19">
            <w:pPr>
              <w:widowControl/>
              <w:spacing w:line="30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14:paraId="2713FD22">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47A805">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E9BDD33">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完成1名成年孤儿上学费用1万元</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0F6ED1D">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1万元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D2E66F">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1万元</w:t>
            </w:r>
          </w:p>
        </w:tc>
      </w:tr>
      <w:tr w14:paraId="30462D12">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0EB830F1">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ECA62F0">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3E5A17">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B22C1DA">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经费使用合规率</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A39D43D">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100%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92E433">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101D8780">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14:paraId="3AB8F3AD">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5FB24D3">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3843E0">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DC012C1">
            <w:pPr>
              <w:widowControl/>
              <w:spacing w:line="300" w:lineRule="exact"/>
              <w:jc w:val="center"/>
              <w:textAlignment w:val="bottom"/>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完成时间</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17C4A42">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AB2420">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2021年内</w:t>
            </w:r>
          </w:p>
        </w:tc>
      </w:tr>
      <w:tr w14:paraId="060A34E6">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0EBF989A">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2852595">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56D913">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E69B9DD">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孤儿学费</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E2C853E">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1万元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45C5AE">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1万元</w:t>
            </w:r>
          </w:p>
        </w:tc>
      </w:tr>
      <w:tr w14:paraId="2698630A">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69DCDF0A">
            <w:pPr>
              <w:widowControl/>
              <w:spacing w:line="300" w:lineRule="exact"/>
              <w:jc w:val="center"/>
              <w:rPr>
                <w:rFonts w:ascii="仿宋_GB2312" w:hAnsi="仿宋_GB2312" w:cs="仿宋_GB2312"/>
                <w:sz w:val="24"/>
              </w:rPr>
            </w:pP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2C424">
            <w:pPr>
              <w:widowControl/>
              <w:spacing w:line="30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效益</w:t>
            </w:r>
          </w:p>
          <w:p w14:paraId="044BE3C7">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0793C4">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经济效益  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EB5CFF8">
            <w:pPr>
              <w:widowControl/>
              <w:spacing w:line="300" w:lineRule="exact"/>
              <w:jc w:val="center"/>
              <w:textAlignment w:val="bottom"/>
              <w:rPr>
                <w:rFonts w:ascii="仿宋_GB2312" w:hAnsi="仿宋_GB2312" w:cs="仿宋_GB2312"/>
                <w:sz w:val="24"/>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E52A55F">
            <w:pPr>
              <w:widowControl/>
              <w:spacing w:line="300" w:lineRule="exact"/>
              <w:jc w:val="center"/>
              <w:textAlignment w:val="bottom"/>
              <w:rPr>
                <w:rFonts w:ascii="仿宋_GB2312" w:hAnsi="仿宋_GB2312" w:cs="仿宋_GB2312"/>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2B998">
            <w:pPr>
              <w:widowControl/>
              <w:spacing w:line="300" w:lineRule="exact"/>
              <w:jc w:val="center"/>
              <w:textAlignment w:val="bottom"/>
              <w:rPr>
                <w:rFonts w:ascii="仿宋_GB2312" w:hAnsi="仿宋_GB2312" w:cs="仿宋_GB2312"/>
                <w:sz w:val="24"/>
              </w:rPr>
            </w:pPr>
          </w:p>
        </w:tc>
      </w:tr>
      <w:tr w14:paraId="5CD189C3">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189849B4">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3FB76C5">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B0C1F">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社会效益  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FBCD5C2">
            <w:pPr>
              <w:widowControl/>
              <w:spacing w:line="300" w:lineRule="exact"/>
              <w:jc w:val="left"/>
              <w:textAlignment w:val="bottom"/>
              <w:rPr>
                <w:rFonts w:ascii="仿宋_GB2312" w:hAnsi="仿宋_GB2312" w:cs="仿宋_GB2312"/>
                <w:sz w:val="24"/>
              </w:rPr>
            </w:pPr>
            <w:r>
              <w:rPr>
                <w:rFonts w:hint="eastAsia" w:ascii="仿宋_GB2312" w:hAnsi="仿宋_GB2312" w:cs="仿宋_GB2312"/>
                <w:sz w:val="24"/>
              </w:rPr>
              <w:t>帮助孤儿完成学业，带动儿童福利事业发展</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8E79196">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效果明显</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E30EEC">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239C9B7C">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14:paraId="151916E4">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03F0A7B">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70C2D2">
            <w:pPr>
              <w:widowControl/>
              <w:spacing w:line="300" w:lineRule="exact"/>
              <w:ind w:left="510" w:leftChars="87" w:hanging="236" w:hangingChars="100"/>
              <w:jc w:val="center"/>
              <w:textAlignment w:val="bottom"/>
              <w:rPr>
                <w:rFonts w:ascii="仿宋_GB2312" w:hAnsi="仿宋_GB2312" w:cs="仿宋_GB2312"/>
                <w:sz w:val="24"/>
              </w:rPr>
            </w:pPr>
            <w:r>
              <w:rPr>
                <w:rFonts w:hint="eastAsia" w:ascii="仿宋_GB2312" w:hAnsi="仿宋_GB2312" w:cs="仿宋_GB2312"/>
                <w:kern w:val="0"/>
                <w:sz w:val="24"/>
              </w:rPr>
              <w:t>生态益指标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88EC70B">
            <w:pPr>
              <w:widowControl/>
              <w:spacing w:line="300" w:lineRule="exact"/>
              <w:jc w:val="center"/>
              <w:textAlignment w:val="bottom"/>
              <w:rPr>
                <w:rFonts w:ascii="仿宋_GB2312" w:hAnsi="仿宋_GB2312" w:cs="仿宋_GB2312"/>
                <w:sz w:val="24"/>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7792AC4C">
            <w:pPr>
              <w:widowControl/>
              <w:spacing w:line="300" w:lineRule="exact"/>
              <w:jc w:val="center"/>
              <w:textAlignment w:val="bottom"/>
              <w:rPr>
                <w:rFonts w:ascii="仿宋_GB2312" w:hAnsi="仿宋_GB2312" w:cs="仿宋_GB2312"/>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053C97">
            <w:pPr>
              <w:widowControl/>
              <w:spacing w:line="300" w:lineRule="exact"/>
              <w:jc w:val="center"/>
              <w:textAlignment w:val="bottom"/>
              <w:rPr>
                <w:rFonts w:ascii="仿宋_GB2312" w:hAnsi="仿宋_GB2312" w:cs="仿宋_GB2312"/>
                <w:sz w:val="24"/>
              </w:rPr>
            </w:pPr>
          </w:p>
        </w:tc>
      </w:tr>
      <w:tr w14:paraId="366CE4B3">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14:paraId="3B341F53">
            <w:pPr>
              <w:widowControl/>
              <w:spacing w:line="300" w:lineRule="exact"/>
              <w:jc w:val="center"/>
              <w:rPr>
                <w:rFonts w:ascii="仿宋_GB2312" w:hAnsi="仿宋_GB2312" w:cs="仿宋_GB2312"/>
                <w:sz w:val="24"/>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AE0EC99">
            <w:pPr>
              <w:widowControl/>
              <w:spacing w:line="30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4512131">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可持续影响指标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9475371">
            <w:pPr>
              <w:widowControl/>
              <w:spacing w:line="300" w:lineRule="exact"/>
              <w:jc w:val="center"/>
              <w:textAlignment w:val="bottom"/>
              <w:rPr>
                <w:rFonts w:ascii="仿宋_GB2312" w:hAnsi="仿宋_GB2312" w:cs="仿宋_GB2312"/>
                <w:sz w:val="24"/>
              </w:rPr>
            </w:pP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ED41CF2">
            <w:pPr>
              <w:widowControl/>
              <w:spacing w:line="300" w:lineRule="exact"/>
              <w:jc w:val="center"/>
              <w:textAlignment w:val="bottom"/>
              <w:rPr>
                <w:rFonts w:ascii="仿宋_GB2312" w:hAnsi="仿宋_GB2312" w:cs="仿宋_GB2312"/>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12BC0F">
            <w:pPr>
              <w:widowControl/>
              <w:spacing w:line="300" w:lineRule="exact"/>
              <w:jc w:val="center"/>
              <w:textAlignment w:val="bottom"/>
              <w:rPr>
                <w:rFonts w:ascii="仿宋_GB2312" w:hAnsi="仿宋_GB2312" w:cs="仿宋_GB2312"/>
                <w:sz w:val="24"/>
              </w:rPr>
            </w:pPr>
          </w:p>
        </w:tc>
      </w:tr>
      <w:tr w14:paraId="3B9BCFCC">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14:paraId="563FDA68">
            <w:pPr>
              <w:widowControl/>
              <w:spacing w:line="300" w:lineRule="exact"/>
              <w:jc w:val="center"/>
              <w:rPr>
                <w:rFonts w:ascii="仿宋_GB2312" w:hAnsi="仿宋_GB2312" w:cs="仿宋_GB2312"/>
                <w:sz w:val="24"/>
              </w:rPr>
            </w:pP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1D3B5BD">
            <w:pPr>
              <w:widowControl/>
              <w:spacing w:line="30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满意</w:t>
            </w:r>
          </w:p>
          <w:p w14:paraId="420ED370">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EB76F8">
            <w:pPr>
              <w:widowControl/>
              <w:spacing w:line="300" w:lineRule="exact"/>
              <w:jc w:val="center"/>
              <w:textAlignment w:val="bottom"/>
              <w:rPr>
                <w:rFonts w:ascii="仿宋_GB2312" w:hAnsi="仿宋_GB2312" w:cs="仿宋_GB2312"/>
                <w:kern w:val="0"/>
                <w:sz w:val="24"/>
              </w:rPr>
            </w:pPr>
            <w:r>
              <w:rPr>
                <w:rFonts w:hint="eastAsia" w:ascii="仿宋_GB2312" w:hAnsi="仿宋_GB2312" w:cs="仿宋_GB2312"/>
                <w:kern w:val="0"/>
                <w:sz w:val="24"/>
              </w:rPr>
              <w:t>满意度</w:t>
            </w:r>
          </w:p>
          <w:p w14:paraId="4A1DA052">
            <w:pPr>
              <w:widowControl/>
              <w:spacing w:line="30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C832D43">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受助儿童满意度</w:t>
            </w:r>
          </w:p>
        </w:tc>
        <w:tc>
          <w:tcPr>
            <w:tcW w:w="158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F6F2602">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≥90%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395CF7">
            <w:pPr>
              <w:widowControl/>
              <w:spacing w:line="300" w:lineRule="exact"/>
              <w:jc w:val="center"/>
              <w:textAlignment w:val="bottom"/>
              <w:rPr>
                <w:rFonts w:ascii="仿宋_GB2312" w:hAnsi="仿宋_GB2312" w:cs="仿宋_GB2312"/>
                <w:sz w:val="24"/>
              </w:rPr>
            </w:pPr>
            <w:r>
              <w:rPr>
                <w:rFonts w:hint="eastAsia" w:ascii="仿宋_GB2312" w:hAnsi="仿宋_GB2312" w:cs="仿宋_GB2312"/>
                <w:sz w:val="24"/>
              </w:rPr>
              <w:t>≥90%</w:t>
            </w:r>
          </w:p>
        </w:tc>
      </w:tr>
    </w:tbl>
    <w:p w14:paraId="75F40E6D">
      <w:pPr>
        <w:pStyle w:val="2"/>
        <w:spacing w:before="166"/>
      </w:pPr>
    </w:p>
    <w:p w14:paraId="61B52764">
      <w:pPr>
        <w:spacing w:line="572" w:lineRule="exact"/>
        <w:jc w:val="left"/>
        <w:outlineLvl w:val="0"/>
        <w:rPr>
          <w:rFonts w:ascii="仿宋_GB2312" w:hAnsi="仿宋_GB2312" w:cs="仿宋_GB2312"/>
          <w:szCs w:val="32"/>
        </w:rPr>
      </w:pPr>
      <w:r>
        <w:rPr>
          <w:rFonts w:hint="eastAsia" w:ascii="黑体" w:hAnsi="黑体" w:eastAsia="黑体" w:cs="黑体"/>
          <w:szCs w:val="32"/>
        </w:rPr>
        <w:t>附件5</w:t>
      </w:r>
    </w:p>
    <w:tbl>
      <w:tblPr>
        <w:tblStyle w:val="14"/>
        <w:tblpPr w:leftFromText="180" w:rightFromText="180" w:vertAnchor="text" w:horzAnchor="page" w:tblpX="1281" w:tblpY="660"/>
        <w:tblOverlap w:val="never"/>
        <w:tblW w:w="10125" w:type="dxa"/>
        <w:tblInd w:w="0" w:type="dxa"/>
        <w:tblLayout w:type="fixed"/>
        <w:tblCellMar>
          <w:top w:w="0" w:type="dxa"/>
          <w:left w:w="108" w:type="dxa"/>
          <w:bottom w:w="0" w:type="dxa"/>
          <w:right w:w="108" w:type="dxa"/>
        </w:tblCellMar>
      </w:tblPr>
      <w:tblGrid>
        <w:gridCol w:w="1809"/>
        <w:gridCol w:w="842"/>
        <w:gridCol w:w="292"/>
        <w:gridCol w:w="1418"/>
        <w:gridCol w:w="392"/>
        <w:gridCol w:w="1309"/>
        <w:gridCol w:w="1434"/>
        <w:gridCol w:w="834"/>
        <w:gridCol w:w="1559"/>
        <w:gridCol w:w="236"/>
      </w:tblGrid>
      <w:tr w14:paraId="66A15AEB">
        <w:tblPrEx>
          <w:tblCellMar>
            <w:top w:w="0" w:type="dxa"/>
            <w:left w:w="108" w:type="dxa"/>
            <w:bottom w:w="0" w:type="dxa"/>
            <w:right w:w="108" w:type="dxa"/>
          </w:tblCellMar>
        </w:tblPrEx>
        <w:trPr>
          <w:trHeight w:val="675" w:hRule="atLeast"/>
        </w:trPr>
        <w:tc>
          <w:tcPr>
            <w:tcW w:w="9889" w:type="dxa"/>
            <w:gridSpan w:val="9"/>
            <w:tcBorders>
              <w:top w:val="nil"/>
              <w:left w:val="nil"/>
              <w:bottom w:val="nil"/>
              <w:right w:val="nil"/>
            </w:tcBorders>
            <w:shd w:val="clear" w:color="auto" w:fill="auto"/>
            <w:vAlign w:val="center"/>
          </w:tcPr>
          <w:p w14:paraId="0197A367">
            <w:pPr>
              <w:pStyle w:val="2"/>
              <w:spacing w:before="166"/>
              <w:jc w:val="center"/>
              <w:rPr>
                <w:rFonts w:hAnsi="宋体" w:cs="宋体"/>
                <w:b/>
                <w:bCs/>
                <w:sz w:val="32"/>
                <w:szCs w:val="32"/>
              </w:rPr>
            </w:pPr>
            <w:r>
              <w:rPr>
                <w:rFonts w:hint="eastAsia" w:hAnsi="宋体" w:cs="宋体"/>
                <w:b/>
                <w:bCs/>
                <w:sz w:val="32"/>
                <w:szCs w:val="32"/>
              </w:rPr>
              <w:t>2021年度专项（项目）资金绩效自评表</w:t>
            </w:r>
          </w:p>
          <w:p w14:paraId="0FBA2F60">
            <w:pPr>
              <w:widowControl/>
              <w:jc w:val="center"/>
              <w:textAlignment w:val="center"/>
              <w:rPr>
                <w:rFonts w:ascii="仿宋_GB2312" w:hAnsi="宋体" w:cs="宋体"/>
                <w:b/>
                <w:sz w:val="28"/>
                <w:szCs w:val="28"/>
              </w:rPr>
            </w:pPr>
            <w:r>
              <w:rPr>
                <w:rFonts w:hint="eastAsia" w:ascii="仿宋_GB2312" w:hAnsi="宋体" w:cs="宋体"/>
                <w:b/>
                <w:sz w:val="28"/>
                <w:szCs w:val="28"/>
              </w:rPr>
              <w:t>（孤儿医疗康复“明天计划”项目）</w:t>
            </w:r>
          </w:p>
        </w:tc>
        <w:tc>
          <w:tcPr>
            <w:tcW w:w="236" w:type="dxa"/>
            <w:tcBorders>
              <w:top w:val="nil"/>
              <w:left w:val="nil"/>
              <w:bottom w:val="nil"/>
              <w:right w:val="nil"/>
            </w:tcBorders>
            <w:shd w:val="clear" w:color="auto" w:fill="auto"/>
            <w:vAlign w:val="center"/>
          </w:tcPr>
          <w:p w14:paraId="527FD2E0">
            <w:pPr>
              <w:widowControl/>
              <w:jc w:val="center"/>
              <w:textAlignment w:val="center"/>
              <w:rPr>
                <w:rFonts w:ascii="宋体" w:hAnsi="宋体" w:cs="宋体"/>
                <w:b/>
                <w:kern w:val="0"/>
                <w:szCs w:val="32"/>
              </w:rPr>
            </w:pPr>
          </w:p>
        </w:tc>
      </w:tr>
      <w:tr w14:paraId="402E18A8">
        <w:tblPrEx>
          <w:tblCellMar>
            <w:top w:w="0" w:type="dxa"/>
            <w:left w:w="108" w:type="dxa"/>
            <w:bottom w:w="0" w:type="dxa"/>
            <w:right w:w="108" w:type="dxa"/>
          </w:tblCellMar>
        </w:tblPrEx>
        <w:trPr>
          <w:gridAfter w:val="1"/>
          <w:wAfter w:w="236" w:type="dxa"/>
          <w:trHeight w:val="254" w:hRule="atLeast"/>
        </w:trPr>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1B81F8">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主管部门及代码</w:t>
            </w:r>
          </w:p>
        </w:tc>
        <w:tc>
          <w:tcPr>
            <w:tcW w:w="34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BD1B49">
            <w:pPr>
              <w:widowControl/>
              <w:spacing w:line="320" w:lineRule="exact"/>
              <w:textAlignment w:val="center"/>
              <w:rPr>
                <w:rFonts w:ascii="仿宋_GB2312" w:hAnsi="仿宋_GB2312" w:cs="仿宋_GB2312"/>
                <w:sz w:val="24"/>
              </w:rPr>
            </w:pPr>
            <w:r>
              <w:rPr>
                <w:rFonts w:hint="eastAsia" w:ascii="仿宋_GB2312" w:hAnsi="仿宋_GB2312" w:cs="仿宋_GB2312"/>
                <w:sz w:val="24"/>
              </w:rPr>
              <w:t>攀枝花市民政局501001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66C3">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实施单位</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F3995">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攀枝花市儿童福利院</w:t>
            </w:r>
          </w:p>
        </w:tc>
      </w:tr>
      <w:tr w14:paraId="25C063A9">
        <w:tblPrEx>
          <w:tblCellMar>
            <w:top w:w="0" w:type="dxa"/>
            <w:left w:w="108" w:type="dxa"/>
            <w:bottom w:w="0" w:type="dxa"/>
            <w:right w:w="108" w:type="dxa"/>
          </w:tblCellMar>
        </w:tblPrEx>
        <w:trPr>
          <w:gridAfter w:val="1"/>
          <w:wAfter w:w="236" w:type="dxa"/>
          <w:trHeight w:val="341" w:hRule="atLeast"/>
        </w:trPr>
        <w:tc>
          <w:tcPr>
            <w:tcW w:w="26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79A36">
            <w:pPr>
              <w:widowControl/>
              <w:spacing w:line="32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项目预算</w:t>
            </w:r>
          </w:p>
          <w:p w14:paraId="63294EEA">
            <w:pPr>
              <w:widowControl/>
              <w:spacing w:line="320" w:lineRule="exact"/>
              <w:jc w:val="center"/>
              <w:textAlignment w:val="center"/>
              <w:rPr>
                <w:rFonts w:hint="eastAsia" w:ascii="仿宋_GB2312" w:hAnsi="仿宋_GB2312" w:eastAsia="仿宋_GB2312" w:cs="仿宋_GB2312"/>
                <w:kern w:val="0"/>
                <w:sz w:val="24"/>
                <w:lang w:eastAsia="zh-CN"/>
              </w:rPr>
            </w:pPr>
            <w:r>
              <w:rPr>
                <w:rFonts w:hint="eastAsia" w:ascii="仿宋_GB2312" w:hAnsi="仿宋_GB2312" w:cs="仿宋_GB2312"/>
                <w:kern w:val="0"/>
                <w:sz w:val="24"/>
              </w:rPr>
              <w:t>执行情况</w:t>
            </w:r>
          </w:p>
          <w:p w14:paraId="5D68C81B">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（万元）</w:t>
            </w: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35835">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预算数：</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12EF">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0.34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3CC7">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 xml:space="preserve"> 执行数：</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93B76">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0.34</w:t>
            </w:r>
          </w:p>
        </w:tc>
      </w:tr>
      <w:tr w14:paraId="062AB4AA">
        <w:tblPrEx>
          <w:tblCellMar>
            <w:top w:w="0" w:type="dxa"/>
            <w:left w:w="108" w:type="dxa"/>
            <w:bottom w:w="0" w:type="dxa"/>
            <w:right w:w="108" w:type="dxa"/>
          </w:tblCellMar>
        </w:tblPrEx>
        <w:trPr>
          <w:gridAfter w:val="1"/>
          <w:wAfter w:w="236" w:type="dxa"/>
          <w:trHeight w:val="555" w:hRule="atLeast"/>
        </w:trPr>
        <w:tc>
          <w:tcPr>
            <w:tcW w:w="26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8856D">
            <w:pPr>
              <w:spacing w:line="320" w:lineRule="exact"/>
              <w:jc w:val="center"/>
              <w:rPr>
                <w:rFonts w:ascii="仿宋_GB2312" w:hAnsi="仿宋_GB2312" w:cs="仿宋_GB2312"/>
                <w:sz w:val="24"/>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E3C169">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14:paraId="4468A785">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2392">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0.34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A080">
            <w:pPr>
              <w:widowControl/>
              <w:spacing w:line="320" w:lineRule="exact"/>
              <w:jc w:val="left"/>
              <w:textAlignment w:val="center"/>
              <w:rPr>
                <w:rFonts w:ascii="仿宋_GB2312" w:hAnsi="仿宋_GB2312" w:cs="仿宋_GB2312"/>
                <w:kern w:val="0"/>
                <w:sz w:val="24"/>
              </w:rPr>
            </w:pPr>
            <w:r>
              <w:rPr>
                <w:rFonts w:hint="eastAsia" w:ascii="仿宋_GB2312" w:hAnsi="仿宋_GB2312" w:cs="仿宋_GB2312"/>
                <w:kern w:val="0"/>
                <w:sz w:val="24"/>
              </w:rPr>
              <w:t>其中：</w:t>
            </w:r>
          </w:p>
          <w:p w14:paraId="610C9817">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财政拨款</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CC863">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0.34</w:t>
            </w:r>
          </w:p>
        </w:tc>
      </w:tr>
      <w:tr w14:paraId="71BCD3DA">
        <w:tblPrEx>
          <w:tblCellMar>
            <w:top w:w="0" w:type="dxa"/>
            <w:left w:w="108" w:type="dxa"/>
            <w:bottom w:w="0" w:type="dxa"/>
            <w:right w:w="108" w:type="dxa"/>
          </w:tblCellMar>
        </w:tblPrEx>
        <w:trPr>
          <w:gridAfter w:val="1"/>
          <w:wAfter w:w="236" w:type="dxa"/>
          <w:trHeight w:val="341" w:hRule="atLeast"/>
        </w:trPr>
        <w:tc>
          <w:tcPr>
            <w:tcW w:w="26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0E6B8">
            <w:pPr>
              <w:spacing w:line="320" w:lineRule="exact"/>
              <w:jc w:val="center"/>
              <w:rPr>
                <w:rFonts w:ascii="仿宋_GB2312" w:hAnsi="仿宋_GB2312" w:cs="仿宋_GB2312"/>
                <w:sz w:val="24"/>
              </w:rPr>
            </w:pPr>
          </w:p>
        </w:tc>
        <w:tc>
          <w:tcPr>
            <w:tcW w:w="2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D5919">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2FFE">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DD65">
            <w:pPr>
              <w:widowControl/>
              <w:spacing w:line="320" w:lineRule="exact"/>
              <w:jc w:val="left"/>
              <w:textAlignment w:val="center"/>
              <w:rPr>
                <w:rFonts w:ascii="仿宋_GB2312" w:hAnsi="仿宋_GB2312" w:cs="仿宋_GB2312"/>
                <w:sz w:val="24"/>
              </w:rPr>
            </w:pPr>
            <w:r>
              <w:rPr>
                <w:rFonts w:hint="eastAsia" w:ascii="仿宋_GB2312" w:hAnsi="仿宋_GB2312" w:cs="仿宋_GB2312"/>
                <w:kern w:val="0"/>
                <w:sz w:val="24"/>
              </w:rPr>
              <w:t>其他资金</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A784C">
            <w:pPr>
              <w:widowControl/>
              <w:spacing w:line="320" w:lineRule="exact"/>
              <w:jc w:val="center"/>
              <w:textAlignment w:val="center"/>
              <w:rPr>
                <w:rFonts w:ascii="仿宋_GB2312" w:hAnsi="仿宋_GB2312" w:cs="仿宋_GB2312"/>
                <w:sz w:val="24"/>
              </w:rPr>
            </w:pPr>
            <w:r>
              <w:rPr>
                <w:rFonts w:hint="eastAsia" w:ascii="仿宋_GB2312" w:hAnsi="仿宋_GB2312" w:cs="仿宋_GB2312"/>
                <w:sz w:val="24"/>
              </w:rPr>
              <w:t>0</w:t>
            </w:r>
          </w:p>
        </w:tc>
      </w:tr>
      <w:tr w14:paraId="0698EC7D">
        <w:tblPrEx>
          <w:tblCellMar>
            <w:top w:w="0" w:type="dxa"/>
            <w:left w:w="108" w:type="dxa"/>
            <w:bottom w:w="0" w:type="dxa"/>
            <w:right w:w="108" w:type="dxa"/>
          </w:tblCellMar>
        </w:tblPrEx>
        <w:trPr>
          <w:gridAfter w:val="1"/>
          <w:wAfter w:w="236" w:type="dxa"/>
          <w:trHeight w:val="217" w:hRule="atLeast"/>
        </w:trPr>
        <w:tc>
          <w:tcPr>
            <w:tcW w:w="1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5DC1D">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年度总体目标</w:t>
            </w:r>
          </w:p>
          <w:p w14:paraId="38F7EEFE">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完成情况</w:t>
            </w: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3AD6A8">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预期目标</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7C6856">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目标实际完成情况</w:t>
            </w:r>
          </w:p>
        </w:tc>
      </w:tr>
      <w:tr w14:paraId="6C4B1CD0">
        <w:tblPrEx>
          <w:tblCellMar>
            <w:top w:w="0" w:type="dxa"/>
            <w:left w:w="108" w:type="dxa"/>
            <w:bottom w:w="0" w:type="dxa"/>
            <w:right w:w="108" w:type="dxa"/>
          </w:tblCellMar>
        </w:tblPrEx>
        <w:trPr>
          <w:gridAfter w:val="1"/>
          <w:wAfter w:w="236" w:type="dxa"/>
          <w:trHeight w:val="797"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8DE3A">
            <w:pPr>
              <w:spacing w:line="320" w:lineRule="exact"/>
              <w:jc w:val="center"/>
              <w:rPr>
                <w:rFonts w:ascii="仿宋_GB2312" w:hAnsi="仿宋_GB2312" w:cs="仿宋_GB2312"/>
                <w:sz w:val="24"/>
              </w:rPr>
            </w:pP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tcPr>
          <w:p w14:paraId="396D4939">
            <w:pPr>
              <w:widowControl/>
              <w:spacing w:line="320" w:lineRule="exact"/>
              <w:jc w:val="left"/>
              <w:textAlignment w:val="top"/>
              <w:rPr>
                <w:rFonts w:ascii="仿宋_GB2312" w:hAnsi="仿宋_GB2312" w:cs="仿宋_GB2312"/>
                <w:sz w:val="24"/>
              </w:rPr>
            </w:pPr>
            <w:r>
              <w:rPr>
                <w:rFonts w:hint="eastAsia" w:ascii="仿宋_GB2312" w:hAnsi="仿宋_GB2312" w:cs="仿宋_GB2312"/>
                <w:sz w:val="24"/>
              </w:rPr>
              <w:t>为孤残儿童这一特殊群体提供医疗康复“明天计划”福利项目，促进儿童福利事业发展。</w:t>
            </w:r>
          </w:p>
        </w:tc>
        <w:tc>
          <w:tcPr>
            <w:tcW w:w="3827" w:type="dxa"/>
            <w:gridSpan w:val="3"/>
            <w:tcBorders>
              <w:top w:val="single" w:color="000000" w:sz="4" w:space="0"/>
              <w:left w:val="single" w:color="000000" w:sz="4" w:space="0"/>
              <w:bottom w:val="single" w:color="000000" w:sz="4" w:space="0"/>
              <w:right w:val="single" w:color="000000" w:sz="4" w:space="0"/>
            </w:tcBorders>
            <w:shd w:val="clear" w:color="auto" w:fill="auto"/>
          </w:tcPr>
          <w:p w14:paraId="1774639A">
            <w:pPr>
              <w:widowControl/>
              <w:spacing w:line="320" w:lineRule="exact"/>
              <w:jc w:val="left"/>
              <w:textAlignment w:val="top"/>
              <w:rPr>
                <w:rFonts w:ascii="仿宋_GB2312" w:hAnsi="仿宋_GB2312" w:cs="仿宋_GB2312"/>
                <w:sz w:val="24"/>
              </w:rPr>
            </w:pPr>
            <w:r>
              <w:rPr>
                <w:rFonts w:hint="eastAsia" w:ascii="仿宋_GB2312" w:hAnsi="仿宋_GB2312" w:cs="仿宋_GB2312"/>
                <w:sz w:val="24"/>
              </w:rPr>
              <w:t>为院内孤残儿童提供医疗住院、体检、康复等项目的有序开展，让院内孤残儿童医疗康复更有保障。</w:t>
            </w:r>
          </w:p>
        </w:tc>
      </w:tr>
      <w:tr w14:paraId="267FAD6C">
        <w:tblPrEx>
          <w:tblCellMar>
            <w:top w:w="0" w:type="dxa"/>
            <w:left w:w="108" w:type="dxa"/>
            <w:bottom w:w="0" w:type="dxa"/>
            <w:right w:w="108" w:type="dxa"/>
          </w:tblCellMar>
        </w:tblPrEx>
        <w:trPr>
          <w:gridAfter w:val="1"/>
          <w:wAfter w:w="236" w:type="dxa"/>
          <w:trHeight w:val="693" w:hRule="atLeast"/>
        </w:trPr>
        <w:tc>
          <w:tcPr>
            <w:tcW w:w="1809" w:type="dxa"/>
            <w:vMerge w:val="restart"/>
            <w:tcBorders>
              <w:top w:val="single" w:color="000000" w:sz="4" w:space="0"/>
              <w:left w:val="single" w:color="000000" w:sz="4" w:space="0"/>
              <w:right w:val="single" w:color="000000" w:sz="4" w:space="0"/>
            </w:tcBorders>
            <w:shd w:val="clear" w:color="auto" w:fill="auto"/>
            <w:vAlign w:val="center"/>
          </w:tcPr>
          <w:p w14:paraId="62911429">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年度绩效指标完成情况</w:t>
            </w: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14:paraId="51B17432">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一级</w:t>
            </w:r>
          </w:p>
          <w:p w14:paraId="08CE049E">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4B77">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二级</w:t>
            </w:r>
          </w:p>
          <w:p w14:paraId="4BB5B218">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99C5D">
            <w:pPr>
              <w:widowControl/>
              <w:spacing w:line="320" w:lineRule="exact"/>
              <w:jc w:val="center"/>
              <w:textAlignment w:val="center"/>
              <w:rPr>
                <w:rFonts w:ascii="仿宋_GB2312" w:hAnsi="仿宋_GB2312" w:cs="仿宋_GB2312"/>
                <w:kern w:val="0"/>
                <w:sz w:val="24"/>
              </w:rPr>
            </w:pPr>
            <w:r>
              <w:rPr>
                <w:rFonts w:hint="eastAsia" w:ascii="仿宋_GB2312" w:hAnsi="仿宋_GB2312" w:cs="仿宋_GB2312"/>
                <w:kern w:val="0"/>
                <w:sz w:val="24"/>
              </w:rPr>
              <w:t>三级</w:t>
            </w:r>
          </w:p>
          <w:p w14:paraId="23725FA5">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指标</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C79CD">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预期指标值</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C1E1">
            <w:pPr>
              <w:widowControl/>
              <w:spacing w:line="320" w:lineRule="exact"/>
              <w:jc w:val="center"/>
              <w:textAlignment w:val="center"/>
              <w:rPr>
                <w:rFonts w:ascii="仿宋_GB2312" w:hAnsi="仿宋_GB2312" w:cs="仿宋_GB2312"/>
                <w:sz w:val="24"/>
              </w:rPr>
            </w:pPr>
            <w:r>
              <w:rPr>
                <w:rFonts w:hint="eastAsia" w:ascii="仿宋_GB2312" w:hAnsi="仿宋_GB2312" w:cs="仿宋_GB2312"/>
                <w:kern w:val="0"/>
                <w:sz w:val="24"/>
              </w:rPr>
              <w:t>实际完成指标值</w:t>
            </w:r>
          </w:p>
        </w:tc>
      </w:tr>
      <w:tr w14:paraId="7919E232">
        <w:tblPrEx>
          <w:tblCellMar>
            <w:top w:w="0" w:type="dxa"/>
            <w:left w:w="108" w:type="dxa"/>
            <w:bottom w:w="0" w:type="dxa"/>
            <w:right w:w="108" w:type="dxa"/>
          </w:tblCellMar>
        </w:tblPrEx>
        <w:trPr>
          <w:gridAfter w:val="1"/>
          <w:wAfter w:w="236" w:type="dxa"/>
          <w:trHeight w:val="415" w:hRule="atLeast"/>
        </w:trPr>
        <w:tc>
          <w:tcPr>
            <w:tcW w:w="1809" w:type="dxa"/>
            <w:vMerge w:val="continue"/>
            <w:tcBorders>
              <w:left w:val="single" w:color="000000" w:sz="4" w:space="0"/>
              <w:right w:val="single" w:color="000000" w:sz="4" w:space="0"/>
            </w:tcBorders>
            <w:shd w:val="clear" w:color="auto" w:fill="auto"/>
            <w:vAlign w:val="center"/>
          </w:tcPr>
          <w:p w14:paraId="5D2CC5AD">
            <w:pPr>
              <w:spacing w:line="320" w:lineRule="exact"/>
              <w:jc w:val="center"/>
              <w:rPr>
                <w:rFonts w:ascii="仿宋_GB2312" w:hAnsi="仿宋_GB2312" w:cs="仿宋_GB2312"/>
                <w:sz w:val="24"/>
              </w:rPr>
            </w:pP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07C01F">
            <w:pPr>
              <w:widowControl/>
              <w:spacing w:line="320" w:lineRule="exact"/>
              <w:jc w:val="center"/>
              <w:textAlignment w:val="bottom"/>
              <w:rPr>
                <w:rFonts w:ascii="仿宋_GB2312" w:hAnsi="仿宋_GB2312" w:cs="仿宋_GB2312"/>
                <w:kern w:val="0"/>
                <w:sz w:val="24"/>
              </w:rPr>
            </w:pPr>
            <w:r>
              <w:rPr>
                <w:rFonts w:hint="eastAsia" w:ascii="仿宋_GB2312" w:hAnsi="仿宋_GB2312" w:cs="仿宋_GB2312"/>
                <w:kern w:val="0"/>
                <w:sz w:val="24"/>
              </w:rPr>
              <w:t>完成</w:t>
            </w:r>
          </w:p>
          <w:p w14:paraId="71A618C4">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3D15C6">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数量指标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75264CE">
            <w:pPr>
              <w:widowControl/>
              <w:spacing w:line="320" w:lineRule="exact"/>
              <w:jc w:val="left"/>
              <w:textAlignment w:val="bottom"/>
              <w:rPr>
                <w:rFonts w:ascii="仿宋_GB2312" w:hAnsi="仿宋_GB2312" w:cs="仿宋_GB2312"/>
                <w:sz w:val="24"/>
              </w:rPr>
            </w:pPr>
            <w:r>
              <w:rPr>
                <w:rFonts w:hint="eastAsia" w:ascii="仿宋_GB2312" w:hAnsi="仿宋_GB2312" w:cs="仿宋_GB2312"/>
                <w:sz w:val="24"/>
              </w:rPr>
              <w:t>为院内2名孤儿提供了住院医疗费用报销</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3118990">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8E5E19">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2人</w:t>
            </w:r>
          </w:p>
        </w:tc>
      </w:tr>
      <w:tr w14:paraId="2853ED2A">
        <w:tblPrEx>
          <w:tblCellMar>
            <w:top w:w="0" w:type="dxa"/>
            <w:left w:w="108" w:type="dxa"/>
            <w:bottom w:w="0" w:type="dxa"/>
            <w:right w:w="108" w:type="dxa"/>
          </w:tblCellMar>
        </w:tblPrEx>
        <w:trPr>
          <w:gridAfter w:val="1"/>
          <w:wAfter w:w="236" w:type="dxa"/>
          <w:trHeight w:val="415" w:hRule="atLeast"/>
        </w:trPr>
        <w:tc>
          <w:tcPr>
            <w:tcW w:w="1809" w:type="dxa"/>
            <w:vMerge w:val="continue"/>
            <w:tcBorders>
              <w:left w:val="single" w:color="000000" w:sz="4" w:space="0"/>
              <w:right w:val="single" w:color="000000" w:sz="4" w:space="0"/>
            </w:tcBorders>
            <w:shd w:val="clear" w:color="auto" w:fill="auto"/>
            <w:vAlign w:val="center"/>
          </w:tcPr>
          <w:p w14:paraId="68A289EC">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4DCEA3F">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32AB69">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质量指标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A7ECBAA">
            <w:pPr>
              <w:widowControl/>
              <w:spacing w:line="320" w:lineRule="exact"/>
              <w:jc w:val="left"/>
              <w:textAlignment w:val="bottom"/>
              <w:rPr>
                <w:rFonts w:ascii="仿宋_GB2312" w:hAnsi="仿宋_GB2312" w:cs="仿宋_GB2312"/>
                <w:sz w:val="24"/>
              </w:rPr>
            </w:pPr>
            <w:r>
              <w:rPr>
                <w:rFonts w:hint="eastAsia" w:ascii="仿宋_GB2312" w:hAnsi="仿宋_GB2312" w:cs="仿宋_GB2312"/>
                <w:sz w:val="24"/>
              </w:rPr>
              <w:t>经费使用合规率</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D9F5F97">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F969ED">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7ADD70FC">
        <w:tblPrEx>
          <w:tblCellMar>
            <w:top w:w="0" w:type="dxa"/>
            <w:left w:w="108" w:type="dxa"/>
            <w:bottom w:w="0" w:type="dxa"/>
            <w:right w:w="108" w:type="dxa"/>
          </w:tblCellMar>
        </w:tblPrEx>
        <w:trPr>
          <w:gridAfter w:val="1"/>
          <w:wAfter w:w="236" w:type="dxa"/>
          <w:trHeight w:val="415" w:hRule="atLeast"/>
        </w:trPr>
        <w:tc>
          <w:tcPr>
            <w:tcW w:w="1809" w:type="dxa"/>
            <w:vMerge w:val="continue"/>
            <w:tcBorders>
              <w:left w:val="single" w:color="000000" w:sz="4" w:space="0"/>
              <w:right w:val="single" w:color="000000" w:sz="4" w:space="0"/>
            </w:tcBorders>
            <w:shd w:val="clear" w:color="auto" w:fill="auto"/>
            <w:vAlign w:val="center"/>
          </w:tcPr>
          <w:p w14:paraId="421C668A">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75C07E2A">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100DD8">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时效指标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001F6B46">
            <w:pPr>
              <w:widowControl/>
              <w:spacing w:line="320" w:lineRule="exact"/>
              <w:jc w:val="center"/>
              <w:textAlignment w:val="bottom"/>
              <w:rPr>
                <w:rFonts w:hint="default" w:ascii="仿宋_GB2312" w:hAnsi="仿宋_GB2312" w:eastAsia="仿宋_GB2312" w:cs="仿宋_GB2312"/>
                <w:sz w:val="24"/>
                <w:lang w:val="en-US" w:eastAsia="zh-CN"/>
              </w:rPr>
            </w:pPr>
            <w:r>
              <w:rPr>
                <w:rFonts w:hint="eastAsia" w:ascii="仿宋_GB2312" w:hAnsi="仿宋_GB2312" w:cs="仿宋_GB2312"/>
                <w:sz w:val="24"/>
                <w:lang w:val="en-US" w:eastAsia="zh-CN"/>
              </w:rPr>
              <w:t>完成时间</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3043929">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2021年内</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97254A">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2021年内</w:t>
            </w:r>
          </w:p>
        </w:tc>
      </w:tr>
      <w:tr w14:paraId="7D54D807">
        <w:tblPrEx>
          <w:tblCellMar>
            <w:top w:w="0" w:type="dxa"/>
            <w:left w:w="108" w:type="dxa"/>
            <w:bottom w:w="0" w:type="dxa"/>
            <w:right w:w="108" w:type="dxa"/>
          </w:tblCellMar>
        </w:tblPrEx>
        <w:trPr>
          <w:gridAfter w:val="1"/>
          <w:wAfter w:w="236" w:type="dxa"/>
          <w:trHeight w:val="480" w:hRule="atLeast"/>
        </w:trPr>
        <w:tc>
          <w:tcPr>
            <w:tcW w:w="1809" w:type="dxa"/>
            <w:vMerge w:val="continue"/>
            <w:tcBorders>
              <w:left w:val="single" w:color="000000" w:sz="4" w:space="0"/>
              <w:right w:val="single" w:color="000000" w:sz="4" w:space="0"/>
            </w:tcBorders>
            <w:shd w:val="clear" w:color="auto" w:fill="auto"/>
            <w:vAlign w:val="center"/>
          </w:tcPr>
          <w:p w14:paraId="14AFADC7">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9158107">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71E119">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成本指标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0257A00">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医疗住院费</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3E62001">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0.34万元</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A46ECF">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0.34万元</w:t>
            </w:r>
          </w:p>
        </w:tc>
      </w:tr>
      <w:tr w14:paraId="236CC1A9">
        <w:tblPrEx>
          <w:tblCellMar>
            <w:top w:w="0" w:type="dxa"/>
            <w:left w:w="108" w:type="dxa"/>
            <w:bottom w:w="0" w:type="dxa"/>
            <w:right w:w="108" w:type="dxa"/>
          </w:tblCellMar>
        </w:tblPrEx>
        <w:trPr>
          <w:gridAfter w:val="1"/>
          <w:wAfter w:w="236" w:type="dxa"/>
          <w:trHeight w:val="480" w:hRule="atLeast"/>
        </w:trPr>
        <w:tc>
          <w:tcPr>
            <w:tcW w:w="1809" w:type="dxa"/>
            <w:vMerge w:val="continue"/>
            <w:tcBorders>
              <w:left w:val="single" w:color="000000" w:sz="4" w:space="0"/>
              <w:right w:val="single" w:color="000000" w:sz="4" w:space="0"/>
            </w:tcBorders>
            <w:shd w:val="clear" w:color="auto" w:fill="auto"/>
            <w:vAlign w:val="center"/>
          </w:tcPr>
          <w:p w14:paraId="27DE43FA">
            <w:pPr>
              <w:spacing w:line="320" w:lineRule="exact"/>
              <w:jc w:val="center"/>
              <w:rPr>
                <w:rFonts w:ascii="仿宋_GB2312" w:hAnsi="仿宋_GB2312" w:cs="仿宋_GB2312"/>
                <w:sz w:val="24"/>
              </w:rPr>
            </w:pPr>
          </w:p>
        </w:tc>
        <w:tc>
          <w:tcPr>
            <w:tcW w:w="11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FA1B5">
            <w:pPr>
              <w:widowControl/>
              <w:spacing w:line="32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效益</w:t>
            </w:r>
          </w:p>
          <w:p w14:paraId="1013CBB1">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903A2">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经济效益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6FFA5A5">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2DBFCD6">
            <w:pPr>
              <w:widowControl/>
              <w:spacing w:line="320" w:lineRule="exact"/>
              <w:jc w:val="center"/>
              <w:textAlignment w:val="bottom"/>
              <w:rPr>
                <w:rFonts w:ascii="仿宋_GB2312" w:hAnsi="仿宋_GB2312" w:cs="仿宋_GB2312"/>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4E62D9">
            <w:pPr>
              <w:widowControl/>
              <w:spacing w:line="320" w:lineRule="exact"/>
              <w:jc w:val="center"/>
              <w:textAlignment w:val="bottom"/>
              <w:rPr>
                <w:rFonts w:ascii="仿宋_GB2312" w:hAnsi="仿宋_GB2312" w:cs="仿宋_GB2312"/>
                <w:sz w:val="24"/>
              </w:rPr>
            </w:pPr>
          </w:p>
        </w:tc>
      </w:tr>
      <w:tr w14:paraId="153534D5">
        <w:tblPrEx>
          <w:tblCellMar>
            <w:top w:w="0" w:type="dxa"/>
            <w:left w:w="108" w:type="dxa"/>
            <w:bottom w:w="0" w:type="dxa"/>
            <w:right w:w="108" w:type="dxa"/>
          </w:tblCellMar>
        </w:tblPrEx>
        <w:trPr>
          <w:gridAfter w:val="1"/>
          <w:wAfter w:w="236" w:type="dxa"/>
          <w:trHeight w:val="480" w:hRule="atLeast"/>
        </w:trPr>
        <w:tc>
          <w:tcPr>
            <w:tcW w:w="1809" w:type="dxa"/>
            <w:vMerge w:val="continue"/>
            <w:tcBorders>
              <w:left w:val="single" w:color="000000" w:sz="4" w:space="0"/>
              <w:right w:val="single" w:color="000000" w:sz="4" w:space="0"/>
            </w:tcBorders>
            <w:shd w:val="clear" w:color="auto" w:fill="auto"/>
            <w:vAlign w:val="center"/>
          </w:tcPr>
          <w:p w14:paraId="0CBA1838">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3A58EA0">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C61DE1">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社会效益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1D67EAB">
            <w:pPr>
              <w:widowControl/>
              <w:spacing w:line="320" w:lineRule="exact"/>
              <w:jc w:val="left"/>
              <w:textAlignment w:val="bottom"/>
              <w:rPr>
                <w:rFonts w:ascii="仿宋_GB2312" w:hAnsi="仿宋_GB2312" w:cs="仿宋_GB2312"/>
                <w:sz w:val="24"/>
              </w:rPr>
            </w:pPr>
            <w:r>
              <w:rPr>
                <w:rFonts w:hint="eastAsia" w:ascii="仿宋_GB2312" w:hAnsi="仿宋_GB2312" w:cs="仿宋_GB2312"/>
                <w:sz w:val="24"/>
              </w:rPr>
              <w:t>让孤儿医疗得到保障</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93EF1E6">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提高孤儿生活质量</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9A291">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100%</w:t>
            </w:r>
          </w:p>
        </w:tc>
      </w:tr>
      <w:tr w14:paraId="3EF6B156">
        <w:tblPrEx>
          <w:tblCellMar>
            <w:top w:w="0" w:type="dxa"/>
            <w:left w:w="108" w:type="dxa"/>
            <w:bottom w:w="0" w:type="dxa"/>
            <w:right w:w="108" w:type="dxa"/>
          </w:tblCellMar>
        </w:tblPrEx>
        <w:trPr>
          <w:gridAfter w:val="1"/>
          <w:wAfter w:w="236" w:type="dxa"/>
          <w:trHeight w:val="577" w:hRule="atLeast"/>
        </w:trPr>
        <w:tc>
          <w:tcPr>
            <w:tcW w:w="1809" w:type="dxa"/>
            <w:vMerge w:val="continue"/>
            <w:tcBorders>
              <w:left w:val="single" w:color="000000" w:sz="4" w:space="0"/>
              <w:right w:val="single" w:color="000000" w:sz="4" w:space="0"/>
            </w:tcBorders>
            <w:shd w:val="clear" w:color="auto" w:fill="auto"/>
            <w:vAlign w:val="center"/>
          </w:tcPr>
          <w:p w14:paraId="5FFCECB0">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ACBD5D7">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09EF56">
            <w:pPr>
              <w:widowControl/>
              <w:spacing w:line="320" w:lineRule="exact"/>
              <w:ind w:left="107" w:leftChars="34"/>
              <w:jc w:val="left"/>
              <w:textAlignment w:val="bottom"/>
              <w:rPr>
                <w:rFonts w:ascii="仿宋_GB2312" w:hAnsi="仿宋_GB2312" w:cs="仿宋_GB2312"/>
                <w:sz w:val="24"/>
              </w:rPr>
            </w:pPr>
            <w:r>
              <w:rPr>
                <w:rFonts w:hint="eastAsia" w:ascii="仿宋_GB2312" w:hAnsi="仿宋_GB2312" w:cs="仿宋_GB2312"/>
                <w:kern w:val="0"/>
                <w:sz w:val="24"/>
              </w:rPr>
              <w:t>生态效益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37ECD3D5">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1EED89A">
            <w:pPr>
              <w:widowControl/>
              <w:spacing w:line="320" w:lineRule="exact"/>
              <w:jc w:val="center"/>
              <w:textAlignment w:val="bottom"/>
              <w:rPr>
                <w:rFonts w:ascii="仿宋_GB2312" w:hAnsi="仿宋_GB2312" w:cs="仿宋_GB2312"/>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A32D39">
            <w:pPr>
              <w:widowControl/>
              <w:spacing w:line="320" w:lineRule="exact"/>
              <w:jc w:val="center"/>
              <w:textAlignment w:val="bottom"/>
              <w:rPr>
                <w:rFonts w:ascii="仿宋_GB2312" w:hAnsi="仿宋_GB2312" w:cs="仿宋_GB2312"/>
                <w:sz w:val="24"/>
              </w:rPr>
            </w:pPr>
          </w:p>
        </w:tc>
      </w:tr>
      <w:tr w14:paraId="04DAF6CE">
        <w:tblPrEx>
          <w:tblCellMar>
            <w:top w:w="0" w:type="dxa"/>
            <w:left w:w="108" w:type="dxa"/>
            <w:bottom w:w="0" w:type="dxa"/>
            <w:right w:w="108" w:type="dxa"/>
          </w:tblCellMar>
        </w:tblPrEx>
        <w:trPr>
          <w:gridAfter w:val="1"/>
          <w:wAfter w:w="236" w:type="dxa"/>
          <w:trHeight w:val="480" w:hRule="atLeast"/>
        </w:trPr>
        <w:tc>
          <w:tcPr>
            <w:tcW w:w="1809" w:type="dxa"/>
            <w:vMerge w:val="continue"/>
            <w:tcBorders>
              <w:left w:val="single" w:color="000000" w:sz="4" w:space="0"/>
              <w:right w:val="single" w:color="000000" w:sz="4" w:space="0"/>
            </w:tcBorders>
            <w:shd w:val="clear" w:color="auto" w:fill="auto"/>
            <w:vAlign w:val="center"/>
          </w:tcPr>
          <w:p w14:paraId="2C703713">
            <w:pPr>
              <w:spacing w:line="320" w:lineRule="exact"/>
              <w:jc w:val="center"/>
              <w:rPr>
                <w:rFonts w:ascii="仿宋_GB2312" w:hAnsi="仿宋_GB2312" w:cs="仿宋_GB2312"/>
                <w:sz w:val="24"/>
              </w:rPr>
            </w:pPr>
          </w:p>
        </w:tc>
        <w:tc>
          <w:tcPr>
            <w:tcW w:w="11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B480D15">
            <w:pPr>
              <w:spacing w:line="320" w:lineRule="exact"/>
              <w:jc w:val="center"/>
              <w:rPr>
                <w:rFonts w:ascii="仿宋_GB2312" w:hAnsi="仿宋_GB2312" w:cs="仿宋_GB2312"/>
                <w:sz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89217A">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可持续影响 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E406E88">
            <w:pPr>
              <w:widowControl/>
              <w:spacing w:line="320" w:lineRule="exact"/>
              <w:jc w:val="center"/>
              <w:textAlignment w:val="bottom"/>
              <w:rPr>
                <w:rFonts w:ascii="仿宋_GB2312" w:hAnsi="仿宋_GB2312" w:cs="仿宋_GB2312"/>
                <w:sz w:val="24"/>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38FF4E7">
            <w:pPr>
              <w:widowControl/>
              <w:spacing w:line="320" w:lineRule="exact"/>
              <w:jc w:val="center"/>
              <w:textAlignment w:val="bottom"/>
              <w:rPr>
                <w:rFonts w:ascii="仿宋_GB2312" w:hAnsi="仿宋_GB2312" w:cs="仿宋_GB2312"/>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57D065">
            <w:pPr>
              <w:widowControl/>
              <w:spacing w:line="320" w:lineRule="exact"/>
              <w:jc w:val="center"/>
              <w:textAlignment w:val="bottom"/>
              <w:rPr>
                <w:rFonts w:ascii="仿宋_GB2312" w:hAnsi="仿宋_GB2312" w:cs="仿宋_GB2312"/>
                <w:sz w:val="24"/>
              </w:rPr>
            </w:pPr>
          </w:p>
        </w:tc>
      </w:tr>
      <w:tr w14:paraId="16AEC327">
        <w:tblPrEx>
          <w:tblCellMar>
            <w:top w:w="0" w:type="dxa"/>
            <w:left w:w="108" w:type="dxa"/>
            <w:bottom w:w="0" w:type="dxa"/>
            <w:right w:w="108" w:type="dxa"/>
          </w:tblCellMar>
        </w:tblPrEx>
        <w:trPr>
          <w:gridAfter w:val="1"/>
          <w:wAfter w:w="236" w:type="dxa"/>
          <w:trHeight w:val="530" w:hRule="atLeast"/>
        </w:trPr>
        <w:tc>
          <w:tcPr>
            <w:tcW w:w="1809" w:type="dxa"/>
            <w:vMerge w:val="continue"/>
            <w:tcBorders>
              <w:left w:val="single" w:color="000000" w:sz="4" w:space="0"/>
              <w:bottom w:val="single" w:color="000000" w:sz="4" w:space="0"/>
              <w:right w:val="single" w:color="000000" w:sz="4" w:space="0"/>
            </w:tcBorders>
            <w:shd w:val="clear" w:color="auto" w:fill="auto"/>
            <w:vAlign w:val="center"/>
          </w:tcPr>
          <w:p w14:paraId="420ED339">
            <w:pPr>
              <w:spacing w:line="320" w:lineRule="exact"/>
              <w:jc w:val="center"/>
              <w:rPr>
                <w:rFonts w:ascii="仿宋_GB2312" w:hAnsi="仿宋_GB2312" w:cs="仿宋_GB2312"/>
                <w:sz w:val="24"/>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38F0229">
            <w:pPr>
              <w:widowControl/>
              <w:spacing w:line="320" w:lineRule="exact"/>
              <w:jc w:val="center"/>
              <w:textAlignment w:val="bottom"/>
              <w:rPr>
                <w:rFonts w:hint="eastAsia" w:ascii="仿宋_GB2312" w:hAnsi="仿宋_GB2312" w:eastAsia="仿宋_GB2312" w:cs="仿宋_GB2312"/>
                <w:kern w:val="0"/>
                <w:sz w:val="24"/>
                <w:lang w:eastAsia="zh-CN"/>
              </w:rPr>
            </w:pPr>
            <w:r>
              <w:rPr>
                <w:rFonts w:hint="eastAsia" w:ascii="仿宋_GB2312" w:hAnsi="仿宋_GB2312" w:cs="仿宋_GB2312"/>
                <w:kern w:val="0"/>
                <w:sz w:val="24"/>
              </w:rPr>
              <w:t>满意</w:t>
            </w:r>
          </w:p>
          <w:p w14:paraId="59D27AEB">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度指标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61714A">
            <w:pPr>
              <w:widowControl/>
              <w:spacing w:line="320" w:lineRule="exact"/>
              <w:jc w:val="center"/>
              <w:textAlignment w:val="bottom"/>
              <w:rPr>
                <w:rFonts w:ascii="仿宋_GB2312" w:hAnsi="仿宋_GB2312" w:cs="仿宋_GB2312"/>
                <w:kern w:val="0"/>
                <w:sz w:val="24"/>
              </w:rPr>
            </w:pPr>
            <w:r>
              <w:rPr>
                <w:rFonts w:hint="eastAsia" w:ascii="仿宋_GB2312" w:hAnsi="仿宋_GB2312" w:cs="仿宋_GB2312"/>
                <w:kern w:val="0"/>
                <w:sz w:val="24"/>
              </w:rPr>
              <w:t>满意度</w:t>
            </w:r>
          </w:p>
          <w:p w14:paraId="2B3FAFFC">
            <w:pPr>
              <w:widowControl/>
              <w:spacing w:line="320" w:lineRule="exact"/>
              <w:jc w:val="center"/>
              <w:textAlignment w:val="bottom"/>
              <w:rPr>
                <w:rFonts w:ascii="仿宋_GB2312" w:hAnsi="仿宋_GB2312" w:cs="仿宋_GB2312"/>
                <w:sz w:val="24"/>
              </w:rPr>
            </w:pPr>
            <w:r>
              <w:rPr>
                <w:rFonts w:hint="eastAsia" w:ascii="仿宋_GB2312" w:hAnsi="仿宋_GB2312" w:cs="仿宋_GB2312"/>
                <w:kern w:val="0"/>
                <w:sz w:val="24"/>
              </w:rPr>
              <w:t>指标</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1B6B32B">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受助儿童满意度</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018508C">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≥90%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EAA78DA">
            <w:pPr>
              <w:widowControl/>
              <w:spacing w:line="320" w:lineRule="exact"/>
              <w:jc w:val="center"/>
              <w:textAlignment w:val="bottom"/>
              <w:rPr>
                <w:rFonts w:ascii="仿宋_GB2312" w:hAnsi="仿宋_GB2312" w:cs="仿宋_GB2312"/>
                <w:sz w:val="24"/>
              </w:rPr>
            </w:pPr>
            <w:r>
              <w:rPr>
                <w:rFonts w:hint="eastAsia" w:ascii="仿宋_GB2312" w:hAnsi="仿宋_GB2312" w:cs="仿宋_GB2312"/>
                <w:sz w:val="24"/>
              </w:rPr>
              <w:t>≥90%</w:t>
            </w:r>
          </w:p>
        </w:tc>
      </w:tr>
    </w:tbl>
    <w:p w14:paraId="0C6B3006">
      <w:pPr>
        <w:pStyle w:val="2"/>
        <w:spacing w:before="166"/>
      </w:pPr>
    </w:p>
    <w:p w14:paraId="0021A876">
      <w:pPr>
        <w:spacing w:line="56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p>
    <w:p w14:paraId="4CDB1B34">
      <w:pPr>
        <w:pStyle w:val="4"/>
        <w:spacing w:line="560" w:lineRule="exact"/>
        <w:ind w:firstLine="632" w:firstLineChars="200"/>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p>
    <w:p w14:paraId="2ABF1862">
      <w:pPr>
        <w:pStyle w:val="4"/>
        <w:spacing w:line="560" w:lineRule="exact"/>
        <w:ind w:firstLine="632" w:firstLineChars="200"/>
        <w:rPr>
          <w:rFonts w:ascii="仿宋" w:hAnsi="仿宋" w:eastAsia="仿宋"/>
        </w:rPr>
      </w:pPr>
      <w:r>
        <w:rPr>
          <w:rFonts w:hint="eastAsia" w:ascii="仿宋" w:hAnsi="仿宋" w:eastAsia="仿宋"/>
          <w:b w:val="0"/>
        </w:rPr>
        <w:t>二、收</w:t>
      </w:r>
      <w:r>
        <w:rPr>
          <w:rStyle w:val="27"/>
          <w:rFonts w:hint="eastAsia" w:ascii="仿宋" w:hAnsi="仿宋" w:eastAsia="仿宋"/>
          <w:b w:val="0"/>
          <w:bCs w:val="0"/>
        </w:rPr>
        <w:t>入决算表</w:t>
      </w:r>
    </w:p>
    <w:p w14:paraId="58CA7BBC">
      <w:pPr>
        <w:pStyle w:val="4"/>
        <w:spacing w:line="560" w:lineRule="exact"/>
        <w:ind w:firstLine="632" w:firstLineChars="200"/>
        <w:rPr>
          <w:rFonts w:ascii="仿宋" w:hAnsi="仿宋" w:eastAsia="仿宋"/>
        </w:rPr>
      </w:pPr>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p>
    <w:p w14:paraId="5DC1C06A">
      <w:pPr>
        <w:pStyle w:val="4"/>
        <w:spacing w:line="560" w:lineRule="exact"/>
        <w:ind w:firstLine="632" w:firstLineChars="200"/>
        <w:rPr>
          <w:rFonts w:ascii="仿宋" w:hAnsi="仿宋" w:eastAsia="仿宋"/>
          <w:b w:val="0"/>
        </w:rPr>
      </w:pPr>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p>
    <w:p w14:paraId="55DD78F8">
      <w:pPr>
        <w:pStyle w:val="4"/>
        <w:spacing w:line="560" w:lineRule="exact"/>
        <w:ind w:firstLine="632" w:firstLineChars="200"/>
        <w:rPr>
          <w:rStyle w:val="27"/>
          <w:rFonts w:ascii="仿宋" w:hAnsi="仿宋" w:eastAsia="仿宋"/>
          <w:b w:val="0"/>
          <w:bCs w:val="0"/>
        </w:rPr>
      </w:pPr>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p>
    <w:p w14:paraId="15936586">
      <w:pPr>
        <w:pStyle w:val="4"/>
        <w:spacing w:line="560" w:lineRule="exact"/>
        <w:ind w:firstLine="632" w:firstLineChars="200"/>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p>
    <w:p w14:paraId="47142B81">
      <w:pPr>
        <w:pStyle w:val="4"/>
        <w:spacing w:line="560" w:lineRule="exact"/>
        <w:ind w:firstLine="632" w:firstLineChars="200"/>
        <w:rPr>
          <w:rFonts w:ascii="仿宋" w:hAnsi="仿宋" w:eastAsia="仿宋"/>
        </w:rPr>
      </w:pPr>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p>
    <w:p w14:paraId="3E653287">
      <w:pPr>
        <w:pStyle w:val="4"/>
        <w:spacing w:line="560" w:lineRule="exact"/>
        <w:ind w:firstLine="632" w:firstLineChars="200"/>
        <w:rPr>
          <w:rFonts w:ascii="仿宋" w:hAnsi="仿宋" w:eastAsia="仿宋"/>
        </w:rPr>
      </w:pPr>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p>
    <w:p w14:paraId="195827E1">
      <w:pPr>
        <w:pStyle w:val="4"/>
        <w:spacing w:line="560" w:lineRule="exact"/>
        <w:ind w:firstLine="632" w:firstLineChars="200"/>
        <w:rPr>
          <w:rFonts w:ascii="仿宋" w:hAnsi="仿宋" w:eastAsia="仿宋"/>
        </w:rPr>
      </w:pPr>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p>
    <w:p w14:paraId="3395567E">
      <w:pPr>
        <w:pStyle w:val="4"/>
        <w:spacing w:line="560" w:lineRule="exact"/>
        <w:ind w:firstLine="632" w:firstLineChars="200"/>
        <w:rPr>
          <w:rFonts w:ascii="仿宋" w:hAnsi="仿宋" w:eastAsia="仿宋"/>
        </w:rPr>
      </w:pPr>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p>
    <w:p w14:paraId="4266D5C1">
      <w:pPr>
        <w:pStyle w:val="4"/>
        <w:spacing w:line="560" w:lineRule="exact"/>
        <w:ind w:firstLine="632" w:firstLineChars="200"/>
        <w:rPr>
          <w:rFonts w:ascii="仿宋" w:hAnsi="仿宋" w:eastAsia="仿宋"/>
        </w:rPr>
      </w:pPr>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p>
    <w:p w14:paraId="091107DE">
      <w:pPr>
        <w:pStyle w:val="4"/>
        <w:spacing w:line="560" w:lineRule="exact"/>
        <w:ind w:firstLine="632" w:firstLineChars="200"/>
        <w:rPr>
          <w:rFonts w:ascii="仿宋" w:hAnsi="仿宋" w:eastAsia="仿宋"/>
        </w:rPr>
      </w:pPr>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p>
    <w:p w14:paraId="148CB7F5">
      <w:pPr>
        <w:pStyle w:val="4"/>
        <w:spacing w:line="560" w:lineRule="exact"/>
        <w:ind w:firstLine="632" w:firstLineChars="200"/>
        <w:rPr>
          <w:rStyle w:val="27"/>
          <w:rFonts w:ascii="仿宋" w:hAnsi="仿宋" w:eastAsia="仿宋"/>
          <w:b w:val="0"/>
          <w:bCs w:val="0"/>
        </w:rPr>
      </w:pPr>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p>
    <w:p w14:paraId="20CC91A6">
      <w:pPr>
        <w:spacing w:line="560" w:lineRule="exact"/>
        <w:ind w:firstLine="632" w:firstLineChars="200"/>
        <w:rPr>
          <w:rFonts w:eastAsia="仿宋"/>
        </w:rPr>
      </w:pPr>
      <w:r>
        <w:rPr>
          <w:rStyle w:val="27"/>
          <w:rFonts w:hint="eastAsia" w:ascii="仿宋" w:hAnsi="仿宋" w:eastAsia="仿宋"/>
          <w:b w:val="0"/>
          <w:bCs w:val="0"/>
        </w:rPr>
        <w:t>十四、国有资本经营预算财政拨款支出决算表</w:t>
      </w:r>
      <w:bookmarkEnd w:id="14"/>
      <w:bookmarkEnd w:id="15"/>
    </w:p>
    <w:sectPr>
      <w:footerReference r:id="rId5" w:type="first"/>
      <w:headerReference r:id="rId3" w:type="default"/>
      <w:footerReference r:id="rId4" w:type="default"/>
      <w:pgSz w:w="11906" w:h="16838"/>
      <w:pgMar w:top="2098" w:right="1474" w:bottom="1984" w:left="1587" w:header="851" w:footer="1587" w:gutter="0"/>
      <w:pgNumType w:fmt="numberInDash" w:start="1"/>
      <w:cols w:space="0" w:num="1"/>
      <w:titlePg/>
      <w:docGrid w:type="linesAndChars" w:linePitch="55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5210A">
    <w:pPr>
      <w:pStyle w:val="10"/>
      <w:jc w:val="center"/>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path/>
          <v:fill on="f" focussize="0,0"/>
          <v:stroke on="f" joinstyle="miter"/>
          <v:imagedata o:title=""/>
          <o:lock v:ext="edit"/>
          <v:textbox inset="0mm,0mm,0mm,0mm" style="mso-fit-shape-to-text:t;">
            <w:txbxContent>
              <w:sdt>
                <w:sdtPr>
                  <w:id w:val="-1994781956"/>
                </w:sdtPr>
                <w:sdtContent>
                  <w:p w14:paraId="175708B3">
                    <w:pPr>
                      <w:pStyle w:val="10"/>
                      <w:ind w:left="320" w:leftChars="100" w:right="320" w:rightChars="100"/>
                      <w:jc w:val="center"/>
                    </w:pPr>
                    <w:r>
                      <w:rPr>
                        <w:rFonts w:hint="eastAsia" w:asciiTheme="minorEastAsia" w:hAnsiTheme="minorEastAsia" w:eastAsiaTheme="minorEastAsia" w:cstheme="minorEastAsia"/>
                        <w:sz w:val="28"/>
                      </w:rPr>
                      <w:fldChar w:fldCharType="begin"/>
                    </w:r>
                    <w:r>
                      <w:rPr>
                        <w:rFonts w:hint="eastAsia" w:asciiTheme="minorEastAsia" w:hAnsiTheme="minorEastAsia" w:eastAsiaTheme="minorEastAsia" w:cstheme="minorEastAsia"/>
                        <w:sz w:val="28"/>
                      </w:rPr>
                      <w:instrText xml:space="preserve">PAGE   \* MERGEFORMAT</w:instrText>
                    </w:r>
                    <w:r>
                      <w:rPr>
                        <w:rFonts w:hint="eastAsia" w:asciiTheme="minorEastAsia" w:hAnsiTheme="minorEastAsia" w:eastAsiaTheme="minorEastAsia" w:cstheme="minorEastAsia"/>
                        <w:sz w:val="28"/>
                      </w:rPr>
                      <w:fldChar w:fldCharType="separate"/>
                    </w:r>
                    <w:r>
                      <w:rPr>
                        <w:rFonts w:asciiTheme="minorEastAsia" w:hAnsiTheme="minorEastAsia" w:eastAsiaTheme="minorEastAsia" w:cstheme="minorEastAsia"/>
                        <w:sz w:val="28"/>
                        <w:lang w:val="zh-CN"/>
                      </w:rPr>
                      <w:t>-</w:t>
                    </w:r>
                    <w:r>
                      <w:rPr>
                        <w:rFonts w:asciiTheme="minorEastAsia" w:hAnsiTheme="minorEastAsia" w:eastAsiaTheme="minorEastAsia" w:cstheme="minorEastAsia"/>
                        <w:sz w:val="28"/>
                      </w:rPr>
                      <w:t xml:space="preserve"> 27 -</w:t>
                    </w:r>
                    <w:r>
                      <w:rPr>
                        <w:rFonts w:hint="eastAsia" w:asciiTheme="minorEastAsia" w:hAnsiTheme="minorEastAsia" w:eastAsiaTheme="minorEastAsia" w:cstheme="minorEastAsia"/>
                        <w:sz w:val="28"/>
                        <w:lang w:val="zh-CN"/>
                      </w:rPr>
                      <w:fldChar w:fldCharType="end"/>
                    </w:r>
                  </w:p>
                </w:sdtContent>
              </w:sdt>
              <w:p w14:paraId="117ECE23">
                <w:pPr>
                  <w:pStyle w:val="2"/>
                  <w:spacing w:before="72"/>
                  <w:ind w:left="316" w:right="316"/>
                </w:pPr>
              </w:p>
            </w:txbxContent>
          </v:textbox>
        </v:shape>
      </w:pict>
    </w:r>
  </w:p>
  <w:p w14:paraId="2D40E5E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DFB2D">
    <w:pPr>
      <w:pStyle w:val="10"/>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DPBU/LFAQAAawMAAA4AAAAAAAAAAQAgAAAAHgEAAGRycy9lMm9Eb2MueG1s&#10;UEsFBgAAAAAGAAYAWQEAAFUFAAAAAA==&#10;">
          <v:path/>
          <v:fill on="f" focussize="0,0"/>
          <v:stroke on="f" joinstyle="miter"/>
          <v:imagedata o:title=""/>
          <o:lock v:ext="edit"/>
          <v:textbox inset="0mm,0mm,0mm,0mm" style="mso-fit-shape-to-text:t;">
            <w:txbxContent>
              <w:p w14:paraId="7D057610">
                <w:pPr>
                  <w:pStyle w:val="10"/>
                  <w:ind w:left="320" w:leftChars="100" w:right="320" w:rightChars="100"/>
                  <w:rPr>
                    <w:rFonts w:eastAsia="宋体"/>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D22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719F1E1"/>
    <w:multiLevelType w:val="singleLevel"/>
    <w:tmpl w:val="3719F1E1"/>
    <w:lvl w:ilvl="0" w:tentative="0">
      <w:start w:val="9"/>
      <w:numFmt w:val="chineseCounting"/>
      <w:suff w:val="nothing"/>
      <w:lvlText w:val="（%1）"/>
      <w:lvlJc w:val="left"/>
      <w:rPr>
        <w:rFonts w:hint="eastAsia"/>
      </w:rPr>
    </w:lvl>
  </w:abstractNum>
  <w:abstractNum w:abstractNumId="4">
    <w:nsid w:val="4A4D5B44"/>
    <w:multiLevelType w:val="singleLevel"/>
    <w:tmpl w:val="4A4D5B44"/>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77"/>
  <w:displayHorizontalDrawingGridEvery w:val="2"/>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0MWMwMDk2N2EzNGU0NDI4NWU3MjkxNDBkMmI4YzIifQ=="/>
  </w:docVars>
  <w:rsids>
    <w:rsidRoot w:val="00F1361C"/>
    <w:rsid w:val="000222C6"/>
    <w:rsid w:val="0002549F"/>
    <w:rsid w:val="000402C0"/>
    <w:rsid w:val="0004445F"/>
    <w:rsid w:val="000468DB"/>
    <w:rsid w:val="00061B20"/>
    <w:rsid w:val="0006487A"/>
    <w:rsid w:val="00065F8F"/>
    <w:rsid w:val="00070A43"/>
    <w:rsid w:val="000768F2"/>
    <w:rsid w:val="000833D5"/>
    <w:rsid w:val="00087F12"/>
    <w:rsid w:val="0009184B"/>
    <w:rsid w:val="000934F6"/>
    <w:rsid w:val="00094236"/>
    <w:rsid w:val="0009593C"/>
    <w:rsid w:val="00097322"/>
    <w:rsid w:val="000A2761"/>
    <w:rsid w:val="000A6A92"/>
    <w:rsid w:val="000A6AC4"/>
    <w:rsid w:val="000B047F"/>
    <w:rsid w:val="000B5923"/>
    <w:rsid w:val="000B5A48"/>
    <w:rsid w:val="000B6FF3"/>
    <w:rsid w:val="000C0538"/>
    <w:rsid w:val="000C3467"/>
    <w:rsid w:val="000C3CA6"/>
    <w:rsid w:val="000D1267"/>
    <w:rsid w:val="000D1D50"/>
    <w:rsid w:val="000D5782"/>
    <w:rsid w:val="000E6613"/>
    <w:rsid w:val="000E7119"/>
    <w:rsid w:val="000E7D3D"/>
    <w:rsid w:val="00107D15"/>
    <w:rsid w:val="00114E9B"/>
    <w:rsid w:val="00117DD4"/>
    <w:rsid w:val="00121B8A"/>
    <w:rsid w:val="001326DF"/>
    <w:rsid w:val="00142201"/>
    <w:rsid w:val="00142216"/>
    <w:rsid w:val="00144D6A"/>
    <w:rsid w:val="0014729F"/>
    <w:rsid w:val="00157BAB"/>
    <w:rsid w:val="001654D1"/>
    <w:rsid w:val="00174518"/>
    <w:rsid w:val="0018106D"/>
    <w:rsid w:val="001877A7"/>
    <w:rsid w:val="00191536"/>
    <w:rsid w:val="00196687"/>
    <w:rsid w:val="001A12F8"/>
    <w:rsid w:val="001C0962"/>
    <w:rsid w:val="001D7531"/>
    <w:rsid w:val="001E737D"/>
    <w:rsid w:val="001F0592"/>
    <w:rsid w:val="001F2FB3"/>
    <w:rsid w:val="001F7506"/>
    <w:rsid w:val="002006CD"/>
    <w:rsid w:val="00202B36"/>
    <w:rsid w:val="00203371"/>
    <w:rsid w:val="00204B7A"/>
    <w:rsid w:val="00204CDE"/>
    <w:rsid w:val="0021101A"/>
    <w:rsid w:val="00220536"/>
    <w:rsid w:val="00224A2B"/>
    <w:rsid w:val="00235629"/>
    <w:rsid w:val="00241EDB"/>
    <w:rsid w:val="00245108"/>
    <w:rsid w:val="00254B27"/>
    <w:rsid w:val="00260C38"/>
    <w:rsid w:val="002616C0"/>
    <w:rsid w:val="00265372"/>
    <w:rsid w:val="002662AA"/>
    <w:rsid w:val="00280496"/>
    <w:rsid w:val="00286153"/>
    <w:rsid w:val="00287C87"/>
    <w:rsid w:val="00294DC9"/>
    <w:rsid w:val="00295495"/>
    <w:rsid w:val="002A31DE"/>
    <w:rsid w:val="002A43C1"/>
    <w:rsid w:val="002B2613"/>
    <w:rsid w:val="002B4886"/>
    <w:rsid w:val="002D5423"/>
    <w:rsid w:val="002D6D05"/>
    <w:rsid w:val="002E201D"/>
    <w:rsid w:val="002E7595"/>
    <w:rsid w:val="002F16E7"/>
    <w:rsid w:val="002F1818"/>
    <w:rsid w:val="002F1A48"/>
    <w:rsid w:val="002F47CB"/>
    <w:rsid w:val="002F567B"/>
    <w:rsid w:val="00306E29"/>
    <w:rsid w:val="003212D1"/>
    <w:rsid w:val="003216A9"/>
    <w:rsid w:val="00335A74"/>
    <w:rsid w:val="00336386"/>
    <w:rsid w:val="00341B8C"/>
    <w:rsid w:val="003428CE"/>
    <w:rsid w:val="0036561B"/>
    <w:rsid w:val="0037013F"/>
    <w:rsid w:val="00380C92"/>
    <w:rsid w:val="003A484F"/>
    <w:rsid w:val="003A4883"/>
    <w:rsid w:val="003B0BE0"/>
    <w:rsid w:val="003B0C1B"/>
    <w:rsid w:val="003B688C"/>
    <w:rsid w:val="003C0291"/>
    <w:rsid w:val="003C0F64"/>
    <w:rsid w:val="003C39AE"/>
    <w:rsid w:val="003C6E37"/>
    <w:rsid w:val="003C7B60"/>
    <w:rsid w:val="003D0C0F"/>
    <w:rsid w:val="003D1FB2"/>
    <w:rsid w:val="003D66DA"/>
    <w:rsid w:val="003E1310"/>
    <w:rsid w:val="003E5F80"/>
    <w:rsid w:val="003E6F55"/>
    <w:rsid w:val="00406254"/>
    <w:rsid w:val="004223DE"/>
    <w:rsid w:val="00422FDE"/>
    <w:rsid w:val="00430734"/>
    <w:rsid w:val="00434489"/>
    <w:rsid w:val="00437085"/>
    <w:rsid w:val="00443880"/>
    <w:rsid w:val="004464F4"/>
    <w:rsid w:val="00454189"/>
    <w:rsid w:val="00455BF4"/>
    <w:rsid w:val="004662BF"/>
    <w:rsid w:val="00471401"/>
    <w:rsid w:val="00473F31"/>
    <w:rsid w:val="0048263A"/>
    <w:rsid w:val="00487E5D"/>
    <w:rsid w:val="004A711F"/>
    <w:rsid w:val="004A7ADB"/>
    <w:rsid w:val="004B199D"/>
    <w:rsid w:val="004B4690"/>
    <w:rsid w:val="004B64B8"/>
    <w:rsid w:val="004C6CC1"/>
    <w:rsid w:val="004C750E"/>
    <w:rsid w:val="004E0A2D"/>
    <w:rsid w:val="004E206B"/>
    <w:rsid w:val="004E3BA0"/>
    <w:rsid w:val="004E6DF7"/>
    <w:rsid w:val="004E7B2D"/>
    <w:rsid w:val="004F0FBD"/>
    <w:rsid w:val="004F1E96"/>
    <w:rsid w:val="00505A47"/>
    <w:rsid w:val="00512FDA"/>
    <w:rsid w:val="0051458D"/>
    <w:rsid w:val="00520DA0"/>
    <w:rsid w:val="00534143"/>
    <w:rsid w:val="00547508"/>
    <w:rsid w:val="005664BB"/>
    <w:rsid w:val="00566FFA"/>
    <w:rsid w:val="0057481D"/>
    <w:rsid w:val="0058486E"/>
    <w:rsid w:val="00585B33"/>
    <w:rsid w:val="0059014D"/>
    <w:rsid w:val="005B008A"/>
    <w:rsid w:val="005B1A4B"/>
    <w:rsid w:val="005B5C64"/>
    <w:rsid w:val="005C2783"/>
    <w:rsid w:val="005C5337"/>
    <w:rsid w:val="005C6BD0"/>
    <w:rsid w:val="005D15AF"/>
    <w:rsid w:val="005D1C8B"/>
    <w:rsid w:val="005D468D"/>
    <w:rsid w:val="005D5CED"/>
    <w:rsid w:val="005D5D3E"/>
    <w:rsid w:val="005E5D49"/>
    <w:rsid w:val="005F1A4C"/>
    <w:rsid w:val="00605688"/>
    <w:rsid w:val="006062CD"/>
    <w:rsid w:val="006070AF"/>
    <w:rsid w:val="00607E6C"/>
    <w:rsid w:val="006101B1"/>
    <w:rsid w:val="00614E44"/>
    <w:rsid w:val="0062270A"/>
    <w:rsid w:val="00622830"/>
    <w:rsid w:val="00623DA0"/>
    <w:rsid w:val="00630AEF"/>
    <w:rsid w:val="006325F8"/>
    <w:rsid w:val="00633463"/>
    <w:rsid w:val="00634C9A"/>
    <w:rsid w:val="006428AC"/>
    <w:rsid w:val="006440E4"/>
    <w:rsid w:val="0066343B"/>
    <w:rsid w:val="00664777"/>
    <w:rsid w:val="00672CDD"/>
    <w:rsid w:val="006748A4"/>
    <w:rsid w:val="00681A31"/>
    <w:rsid w:val="00683265"/>
    <w:rsid w:val="00683E73"/>
    <w:rsid w:val="006A3141"/>
    <w:rsid w:val="006A5E34"/>
    <w:rsid w:val="006B2422"/>
    <w:rsid w:val="006B2B9A"/>
    <w:rsid w:val="006B6A8C"/>
    <w:rsid w:val="006C1937"/>
    <w:rsid w:val="006F020C"/>
    <w:rsid w:val="007127B7"/>
    <w:rsid w:val="00717527"/>
    <w:rsid w:val="0071798E"/>
    <w:rsid w:val="00726581"/>
    <w:rsid w:val="0072667C"/>
    <w:rsid w:val="007416B6"/>
    <w:rsid w:val="00746F48"/>
    <w:rsid w:val="007516A3"/>
    <w:rsid w:val="0075404D"/>
    <w:rsid w:val="00757D00"/>
    <w:rsid w:val="0076182A"/>
    <w:rsid w:val="00767B7E"/>
    <w:rsid w:val="007759AF"/>
    <w:rsid w:val="007770C3"/>
    <w:rsid w:val="00784D24"/>
    <w:rsid w:val="00785FBA"/>
    <w:rsid w:val="00786E4A"/>
    <w:rsid w:val="007875EB"/>
    <w:rsid w:val="00790892"/>
    <w:rsid w:val="0079426B"/>
    <w:rsid w:val="00795F7E"/>
    <w:rsid w:val="007B20B6"/>
    <w:rsid w:val="007B2142"/>
    <w:rsid w:val="007C006C"/>
    <w:rsid w:val="007C2C8D"/>
    <w:rsid w:val="007C2EAC"/>
    <w:rsid w:val="007D1682"/>
    <w:rsid w:val="007D2964"/>
    <w:rsid w:val="007D312A"/>
    <w:rsid w:val="007D3F19"/>
    <w:rsid w:val="007D713D"/>
    <w:rsid w:val="007E23B0"/>
    <w:rsid w:val="007E23E5"/>
    <w:rsid w:val="007E6D39"/>
    <w:rsid w:val="007E79B7"/>
    <w:rsid w:val="007F1991"/>
    <w:rsid w:val="007F2C2F"/>
    <w:rsid w:val="007F55FC"/>
    <w:rsid w:val="007F5665"/>
    <w:rsid w:val="007F64A7"/>
    <w:rsid w:val="00800112"/>
    <w:rsid w:val="00802965"/>
    <w:rsid w:val="00812E95"/>
    <w:rsid w:val="00813348"/>
    <w:rsid w:val="00817F4A"/>
    <w:rsid w:val="008211E6"/>
    <w:rsid w:val="008253BB"/>
    <w:rsid w:val="00830018"/>
    <w:rsid w:val="0083706E"/>
    <w:rsid w:val="008408F6"/>
    <w:rsid w:val="008423A5"/>
    <w:rsid w:val="00850625"/>
    <w:rsid w:val="00853718"/>
    <w:rsid w:val="00855221"/>
    <w:rsid w:val="00860645"/>
    <w:rsid w:val="008612C6"/>
    <w:rsid w:val="00861AB4"/>
    <w:rsid w:val="00871F71"/>
    <w:rsid w:val="00872FD8"/>
    <w:rsid w:val="00885AF4"/>
    <w:rsid w:val="008939CD"/>
    <w:rsid w:val="0089634D"/>
    <w:rsid w:val="008A1E9E"/>
    <w:rsid w:val="008B768C"/>
    <w:rsid w:val="008C4DB1"/>
    <w:rsid w:val="008C4EAF"/>
    <w:rsid w:val="008C5176"/>
    <w:rsid w:val="008C7FD0"/>
    <w:rsid w:val="008E1DE7"/>
    <w:rsid w:val="008E2883"/>
    <w:rsid w:val="008E707C"/>
    <w:rsid w:val="00900B08"/>
    <w:rsid w:val="00902155"/>
    <w:rsid w:val="00902FA3"/>
    <w:rsid w:val="00923564"/>
    <w:rsid w:val="0092392E"/>
    <w:rsid w:val="009315F9"/>
    <w:rsid w:val="00933499"/>
    <w:rsid w:val="00935C98"/>
    <w:rsid w:val="0094426C"/>
    <w:rsid w:val="00946945"/>
    <w:rsid w:val="00951248"/>
    <w:rsid w:val="0095152F"/>
    <w:rsid w:val="00954C49"/>
    <w:rsid w:val="00955E37"/>
    <w:rsid w:val="0097099F"/>
    <w:rsid w:val="00971997"/>
    <w:rsid w:val="00971FFC"/>
    <w:rsid w:val="00972F16"/>
    <w:rsid w:val="0098660A"/>
    <w:rsid w:val="009931C3"/>
    <w:rsid w:val="00993807"/>
    <w:rsid w:val="009B02FE"/>
    <w:rsid w:val="009B2C43"/>
    <w:rsid w:val="009B4EAE"/>
    <w:rsid w:val="009B56F6"/>
    <w:rsid w:val="009B7573"/>
    <w:rsid w:val="009C22F4"/>
    <w:rsid w:val="009C2A4B"/>
    <w:rsid w:val="009C2E98"/>
    <w:rsid w:val="009D3447"/>
    <w:rsid w:val="009D37FE"/>
    <w:rsid w:val="009D4711"/>
    <w:rsid w:val="009E4D25"/>
    <w:rsid w:val="009F1185"/>
    <w:rsid w:val="009F18CD"/>
    <w:rsid w:val="009F2A13"/>
    <w:rsid w:val="009F7527"/>
    <w:rsid w:val="00A04409"/>
    <w:rsid w:val="00A04EB0"/>
    <w:rsid w:val="00A13CC1"/>
    <w:rsid w:val="00A16847"/>
    <w:rsid w:val="00A237D8"/>
    <w:rsid w:val="00A268C4"/>
    <w:rsid w:val="00A307CD"/>
    <w:rsid w:val="00A31AD5"/>
    <w:rsid w:val="00A331C8"/>
    <w:rsid w:val="00A40A00"/>
    <w:rsid w:val="00A41160"/>
    <w:rsid w:val="00A4142F"/>
    <w:rsid w:val="00A422EB"/>
    <w:rsid w:val="00A45BB7"/>
    <w:rsid w:val="00A56DF2"/>
    <w:rsid w:val="00A56E6E"/>
    <w:rsid w:val="00A67AB5"/>
    <w:rsid w:val="00A733B2"/>
    <w:rsid w:val="00A741C2"/>
    <w:rsid w:val="00A91760"/>
    <w:rsid w:val="00A93B00"/>
    <w:rsid w:val="00A93C21"/>
    <w:rsid w:val="00AA2AB8"/>
    <w:rsid w:val="00AA38C4"/>
    <w:rsid w:val="00AB64C9"/>
    <w:rsid w:val="00AC3C6A"/>
    <w:rsid w:val="00AD5620"/>
    <w:rsid w:val="00AD656B"/>
    <w:rsid w:val="00AD7C1B"/>
    <w:rsid w:val="00AE16BA"/>
    <w:rsid w:val="00AE1EBE"/>
    <w:rsid w:val="00B03C9D"/>
    <w:rsid w:val="00B060AE"/>
    <w:rsid w:val="00B10517"/>
    <w:rsid w:val="00B14E76"/>
    <w:rsid w:val="00B161B8"/>
    <w:rsid w:val="00B17E21"/>
    <w:rsid w:val="00B2048C"/>
    <w:rsid w:val="00B310B9"/>
    <w:rsid w:val="00B35F3F"/>
    <w:rsid w:val="00B36CBB"/>
    <w:rsid w:val="00B425E0"/>
    <w:rsid w:val="00B440AA"/>
    <w:rsid w:val="00B44B70"/>
    <w:rsid w:val="00B53C56"/>
    <w:rsid w:val="00B57DAF"/>
    <w:rsid w:val="00B72DAE"/>
    <w:rsid w:val="00B77EA6"/>
    <w:rsid w:val="00B81598"/>
    <w:rsid w:val="00B841F1"/>
    <w:rsid w:val="00B84EAD"/>
    <w:rsid w:val="00B944D6"/>
    <w:rsid w:val="00BB4DF0"/>
    <w:rsid w:val="00BC289F"/>
    <w:rsid w:val="00BC2A87"/>
    <w:rsid w:val="00BC2D50"/>
    <w:rsid w:val="00BC5361"/>
    <w:rsid w:val="00BC5460"/>
    <w:rsid w:val="00BC6B50"/>
    <w:rsid w:val="00BD0E25"/>
    <w:rsid w:val="00BD6CA9"/>
    <w:rsid w:val="00BD7C6E"/>
    <w:rsid w:val="00BF5BD6"/>
    <w:rsid w:val="00C03E31"/>
    <w:rsid w:val="00C03E40"/>
    <w:rsid w:val="00C33E72"/>
    <w:rsid w:val="00C354B2"/>
    <w:rsid w:val="00C35554"/>
    <w:rsid w:val="00C42113"/>
    <w:rsid w:val="00C42709"/>
    <w:rsid w:val="00C42A4D"/>
    <w:rsid w:val="00C533CC"/>
    <w:rsid w:val="00C5751C"/>
    <w:rsid w:val="00C61BFC"/>
    <w:rsid w:val="00C62B85"/>
    <w:rsid w:val="00C65438"/>
    <w:rsid w:val="00C87FD8"/>
    <w:rsid w:val="00C91381"/>
    <w:rsid w:val="00C91CBB"/>
    <w:rsid w:val="00CB195D"/>
    <w:rsid w:val="00CB4E70"/>
    <w:rsid w:val="00CB5AA9"/>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A66F2"/>
    <w:rsid w:val="00DB1913"/>
    <w:rsid w:val="00DC410D"/>
    <w:rsid w:val="00DC4171"/>
    <w:rsid w:val="00DC5A81"/>
    <w:rsid w:val="00DC68CA"/>
    <w:rsid w:val="00DC7CBA"/>
    <w:rsid w:val="00DD73B7"/>
    <w:rsid w:val="00DF0D11"/>
    <w:rsid w:val="00DF28BC"/>
    <w:rsid w:val="00DF34B9"/>
    <w:rsid w:val="00E01053"/>
    <w:rsid w:val="00E07ACF"/>
    <w:rsid w:val="00E331A1"/>
    <w:rsid w:val="00E33202"/>
    <w:rsid w:val="00E336A9"/>
    <w:rsid w:val="00E472B1"/>
    <w:rsid w:val="00E50624"/>
    <w:rsid w:val="00E53CC9"/>
    <w:rsid w:val="00E568DF"/>
    <w:rsid w:val="00E64269"/>
    <w:rsid w:val="00E82267"/>
    <w:rsid w:val="00E853CE"/>
    <w:rsid w:val="00E867B6"/>
    <w:rsid w:val="00EA010F"/>
    <w:rsid w:val="00EA0C09"/>
    <w:rsid w:val="00EA4C31"/>
    <w:rsid w:val="00ED1B63"/>
    <w:rsid w:val="00ED3C1F"/>
    <w:rsid w:val="00ED4085"/>
    <w:rsid w:val="00ED420E"/>
    <w:rsid w:val="00ED6FBE"/>
    <w:rsid w:val="00EE2F57"/>
    <w:rsid w:val="00EF4C34"/>
    <w:rsid w:val="00EF77C6"/>
    <w:rsid w:val="00F05438"/>
    <w:rsid w:val="00F1361C"/>
    <w:rsid w:val="00F156F0"/>
    <w:rsid w:val="00F160C7"/>
    <w:rsid w:val="00F16F1F"/>
    <w:rsid w:val="00F2408F"/>
    <w:rsid w:val="00F240E9"/>
    <w:rsid w:val="00F318A1"/>
    <w:rsid w:val="00F31EAA"/>
    <w:rsid w:val="00F36D8F"/>
    <w:rsid w:val="00F417B1"/>
    <w:rsid w:val="00F41DD2"/>
    <w:rsid w:val="00F45853"/>
    <w:rsid w:val="00F602DF"/>
    <w:rsid w:val="00F754A1"/>
    <w:rsid w:val="00F75C0E"/>
    <w:rsid w:val="00F77385"/>
    <w:rsid w:val="00F81FD9"/>
    <w:rsid w:val="00F841AA"/>
    <w:rsid w:val="00F84A94"/>
    <w:rsid w:val="00F87E96"/>
    <w:rsid w:val="00FA23E8"/>
    <w:rsid w:val="00FB779A"/>
    <w:rsid w:val="00FD3CC1"/>
    <w:rsid w:val="00FD617B"/>
    <w:rsid w:val="00FE2049"/>
    <w:rsid w:val="00FF17C1"/>
    <w:rsid w:val="00FF1E02"/>
    <w:rsid w:val="00FF30B4"/>
    <w:rsid w:val="00FF7119"/>
    <w:rsid w:val="026276C0"/>
    <w:rsid w:val="08432F45"/>
    <w:rsid w:val="09826BC0"/>
    <w:rsid w:val="0A2032A3"/>
    <w:rsid w:val="0B8A37D8"/>
    <w:rsid w:val="0BCF7FD5"/>
    <w:rsid w:val="0DBE24E9"/>
    <w:rsid w:val="0F01023B"/>
    <w:rsid w:val="10C055FF"/>
    <w:rsid w:val="118107EC"/>
    <w:rsid w:val="11DD6519"/>
    <w:rsid w:val="124F09F7"/>
    <w:rsid w:val="156D6C3E"/>
    <w:rsid w:val="16BB723D"/>
    <w:rsid w:val="18015F3F"/>
    <w:rsid w:val="1BE8440E"/>
    <w:rsid w:val="1D155CEE"/>
    <w:rsid w:val="20F57F95"/>
    <w:rsid w:val="22A16AC8"/>
    <w:rsid w:val="240371BF"/>
    <w:rsid w:val="240C034F"/>
    <w:rsid w:val="25C741E6"/>
    <w:rsid w:val="27842671"/>
    <w:rsid w:val="29B02B8B"/>
    <w:rsid w:val="29C60207"/>
    <w:rsid w:val="29FC3B2F"/>
    <w:rsid w:val="29FD04D3"/>
    <w:rsid w:val="2ABE7A3E"/>
    <w:rsid w:val="2BE55340"/>
    <w:rsid w:val="2C882B9E"/>
    <w:rsid w:val="2EFA178C"/>
    <w:rsid w:val="2FAD420D"/>
    <w:rsid w:val="30B46D73"/>
    <w:rsid w:val="319F7F4E"/>
    <w:rsid w:val="357D7227"/>
    <w:rsid w:val="35B217E1"/>
    <w:rsid w:val="38613296"/>
    <w:rsid w:val="39AE70AB"/>
    <w:rsid w:val="3B0A4DAB"/>
    <w:rsid w:val="3C0C0783"/>
    <w:rsid w:val="3F9F3A96"/>
    <w:rsid w:val="45B47DEE"/>
    <w:rsid w:val="478657BA"/>
    <w:rsid w:val="493C27E9"/>
    <w:rsid w:val="496F39ED"/>
    <w:rsid w:val="49FF41D3"/>
    <w:rsid w:val="4BE068DB"/>
    <w:rsid w:val="4BF6002B"/>
    <w:rsid w:val="4CF1490A"/>
    <w:rsid w:val="4ECE2238"/>
    <w:rsid w:val="4FC32EE6"/>
    <w:rsid w:val="506D58FF"/>
    <w:rsid w:val="51DB4B86"/>
    <w:rsid w:val="52F85EA5"/>
    <w:rsid w:val="535624E4"/>
    <w:rsid w:val="55333C3E"/>
    <w:rsid w:val="57302415"/>
    <w:rsid w:val="585A246C"/>
    <w:rsid w:val="59193CBA"/>
    <w:rsid w:val="5A7B0A82"/>
    <w:rsid w:val="5BCE7A03"/>
    <w:rsid w:val="5C465FB3"/>
    <w:rsid w:val="5F023C42"/>
    <w:rsid w:val="632C35E5"/>
    <w:rsid w:val="64CA39A1"/>
    <w:rsid w:val="653A1C7A"/>
    <w:rsid w:val="6C4A05C8"/>
    <w:rsid w:val="72734D90"/>
    <w:rsid w:val="729A75A9"/>
    <w:rsid w:val="730B47FF"/>
    <w:rsid w:val="79E7B28D"/>
    <w:rsid w:val="7EEA1BAF"/>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link w:val="30"/>
    <w:unhideWhenUsed/>
    <w:qFormat/>
    <w:uiPriority w:val="9"/>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2"/>
    <w:qFormat/>
    <w:uiPriority w:val="0"/>
    <w:rPr>
      <w:rFonts w:ascii="仿宋_GB2312" w:hAnsi="Courier New"/>
    </w:rPr>
  </w:style>
  <w:style w:type="paragraph" w:styleId="8">
    <w:name w:val="Date"/>
    <w:basedOn w:val="1"/>
    <w:next w:val="1"/>
    <w:link w:val="3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1"/>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10"/>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5"/>
    <w:link w:val="9"/>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纯文本 Char"/>
    <w:basedOn w:val="15"/>
    <w:link w:val="7"/>
    <w:qFormat/>
    <w:uiPriority w:val="0"/>
    <w:rPr>
      <w:rFonts w:ascii="仿宋_GB2312" w:hAnsi="Courier New" w:eastAsia="仿宋_GB2312" w:cs="Times New Roman"/>
      <w:kern w:val="2"/>
      <w:sz w:val="32"/>
      <w:szCs w:val="24"/>
    </w:rPr>
  </w:style>
  <w:style w:type="character" w:customStyle="1" w:styleId="33">
    <w:name w:val="font11"/>
    <w:basedOn w:val="15"/>
    <w:qFormat/>
    <w:uiPriority w:val="0"/>
    <w:rPr>
      <w:rFonts w:hint="eastAsia" w:ascii="宋体" w:hAnsi="宋体" w:eastAsia="宋体" w:cs="宋体"/>
      <w:color w:val="000000"/>
      <w:sz w:val="36"/>
      <w:szCs w:val="36"/>
      <w:u w:val="none"/>
    </w:rPr>
  </w:style>
  <w:style w:type="paragraph" w:customStyle="1" w:styleId="34">
    <w:name w:val="列出段落1"/>
    <w:basedOn w:val="1"/>
    <w:qFormat/>
    <w:uiPriority w:val="0"/>
    <w:pPr>
      <w:ind w:firstLine="420" w:firstLineChars="200"/>
    </w:pPr>
    <w:rPr>
      <w:rFonts w:eastAsia="微软雅黑"/>
    </w:rPr>
  </w:style>
  <w:style w:type="character" w:customStyle="1" w:styleId="35">
    <w:name w:val="fontstyle01"/>
    <w:basedOn w:val="15"/>
    <w:qFormat/>
    <w:uiPriority w:val="0"/>
    <w:rPr>
      <w:rFonts w:hint="eastAsia" w:ascii="方正小标宋简体" w:eastAsia="方正小标宋简体"/>
      <w:color w:val="000000"/>
      <w:sz w:val="44"/>
      <w:szCs w:val="44"/>
    </w:rPr>
  </w:style>
  <w:style w:type="paragraph" w:customStyle="1" w:styleId="36">
    <w:name w:val="样式1"/>
    <w:basedOn w:val="1"/>
    <w:qFormat/>
    <w:uiPriority w:val="0"/>
    <w:pPr>
      <w:spacing w:line="360" w:lineRule="auto"/>
    </w:pPr>
    <w:rPr>
      <w:rFonts w:ascii="Calibri" w:hAnsi="Calibri"/>
      <w:sz w:val="30"/>
      <w:szCs w:val="22"/>
    </w:rPr>
  </w:style>
  <w:style w:type="character" w:customStyle="1" w:styleId="37">
    <w:name w:val="日期 Char"/>
    <w:basedOn w:val="15"/>
    <w:link w:val="8"/>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mn-lt"/>
                <a:ea typeface="+mn-ea"/>
                <a:cs typeface="+mn-cs"/>
              </a:defRPr>
            </a:pPr>
            <a:r>
              <a:rPr lang="zh-CN" sz="1400"/>
              <a:t>收、支决算总计变动情况图（单位：万元）</a:t>
            </a:r>
            <a:endParaRPr lang="zh-CN" sz="1400"/>
          </a:p>
        </c:rich>
      </c:tx>
      <c:layout/>
      <c:overlay val="0"/>
    </c:title>
    <c:autoTitleDeleted val="0"/>
    <c:plotArea>
      <c:layout/>
      <c:barChart>
        <c:barDir val="col"/>
        <c:grouping val="clustered"/>
        <c:varyColors val="0"/>
        <c:ser>
          <c:idx val="0"/>
          <c:order val="0"/>
          <c:tx>
            <c:strRef>
              <c:f>Sheet1!$B$1</c:f>
              <c:strCache>
                <c:ptCount val="1"/>
                <c:pt idx="0">
                  <c:v>2020年收入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金额</c:v>
                </c:pt>
              </c:strCache>
            </c:strRef>
          </c:cat>
          <c:val>
            <c:numRef>
              <c:f>Sheet1!$B$2</c:f>
              <c:numCache>
                <c:formatCode>General</c:formatCode>
                <c:ptCount val="1"/>
                <c:pt idx="0">
                  <c:v>528.770000000001</c:v>
                </c:pt>
              </c:numCache>
            </c:numRef>
          </c:val>
        </c:ser>
        <c:ser>
          <c:idx val="1"/>
          <c:order val="1"/>
          <c:tx>
            <c:strRef>
              <c:f>Sheet1!$C$1</c:f>
              <c:strCache>
                <c:ptCount val="1"/>
                <c:pt idx="0">
                  <c:v>2021年收入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金额</c:v>
                </c:pt>
              </c:strCache>
            </c:strRef>
          </c:cat>
          <c:val>
            <c:numRef>
              <c:f>Sheet1!$C$2</c:f>
              <c:numCache>
                <c:formatCode>General</c:formatCode>
                <c:ptCount val="1"/>
                <c:pt idx="0">
                  <c:v>587.75</c:v>
                </c:pt>
              </c:numCache>
            </c:numRef>
          </c:val>
        </c:ser>
        <c:ser>
          <c:idx val="2"/>
          <c:order val="2"/>
          <c:tx>
            <c:strRef>
              <c:f>Sheet1!$D$1</c:f>
              <c:strCache>
                <c:ptCount val="1"/>
                <c:pt idx="0">
                  <c:v>2020年支出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金额</c:v>
                </c:pt>
              </c:strCache>
            </c:strRef>
          </c:cat>
          <c:val>
            <c:numRef>
              <c:f>Sheet1!$D$2</c:f>
              <c:numCache>
                <c:formatCode>General</c:formatCode>
                <c:ptCount val="1"/>
                <c:pt idx="0">
                  <c:v>683.51</c:v>
                </c:pt>
              </c:numCache>
            </c:numRef>
          </c:val>
        </c:ser>
        <c:ser>
          <c:idx val="3"/>
          <c:order val="3"/>
          <c:tx>
            <c:strRef>
              <c:f>Sheet1!$E$1</c:f>
              <c:strCache>
                <c:ptCount val="1"/>
                <c:pt idx="0">
                  <c:v>2021年支出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金额</c:v>
                </c:pt>
              </c:strCache>
            </c:strRef>
          </c:cat>
          <c:val>
            <c:numRef>
              <c:f>Sheet1!$E$2</c:f>
              <c:numCache>
                <c:formatCode>General</c:formatCode>
                <c:ptCount val="1"/>
                <c:pt idx="0">
                  <c:v>661.1</c:v>
                </c:pt>
              </c:numCache>
            </c:numRef>
          </c:val>
        </c:ser>
        <c:dLbls>
          <c:showLegendKey val="0"/>
          <c:showVal val="1"/>
          <c:showCatName val="0"/>
          <c:showSerName val="0"/>
          <c:showPercent val="0"/>
          <c:showBubbleSize val="0"/>
        </c:dLbls>
        <c:gapWidth val="75"/>
        <c:overlap val="-25"/>
        <c:axId val="166177024"/>
        <c:axId val="189784064"/>
      </c:barChart>
      <c:catAx>
        <c:axId val="16617702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784064"/>
        <c:crosses val="autoZero"/>
        <c:auto val="1"/>
        <c:lblAlgn val="ctr"/>
        <c:lblOffset val="100"/>
        <c:noMultiLvlLbl val="0"/>
      </c:catAx>
      <c:valAx>
        <c:axId val="189784064"/>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17702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d71f092-24d5-41c1-ae9f-c9d429fa4c3e}"/>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收入决算结构图（单位：万元）</a:t>
            </a:r>
            <a:endParaRPr lang="zh-CN" altLang="en-US" sz="1400"/>
          </a:p>
        </c:rich>
      </c:tx>
      <c:layout/>
      <c:overlay val="0"/>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524.15, 89.18%</a:t>
                    </a:r>
                    <a:endParaRPr lang="en-US" altLang="en-US"/>
                  </a:p>
                </c:rich>
              </c:tx>
              <c:dLblPos val="ctr"/>
              <c:showLegendKey val="0"/>
              <c:showVal val="1"/>
              <c:showCatName val="0"/>
              <c:showSerName val="0"/>
              <c:showPercent val="1"/>
              <c:showBubbleSize val="0"/>
              <c:extLst>
                <c:ext xmlns:c15="http://schemas.microsoft.com/office/drawing/2012/chart" uri="{CE6537A1-D6FC-4f65-9D91-7224C49458BB}"/>
              </c:extLst>
            </c:dLbl>
            <c:dLbl>
              <c:idx val="1"/>
              <c:layout>
                <c:manualLayout>
                  <c:x val="-0.073672653305021"/>
                  <c:y val="-0.072704119621372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40.23, </a:t>
                    </a:r>
                    <a:r>
                      <a:rPr lang="zh-CN" altLang="en-US"/>
                      <a:t>占</a:t>
                    </a:r>
                    <a:r>
                      <a:rPr lang="en-US" altLang="zh-CN"/>
                      <a:t>6.84</a:t>
                    </a:r>
                    <a:r>
                      <a:rPr lang="en-US" altLang="en-US"/>
                      <a:t>%</a:t>
                    </a:r>
                    <a:endParaRPr lang="en-US" altLang="en-US"/>
                  </a:p>
                </c:rich>
              </c:tx>
              <c:dLblPos val="ctr"/>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527770515151928"/>
                  <c:y val="0.011688361277315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23.37, </a:t>
                    </a:r>
                    <a:r>
                      <a:rPr lang="zh-CN" altLang="en-US"/>
                      <a:t>占</a:t>
                    </a:r>
                    <a:r>
                      <a:rPr lang="en-US" altLang="zh-CN"/>
                      <a:t>3.98</a:t>
                    </a:r>
                    <a:r>
                      <a:rPr lang="en-US" altLang="en-US"/>
                      <a:t>%</a:t>
                    </a:r>
                    <a:endParaRPr lang="en-US" altLang="en-US"/>
                  </a:p>
                </c:rich>
              </c:tx>
              <c:dLblPos val="ctr"/>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524.15</c:v>
                </c:pt>
                <c:pt idx="1">
                  <c:v>40.23</c:v>
                </c:pt>
                <c:pt idx="2">
                  <c:v>23.37</c:v>
                </c:pt>
              </c:numCache>
            </c:numRef>
          </c:val>
        </c:ser>
        <c:dLbls>
          <c:showLegendKey val="0"/>
          <c:showVal val="1"/>
          <c:showCatName val="0"/>
          <c:showSerName val="0"/>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70cb5770-bb06-48a4-a31a-6307a62cef52}"/>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支出决算结构图（单位：万元）</a:t>
            </a:r>
            <a:endParaRPr lang="zh-CN" altLang="en-US" sz="1200"/>
          </a:p>
        </c:rich>
      </c:tx>
      <c:layout/>
      <c:overlay val="0"/>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
基本支出
</a:t>
                    </a:r>
                    <a:r>
                      <a:rPr lang="en-US" altLang="zh-CN"/>
                      <a:t>406.49
</a:t>
                    </a:r>
                    <a:r>
                      <a:rPr lang="zh-CN" altLang="en-US"/>
                      <a:t>占</a:t>
                    </a:r>
                    <a:r>
                      <a:rPr lang="en-US" altLang="zh-CN"/>
                      <a:t>61.49%</a:t>
                    </a:r>
                    <a:endParaRPr lang="en-US" altLang="zh-CN"/>
                  </a:p>
                </c:rich>
              </c:tx>
              <c:dLblPos val="ctr"/>
              <c:showLegendKey val="0"/>
              <c:showVal val="1"/>
              <c:showCatName val="1"/>
              <c:showSerName val="1"/>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
项目支出
</a:t>
                    </a:r>
                    <a:r>
                      <a:rPr lang="en-US" altLang="zh-CN"/>
                      <a:t>254.61
</a:t>
                    </a:r>
                    <a:r>
                      <a:rPr lang="zh-CN" altLang="en-US"/>
                      <a:t>占</a:t>
                    </a:r>
                    <a:r>
                      <a:rPr lang="en-US" altLang="zh-CN"/>
                      <a:t>38.51%</a:t>
                    </a:r>
                    <a:endParaRPr lang="en-US" altLang="zh-CN"/>
                  </a:p>
                </c:rich>
              </c:tx>
              <c:dLblPos val="ctr"/>
              <c:showLegendKey val="0"/>
              <c:showVal val="1"/>
              <c:showCatName val="1"/>
              <c:showSerName val="1"/>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1"/>
            <c:showSerName val="1"/>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406.489999999999</c:v>
                </c:pt>
                <c:pt idx="1">
                  <c:v>254.61</c:v>
                </c:pt>
              </c:numCache>
            </c:numRef>
          </c:val>
        </c:ser>
        <c:dLbls>
          <c:showLegendKey val="0"/>
          <c:showVal val="1"/>
          <c:showCatName val="1"/>
          <c:showSerName val="1"/>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590c3e71-284f-4021-a94d-2f38c21323fe}"/>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财政拨款收、支决算总计变动情况图</a:t>
            </a:r>
            <a:endParaRPr lang="zh-CN" altLang="en-US" sz="1200"/>
          </a:p>
        </c:rich>
      </c:tx>
      <c:layout/>
      <c:overlay val="0"/>
    </c:title>
    <c:autoTitleDeleted val="0"/>
    <c:plotArea>
      <c:layout/>
      <c:barChart>
        <c:barDir val="col"/>
        <c:grouping val="clustered"/>
        <c:varyColors val="0"/>
        <c:ser>
          <c:idx val="0"/>
          <c:order val="0"/>
          <c:tx>
            <c:strRef>
              <c:f>Sheet1!$B$1</c:f>
              <c:strCache>
                <c:ptCount val="1"/>
                <c:pt idx="0">
                  <c:v>金额</c:v>
                </c:pt>
              </c:strCache>
            </c:strRef>
          </c:tx>
          <c:invertIfNegative val="0"/>
          <c:dLbls>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1248.</a:t>
                    </a:r>
                    <a:r>
                      <a:rPr lang="en-US" altLang="zh-CN"/>
                      <a:t>85</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2020年财政拨款收支</c:v>
                </c:pt>
                <c:pt idx="1">
                  <c:v>2021年财政拨款收支</c:v>
                </c:pt>
              </c:strCache>
            </c:strRef>
          </c:cat>
          <c:val>
            <c:numRef>
              <c:f>Sheet1!$B$2:$B$3</c:f>
              <c:numCache>
                <c:formatCode>General</c:formatCode>
                <c:ptCount val="2"/>
                <c:pt idx="0">
                  <c:v>1212.28</c:v>
                </c:pt>
                <c:pt idx="1">
                  <c:v>1248</c:v>
                </c:pt>
              </c:numCache>
            </c:numRef>
          </c:val>
        </c:ser>
        <c:dLbls>
          <c:showLegendKey val="0"/>
          <c:showVal val="1"/>
          <c:showCatName val="0"/>
          <c:showSerName val="0"/>
          <c:showPercent val="0"/>
          <c:showBubbleSize val="0"/>
        </c:dLbls>
        <c:gapWidth val="150"/>
        <c:axId val="274547840"/>
        <c:axId val="274549376"/>
      </c:barChart>
      <c:catAx>
        <c:axId val="2745478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549376"/>
        <c:crosses val="autoZero"/>
        <c:auto val="1"/>
        <c:lblAlgn val="ctr"/>
        <c:lblOffset val="100"/>
        <c:noMultiLvlLbl val="0"/>
      </c:catAx>
      <c:valAx>
        <c:axId val="2745493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45478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6679b8a-5bc2-4ca1-a0dc-eaa7cedbe4c6}"/>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800" b="1" i="0" u="none" strike="noStrike" kern="1200" baseline="0">
                <a:solidFill>
                  <a:schemeClr val="tx1"/>
                </a:solidFill>
                <a:latin typeface="+mn-lt"/>
                <a:ea typeface="+mn-ea"/>
                <a:cs typeface="+mn-cs"/>
              </a:defRPr>
            </a:pPr>
            <a:r>
              <a:rPr lang="zh-CN" altLang="en-US" sz="1200"/>
              <a:t>一般公共预算财政拨款支出决算变动情况图（单位：万元）</a:t>
            </a:r>
            <a:endParaRPr lang="zh-CN" altLang="en-US" sz="1200"/>
          </a:p>
        </c:rich>
      </c:tx>
      <c:layout>
        <c:manualLayout>
          <c:xMode val="edge"/>
          <c:yMode val="edge"/>
          <c:x val="0.171382228196674"/>
          <c:y val="0.020639834881321"/>
        </c:manualLayout>
      </c:layout>
      <c:overlay val="0"/>
    </c:title>
    <c:autoTitleDeleted val="0"/>
    <c:plotArea>
      <c:layout>
        <c:manualLayout>
          <c:layoutTarget val="inner"/>
          <c:xMode val="edge"/>
          <c:yMode val="edge"/>
          <c:x val="0.0856903878342352"/>
          <c:y val="0.194920755651466"/>
          <c:w val="0.783949066821466"/>
          <c:h val="0.612583135812078"/>
        </c:manualLayout>
      </c:layout>
      <c:barChart>
        <c:barDir val="col"/>
        <c:grouping val="clustered"/>
        <c:varyColors val="0"/>
        <c:ser>
          <c:idx val="0"/>
          <c:order val="0"/>
          <c:tx>
            <c:strRef>
              <c:f>Sheet1!$B$1</c:f>
              <c:strCache>
                <c:ptCount val="1"/>
                <c:pt idx="0">
                  <c:v>金额</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570.49</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570.49</c:v>
                </c:pt>
                <c:pt idx="1">
                  <c:v>524.15</c:v>
                </c:pt>
              </c:numCache>
            </c:numRef>
          </c:val>
        </c:ser>
        <c:dLbls>
          <c:showLegendKey val="0"/>
          <c:showVal val="1"/>
          <c:showCatName val="0"/>
          <c:showSerName val="0"/>
          <c:showPercent val="0"/>
          <c:showBubbleSize val="0"/>
        </c:dLbls>
        <c:gapWidth val="150"/>
        <c:axId val="189456768"/>
        <c:axId val="189458304"/>
      </c:barChart>
      <c:catAx>
        <c:axId val="189456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458304"/>
        <c:crosses val="autoZero"/>
        <c:auto val="1"/>
        <c:lblAlgn val="ctr"/>
        <c:lblOffset val="100"/>
        <c:noMultiLvlLbl val="0"/>
      </c:catAx>
      <c:valAx>
        <c:axId val="1894583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9456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9d4217a5-a26b-4662-bce6-3b23b6665ead}"/>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一般公共预算财政拨款支出决算结构图（单位：万元）</a:t>
            </a:r>
            <a:endParaRPr lang="zh-CN" altLang="en-US" sz="1200"/>
          </a:p>
        </c:rich>
      </c:tx>
      <c:layout/>
      <c:overlay val="0"/>
    </c:title>
    <c:autoTitleDeleted val="0"/>
    <c:plotArea>
      <c:layout/>
      <c:pieChart>
        <c:varyColors val="1"/>
        <c:ser>
          <c:idx val="0"/>
          <c:order val="0"/>
          <c:tx>
            <c:strRef>
              <c:f>Sheet1!$B$1</c:f>
              <c:strCache>
                <c:ptCount val="1"/>
                <c:pt idx="0">
                  <c:v>金额</c:v>
                </c:pt>
              </c:strCache>
            </c:strRef>
          </c:tx>
          <c:explosion val="0"/>
          <c:dPt>
            <c:idx val="0"/>
            <c:bubble3D val="0"/>
          </c:dPt>
          <c:dPt>
            <c:idx val="1"/>
            <c:bubble3D val="0"/>
          </c:dPt>
          <c:dLbls>
            <c:dLbl>
              <c:idx val="0"/>
              <c:layout>
                <c:manualLayout>
                  <c:x val="-0.0132612312186508"/>
                  <c:y val="0.02342873440190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
</a:t>
                    </a:r>
                    <a:r>
                      <a:rPr lang="en-US" altLang="zh-CN"/>
                      <a:t>493.03</a:t>
                    </a:r>
                    <a:r>
                      <a:rPr lang="zh-CN" altLang="en-US"/>
                      <a:t>万</a:t>
                    </a:r>
                    <a:r>
                      <a:rPr lang="en-US" altLang="zh-CN"/>
                      <a:t>
94.06%</a:t>
                    </a:r>
                    <a:endParaRPr lang="en-US" altLang="zh-CN"/>
                  </a:p>
                </c:rich>
              </c:tx>
              <c:dLblPos val="ctr"/>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0265224624373015"/>
                  <c:y val="-0.028114481282285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
</a:t>
                    </a:r>
                    <a:r>
                      <a:rPr lang="en-US" altLang="zh-CN"/>
                      <a:t>31.12</a:t>
                    </a:r>
                    <a:r>
                      <a:rPr lang="zh-CN" altLang="en-US"/>
                      <a:t>万元</a:t>
                    </a:r>
                    <a:r>
                      <a:rPr lang="en-US" altLang="zh-CN"/>
                      <a:t>
5.94%</a:t>
                    </a:r>
                    <a:endParaRPr lang="en-US" altLang="zh-CN"/>
                  </a:p>
                </c:rich>
              </c:tx>
              <c:dLblPos val="ctr"/>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社会保障和就业支出</c:v>
                </c:pt>
                <c:pt idx="1">
                  <c:v>住房保障支出</c:v>
                </c:pt>
              </c:strCache>
            </c:strRef>
          </c:cat>
          <c:val>
            <c:numRef>
              <c:f>Sheet1!$B$2:$B$3</c:f>
              <c:numCache>
                <c:formatCode>General</c:formatCode>
                <c:ptCount val="2"/>
                <c:pt idx="0">
                  <c:v>493.03</c:v>
                </c:pt>
                <c:pt idx="1">
                  <c:v>31.12</c:v>
                </c:pt>
              </c:numCache>
            </c:numRef>
          </c:val>
        </c:ser>
        <c:dLbls>
          <c:showLegendKey val="0"/>
          <c:showVal val="1"/>
          <c:showCatName val="1"/>
          <c:showSerName val="0"/>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ac2e32ab-55a1-428d-9eff-33888e8b7041}"/>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“三公”经费财政拨款支出结构图（单位：万元）</a:t>
            </a:r>
            <a:endParaRPr lang="zh-CN" altLang="en-US" sz="1200"/>
          </a:p>
        </c:rich>
      </c:tx>
      <c:layout>
        <c:manualLayout>
          <c:xMode val="edge"/>
          <c:yMode val="edge"/>
          <c:x val="0.134465655007808"/>
          <c:y val="0.0319293498187109"/>
        </c:manualLayout>
      </c:layout>
      <c:overlay val="0"/>
    </c:title>
    <c:autoTitleDeleted val="0"/>
    <c:plotArea>
      <c:layout>
        <c:manualLayout>
          <c:layoutTarget val="inner"/>
          <c:xMode val="edge"/>
          <c:yMode val="edge"/>
          <c:x val="0.0287150183451352"/>
          <c:y val="0.21192400295597"/>
          <c:w val="0.618913885777125"/>
          <c:h val="0.60252041841899"/>
        </c:manualLayout>
      </c:layout>
      <c:pieChart>
        <c:varyColors val="1"/>
        <c:ser>
          <c:idx val="0"/>
          <c:order val="0"/>
          <c:tx>
            <c:strRef>
              <c:f>Sheet1!$B$1</c:f>
              <c:strCache>
                <c:ptCount val="1"/>
                <c:pt idx="0">
                  <c:v>金额</c:v>
                </c:pt>
              </c:strCache>
            </c:strRef>
          </c:tx>
          <c:explosion val="0"/>
          <c:dPt>
            <c:idx val="0"/>
            <c:bubble3D val="0"/>
          </c:dPt>
          <c:dPt>
            <c:idx val="1"/>
            <c:bubble3D val="0"/>
          </c:dPt>
          <c:dPt>
            <c:idx val="2"/>
            <c:bubble3D val="0"/>
          </c:dPt>
          <c:dLbls>
            <c:dLbl>
              <c:idx val="1"/>
              <c:layout>
                <c:manualLayout>
                  <c:x val="-0.0548195804770763"/>
                  <c:y val="0.107426913940815"/>
                </c:manualLayout>
              </c:layout>
              <c:dLblPos val="ctr"/>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626509491166586"/>
                  <c:y val="0.0439473738848787"/>
                </c:manualLayout>
              </c:layout>
              <c:dLblPos val="ctr"/>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公费出国</c:v>
                </c:pt>
                <c:pt idx="1">
                  <c:v>公车运行费</c:v>
                </c:pt>
                <c:pt idx="2">
                  <c:v>公务接待费</c:v>
                </c:pt>
              </c:strCache>
            </c:strRef>
          </c:cat>
          <c:val>
            <c:numRef>
              <c:f>Sheet1!$B$2:$B$4</c:f>
              <c:numCache>
                <c:formatCode>General</c:formatCode>
                <c:ptCount val="3"/>
                <c:pt idx="0">
                  <c:v>0</c:v>
                </c:pt>
                <c:pt idx="1">
                  <c:v>0.19</c:v>
                </c:pt>
                <c:pt idx="2">
                  <c:v>0.09</c:v>
                </c:pt>
              </c:numCache>
            </c:numRef>
          </c:val>
        </c:ser>
        <c:dLbls>
          <c:showLegendKey val="0"/>
          <c:showVal val="1"/>
          <c:showCatName val="1"/>
          <c:showSerName val="0"/>
          <c:showPercent val="1"/>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edc269d8-d232-4f23-ab84-35d9cece7793}"/>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1871B-E921-4C19-8FA3-293C0929C66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1005</Words>
  <Characters>2804</Characters>
  <Lines>96</Lines>
  <Paragraphs>27</Paragraphs>
  <TotalTime>4</TotalTime>
  <ScaleCrop>false</ScaleCrop>
  <LinksUpToDate>false</LinksUpToDate>
  <CharactersWithSpaces>2823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张敏</cp:lastModifiedBy>
  <cp:lastPrinted>2022-08-06T02:23:00Z</cp:lastPrinted>
  <dcterms:modified xsi:type="dcterms:W3CDTF">2025-06-20T02:44:35Z</dcterms:modified>
  <dc:title>四川省***</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6A85B55E73374E24B28F006B78B26700_12</vt:lpwstr>
  </property>
  <property fmtid="{D5CDD505-2E9C-101B-9397-08002B2CF9AE}" pid="4" name="KSOTemplateDocerSaveRecord">
    <vt:lpwstr>eyJoZGlkIjoiMjYwNjdmOTBjNzBhNjM1M2NkNzUxYjQxN2Y0MmE4NWUiLCJ1c2VySWQiOiI2MDY1OTM0MDIifQ==</vt:lpwstr>
  </property>
</Properties>
</file>