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59BC9">
      <w:pPr>
        <w:pStyle w:val="2"/>
        <w:spacing w:before="93" w:beforeLines="0"/>
        <w:rPr>
          <w:rFonts w:ascii="Times New Roman" w:hAnsi="Times New Roman" w:eastAsia="方正小标宋简体"/>
          <w:kern w:val="2"/>
          <w:sz w:val="72"/>
          <w:szCs w:val="72"/>
        </w:rPr>
      </w:pPr>
      <w:bookmarkStart w:id="0" w:name="_Toc15396597"/>
      <w:bookmarkStart w:id="1" w:name="_Toc15377193"/>
      <w:bookmarkStart w:id="2" w:name="_Toc15378441"/>
      <w:bookmarkStart w:id="3" w:name="_Toc15377425"/>
      <w:bookmarkStart w:id="4" w:name="_Toc15306267"/>
      <w:bookmarkStart w:id="5" w:name="_Toc15396475"/>
    </w:p>
    <w:p w14:paraId="2FEB958B">
      <w:pPr>
        <w:pStyle w:val="2"/>
        <w:spacing w:before="93" w:beforeLines="0"/>
        <w:rPr>
          <w:rFonts w:ascii="Times New Roman" w:hAnsi="Times New Roman" w:eastAsia="方正小标宋简体"/>
          <w:kern w:val="2"/>
          <w:sz w:val="72"/>
          <w:szCs w:val="72"/>
        </w:rPr>
      </w:pPr>
    </w:p>
    <w:p w14:paraId="27021709">
      <w:pPr>
        <w:pStyle w:val="2"/>
        <w:spacing w:before="93" w:beforeLines="0"/>
        <w:rPr>
          <w:rFonts w:ascii="Times New Roman" w:hAnsi="Times New Roman" w:eastAsia="方正小标宋简体"/>
          <w:kern w:val="2"/>
          <w:sz w:val="72"/>
          <w:szCs w:val="72"/>
        </w:rPr>
      </w:pPr>
    </w:p>
    <w:p w14:paraId="2AEB8538">
      <w:pPr>
        <w:pStyle w:val="2"/>
        <w:keepNext w:val="0"/>
        <w:keepLines w:val="0"/>
        <w:pageBreakBefore w:val="0"/>
        <w:widowControl w:val="0"/>
        <w:kinsoku/>
        <w:wordWrap/>
        <w:overflowPunct/>
        <w:topLinePunct w:val="0"/>
        <w:autoSpaceDE/>
        <w:autoSpaceDN/>
        <w:bidi w:val="0"/>
        <w:adjustRightInd/>
        <w:snapToGrid/>
        <w:spacing w:before="93" w:beforeLines="0" w:line="700" w:lineRule="exact"/>
        <w:jc w:val="center"/>
        <w:textAlignment w:val="auto"/>
        <w:rPr>
          <w:rFonts w:hint="eastAsia" w:ascii="方正小标宋_GBK" w:hAnsi="方正小标宋_GBK" w:eastAsia="方正小标宋_GBK" w:cs="方正小标宋_GBK"/>
          <w:b/>
          <w:bCs/>
          <w:kern w:val="2"/>
          <w:sz w:val="44"/>
          <w:szCs w:val="44"/>
          <w:lang w:eastAsia="zh-CN"/>
        </w:rPr>
      </w:pPr>
    </w:p>
    <w:p w14:paraId="684EA709">
      <w:pPr>
        <w:pStyle w:val="2"/>
        <w:keepNext w:val="0"/>
        <w:keepLines w:val="0"/>
        <w:pageBreakBefore w:val="0"/>
        <w:widowControl w:val="0"/>
        <w:kinsoku/>
        <w:wordWrap/>
        <w:overflowPunct/>
        <w:topLinePunct w:val="0"/>
        <w:autoSpaceDE/>
        <w:autoSpaceDN/>
        <w:bidi w:val="0"/>
        <w:adjustRightInd/>
        <w:snapToGrid/>
        <w:spacing w:before="93" w:beforeLines="0" w:line="700" w:lineRule="exact"/>
        <w:jc w:val="center"/>
        <w:textAlignment w:val="auto"/>
        <w:rPr>
          <w:rFonts w:hint="eastAsia" w:ascii="方正小标宋_GBK" w:hAnsi="方正小标宋_GBK" w:eastAsia="方正小标宋_GBK" w:cs="方正小标宋_GBK"/>
          <w:b/>
          <w:bCs/>
          <w:kern w:val="2"/>
          <w:sz w:val="44"/>
          <w:szCs w:val="44"/>
          <w:lang w:eastAsia="zh-CN"/>
        </w:rPr>
      </w:pPr>
      <w:r>
        <w:rPr>
          <w:rFonts w:hint="eastAsia" w:ascii="方正小标宋_GBK" w:hAnsi="方正小标宋_GBK" w:eastAsia="方正小标宋_GBK" w:cs="方正小标宋_GBK"/>
          <w:b/>
          <w:bCs/>
          <w:kern w:val="2"/>
          <w:sz w:val="44"/>
          <w:szCs w:val="44"/>
          <w:lang w:eastAsia="zh-CN"/>
        </w:rPr>
        <w:t>2024年度</w:t>
      </w:r>
      <w:r>
        <w:rPr>
          <w:rFonts w:hint="eastAsia" w:ascii="方正小标宋_GBK" w:hAnsi="方正小标宋_GBK" w:eastAsia="方正小标宋_GBK" w:cs="方正小标宋_GBK"/>
          <w:b/>
          <w:bCs/>
          <w:kern w:val="2"/>
          <w:sz w:val="44"/>
          <w:szCs w:val="44"/>
          <w:lang w:val="en-US" w:eastAsia="zh-CN"/>
        </w:rPr>
        <w:t>四川省</w:t>
      </w:r>
      <w:r>
        <w:rPr>
          <w:rFonts w:hint="eastAsia" w:ascii="方正小标宋_GBK" w:hAnsi="方正小标宋_GBK" w:eastAsia="方正小标宋_GBK" w:cs="方正小标宋_GBK"/>
          <w:b/>
          <w:bCs/>
          <w:kern w:val="2"/>
          <w:sz w:val="44"/>
          <w:szCs w:val="44"/>
          <w:lang w:eastAsia="zh-CN"/>
        </w:rPr>
        <w:t>攀枝花市民政局单位决算</w:t>
      </w:r>
    </w:p>
    <w:p w14:paraId="01D2F700">
      <w:pPr>
        <w:pStyle w:val="2"/>
        <w:keepNext w:val="0"/>
        <w:keepLines w:val="0"/>
        <w:pageBreakBefore w:val="0"/>
        <w:widowControl w:val="0"/>
        <w:kinsoku/>
        <w:wordWrap/>
        <w:overflowPunct/>
        <w:topLinePunct w:val="0"/>
        <w:autoSpaceDE/>
        <w:autoSpaceDN/>
        <w:bidi w:val="0"/>
        <w:adjustRightInd/>
        <w:snapToGrid/>
        <w:spacing w:before="93" w:beforeLines="0" w:line="700" w:lineRule="exact"/>
        <w:jc w:val="center"/>
        <w:textAlignment w:val="auto"/>
        <w:rPr>
          <w:rFonts w:hint="eastAsia" w:ascii="方正小标宋_GBK" w:hAnsi="方正小标宋_GBK" w:eastAsia="方正小标宋_GBK" w:cs="方正小标宋_GBK"/>
          <w:b/>
          <w:bCs/>
          <w:kern w:val="2"/>
          <w:sz w:val="44"/>
          <w:szCs w:val="44"/>
          <w:lang w:eastAsia="zh-CN"/>
        </w:rPr>
      </w:pPr>
      <w:r>
        <w:rPr>
          <w:rFonts w:hint="eastAsia" w:ascii="方正小标宋_GBK" w:hAnsi="方正小标宋_GBK" w:eastAsia="方正小标宋_GBK" w:cs="方正小标宋_GBK"/>
          <w:b/>
          <w:bCs/>
          <w:kern w:val="2"/>
          <w:sz w:val="44"/>
          <w:szCs w:val="44"/>
          <w:lang w:eastAsia="zh-CN"/>
        </w:rPr>
        <w:t>公开文字说明</w:t>
      </w:r>
    </w:p>
    <w:p w14:paraId="6D9F064D">
      <w:pPr>
        <w:pStyle w:val="2"/>
        <w:keepNext w:val="0"/>
        <w:keepLines w:val="0"/>
        <w:pageBreakBefore w:val="0"/>
        <w:widowControl w:val="0"/>
        <w:kinsoku/>
        <w:wordWrap/>
        <w:overflowPunct/>
        <w:topLinePunct w:val="0"/>
        <w:autoSpaceDE/>
        <w:autoSpaceDN/>
        <w:bidi w:val="0"/>
        <w:adjustRightInd/>
        <w:snapToGrid/>
        <w:spacing w:before="93" w:beforeLines="0" w:line="700" w:lineRule="exact"/>
        <w:jc w:val="center"/>
        <w:textAlignment w:val="auto"/>
        <w:rPr>
          <w:rFonts w:hint="eastAsia" w:ascii="方正小标宋_GBK" w:hAnsi="方正小标宋_GBK" w:eastAsia="方正小标宋_GBK" w:cs="方正小标宋_GBK"/>
          <w:b/>
          <w:bCs/>
          <w:kern w:val="2"/>
          <w:sz w:val="44"/>
          <w:szCs w:val="44"/>
          <w:lang w:eastAsia="zh-CN"/>
        </w:rPr>
        <w:sectPr>
          <w:headerReference r:id="rId3" w:type="default"/>
          <w:footerReference r:id="rId4" w:type="default"/>
          <w:footerReference r:id="rId5" w:type="even"/>
          <w:pgSz w:w="11906" w:h="16838"/>
          <w:pgMar w:top="1440" w:right="1800" w:bottom="1440" w:left="1800" w:header="851" w:footer="992" w:gutter="0"/>
          <w:pgNumType w:fmt="decimal" w:start="1"/>
          <w:cols w:space="720" w:num="1"/>
          <w:titlePg/>
          <w:docGrid w:type="lines" w:linePitch="312" w:charSpace="0"/>
        </w:sectPr>
      </w:pPr>
    </w:p>
    <w:bookmarkEnd w:id="0"/>
    <w:bookmarkEnd w:id="1"/>
    <w:bookmarkEnd w:id="2"/>
    <w:bookmarkEnd w:id="3"/>
    <w:bookmarkEnd w:id="4"/>
    <w:bookmarkEnd w:id="5"/>
    <w:p w14:paraId="531F8DBD">
      <w:pPr>
        <w:widowControl/>
        <w:jc w:val="center"/>
        <w:rPr>
          <w:rFonts w:eastAsia="黑体"/>
          <w:sz w:val="48"/>
          <w:szCs w:val="48"/>
        </w:rPr>
      </w:pPr>
      <w:bookmarkStart w:id="60" w:name="_GoBack"/>
      <w:bookmarkEnd w:id="60"/>
      <w:r>
        <w:rPr>
          <w:rFonts w:hint="eastAsia" w:eastAsia="黑体"/>
          <w:sz w:val="48"/>
          <w:szCs w:val="48"/>
        </w:rPr>
        <w:t>目录</w:t>
      </w:r>
    </w:p>
    <w:p w14:paraId="0F92424C">
      <w:pPr>
        <w:widowControl/>
        <w:jc w:val="center"/>
        <w:rPr>
          <w:rFonts w:eastAsia="黑体" w:cs="Arial"/>
          <w:sz w:val="28"/>
          <w:szCs w:val="28"/>
        </w:rPr>
      </w:pPr>
    </w:p>
    <w:p w14:paraId="79F88F34">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日</w:t>
      </w:r>
    </w:p>
    <w:p w14:paraId="27139EF5"/>
    <w:p w14:paraId="5F9A4503">
      <w:pPr>
        <w:pStyle w:val="13"/>
        <w:adjustRightInd w:val="0"/>
        <w:snapToGrid w:val="0"/>
        <w:spacing w:before="0" w:line="600" w:lineRule="exact"/>
        <w:jc w:val="left"/>
        <w:rPr>
          <w:rFonts w:hint="eastAsia" w:ascii="黑体" w:hAnsi="黑体" w:eastAsia="仿宋" w:cs="黑体"/>
          <w:sz w:val="32"/>
          <w:szCs w:val="32"/>
          <w:lang w:eastAsia="zh-CN" w:bidi="ar-SA"/>
        </w:rPr>
      </w:pPr>
      <w:r>
        <w:rPr>
          <w:rFonts w:hint="eastAsia" w:ascii="黑体" w:eastAsia="黑体" w:cs="黑体"/>
          <w:sz w:val="32"/>
          <w:szCs w:val="32"/>
          <w:lang w:bidi="ar-SA"/>
        </w:rPr>
        <w:t>第一部分 单位概况</w:t>
      </w:r>
      <w:r>
        <w:rPr>
          <w:rFonts w:hint="eastAsia"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w:t>
      </w:r>
    </w:p>
    <w:p w14:paraId="04C9DC75">
      <w:pPr>
        <w:pStyle w:val="13"/>
        <w:spacing w:line="600" w:lineRule="exact"/>
        <w:rPr>
          <w:rFonts w:hint="eastAsia" w:ascii="Times New Roman" w:hAnsi="Times New Roman" w:eastAsia="方正仿宋简体" w:cs="Times New Roman"/>
          <w:kern w:val="2"/>
          <w:sz w:val="32"/>
          <w:szCs w:val="32"/>
          <w:lang w:val="en-US" w:eastAsia="zh-CN" w:bidi="ar-SA"/>
        </w:rPr>
      </w:pPr>
      <w:r>
        <w:rPr>
          <w:rFonts w:hint="eastAsia" w:ascii="楷体_GB2312" w:eastAsia="楷体_GB2312" w:cs="楷体_GB2312"/>
          <w:sz w:val="32"/>
          <w:szCs w:val="32"/>
          <w:lang w:bidi="ar-SA"/>
        </w:rPr>
        <w:t xml:space="preserve">    </w:t>
      </w:r>
      <w:r>
        <w:rPr>
          <w:rFonts w:hint="eastAsia" w:ascii="Times New Roman" w:hAnsi="Times New Roman" w:eastAsia="方正仿宋简体" w:cs="Times New Roman"/>
          <w:kern w:val="2"/>
          <w:sz w:val="32"/>
          <w:szCs w:val="32"/>
          <w:lang w:val="en-US" w:eastAsia="zh-CN" w:bidi="ar-SA"/>
        </w:rPr>
        <w:t>一、单位职责</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w:t>
      </w:r>
    </w:p>
    <w:p w14:paraId="5BF64B80">
      <w:pPr>
        <w:pStyle w:val="13"/>
        <w:spacing w:line="600" w:lineRule="exact"/>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二、机构设置</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3</w:t>
      </w:r>
    </w:p>
    <w:p w14:paraId="7E094F39">
      <w:pPr>
        <w:pStyle w:val="13"/>
        <w:adjustRightInd w:val="0"/>
        <w:snapToGrid w:val="0"/>
        <w:spacing w:before="0" w:line="600" w:lineRule="exact"/>
        <w:jc w:val="left"/>
        <w:rPr>
          <w:rFonts w:hint="eastAsia"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第二部分 2024年度单位决算情况说明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5ADBDFC7">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一、收入支出决算总体情况说明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01618245">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二、收入决算情况说明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4</w:t>
      </w:r>
    </w:p>
    <w:p w14:paraId="74A921E4">
      <w:pPr>
        <w:pStyle w:val="13"/>
        <w:keepNext w:val="0"/>
        <w:keepLines w:val="0"/>
        <w:pageBreakBefore w:val="0"/>
        <w:widowControl w:val="0"/>
        <w:suppressAutoHyphens/>
        <w:kinsoku/>
        <w:wordWrap/>
        <w:overflowPunct/>
        <w:topLinePunct w:val="0"/>
        <w:autoSpaceDE/>
        <w:autoSpaceDN/>
        <w:bidi w:val="0"/>
        <w:adjustRightInd w:val="0"/>
        <w:snapToGrid w:val="0"/>
        <w:spacing w:before="0" w:line="600" w:lineRule="exact"/>
        <w:ind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5</w:t>
      </w:r>
    </w:p>
    <w:p w14:paraId="45E5C1CD">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四、财政拨款收入支出决算总体情况说明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6</w:t>
      </w:r>
    </w:p>
    <w:p w14:paraId="01ECC0E3">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五、一般公共预算财政拨款支出决算情况说明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6</w:t>
      </w:r>
    </w:p>
    <w:p w14:paraId="5389B764">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六、一般公共预算财政拨款基本支出决算情况说明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w:t>
      </w:r>
    </w:p>
    <w:p w14:paraId="3F873CEE">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七、财政拨款“三公”经费支出决算情况说明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10</w:t>
      </w:r>
    </w:p>
    <w:p w14:paraId="1D88461C">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八、政府性基金预算支出决算情况说明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12</w:t>
      </w:r>
    </w:p>
    <w:p w14:paraId="5BDBE294">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九、国有资本经营预算支出决算情况说明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12</w:t>
      </w:r>
    </w:p>
    <w:p w14:paraId="26F50DAF">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十、其他重要事项的情况说明</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13</w:t>
      </w:r>
    </w:p>
    <w:p w14:paraId="7576D610">
      <w:pPr>
        <w:pStyle w:val="13"/>
        <w:adjustRightInd w:val="0"/>
        <w:snapToGrid w:val="0"/>
        <w:spacing w:before="0" w:line="600" w:lineRule="exact"/>
        <w:jc w:val="left"/>
        <w:rPr>
          <w:rFonts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第三部分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名词解释</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15</w:t>
      </w:r>
    </w:p>
    <w:p w14:paraId="5849BED6">
      <w:pPr>
        <w:pStyle w:val="13"/>
        <w:adjustRightInd w:val="0"/>
        <w:snapToGrid w:val="0"/>
        <w:spacing w:before="0" w:line="600" w:lineRule="exact"/>
        <w:jc w:val="left"/>
        <w:rPr>
          <w:rFonts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第四部分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附件</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7044FC03">
      <w:pPr>
        <w:pStyle w:val="13"/>
        <w:adjustRightInd w:val="0"/>
        <w:snapToGrid w:val="0"/>
        <w:spacing w:before="0" w:line="600" w:lineRule="exact"/>
        <w:jc w:val="left"/>
        <w:rPr>
          <w:rFonts w:hint="default" w:ascii="Times New Roman" w:hAnsi="Times New Roman" w:eastAsia="方正仿宋简体" w:cs="Times New Roman"/>
          <w:kern w:val="2"/>
          <w:sz w:val="32"/>
          <w:szCs w:val="32"/>
          <w:lang w:val="en-US" w:eastAsia="zh-CN" w:bidi="ar-SA"/>
        </w:rPr>
      </w:pPr>
      <w:r>
        <w:rPr>
          <w:rFonts w:hint="eastAsia" w:ascii="黑体" w:eastAsia="黑体" w:cs="黑体"/>
          <w:sz w:val="32"/>
          <w:szCs w:val="32"/>
          <w:lang w:val="en-US" w:eastAsia="zh-CN" w:bidi="ar-SA"/>
        </w:rPr>
        <w:t>第五部分</w:t>
      </w:r>
      <w:r>
        <w:rPr>
          <w:rFonts w:ascii="黑体" w:eastAsia="黑体" w:cs="黑体"/>
          <w:sz w:val="32"/>
          <w:szCs w:val="32"/>
          <w:lang w:val="en-US" w:eastAsia="zh-CN" w:bidi="ar-SA"/>
        </w:rPr>
        <w:t xml:space="preserve"> </w:t>
      </w:r>
      <w:r>
        <w:rPr>
          <w:rFonts w:hint="eastAsia" w:ascii="黑体" w:eastAsia="黑体" w:cs="黑体"/>
          <w:sz w:val="32"/>
          <w:szCs w:val="32"/>
          <w:lang w:val="en-US" w:eastAsia="zh-CN" w:bidi="ar-SA"/>
        </w:rPr>
        <w:t>附表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1B87774C">
      <w:pPr>
        <w:pStyle w:val="13"/>
        <w:pageBreakBefore w:val="0"/>
        <w:widowControl w:val="0"/>
        <w:numPr>
          <w:ilvl w:val="0"/>
          <w:numId w:val="1"/>
        </w:numPr>
        <w:kinsoku/>
        <w:wordWrap/>
        <w:overflowPunct/>
        <w:topLinePunct w:val="0"/>
        <w:autoSpaceDE/>
        <w:autoSpaceDN/>
        <w:bidi w:val="0"/>
        <w:adjustRightInd w:val="0"/>
        <w:snapToGrid w:val="0"/>
        <w:spacing w:before="0" w:line="600" w:lineRule="exact"/>
        <w:ind w:left="0" w:firstLine="640" w:firstLineChars="200"/>
        <w:jc w:val="lef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收入支出决算总表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5FC27071">
      <w:pPr>
        <w:pStyle w:val="13"/>
        <w:pageBreakBefore w:val="0"/>
        <w:widowControl w:val="0"/>
        <w:kinsoku/>
        <w:wordWrap/>
        <w:overflowPunct/>
        <w:topLinePunct w:val="0"/>
        <w:autoSpaceDE/>
        <w:autoSpaceDN/>
        <w:bidi w:val="0"/>
        <w:spacing w:before="0"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二、收入决算表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18F1EE3A">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3A15AA2D">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四、财政拨款收入支出决算总表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307D3C87">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五、财政拨款支出决算明细表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293B399D">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六、一般公共预算财政拨款支出决算表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6188F708">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七、一般公共预算财政拨款支出决算明细表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494387D9">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八、一般公共预算财政拨款基本支出决算明细表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05F2352F">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九、一般公共预算财政拨款项目支出决算表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71BB76F7">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十、政府性基金预算财政拨款收入支出决算表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78F9C0F6">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十一、国有资本经营预算财政拨款收入支出决算表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358DE0B0">
      <w:pPr>
        <w:pStyle w:val="13"/>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十二、国有资本经营预算财政拨款支出决算表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028F2B6B">
      <w:pPr>
        <w:pStyle w:val="15"/>
        <w:adjustRightInd w:val="0"/>
        <w:snapToGrid w:val="0"/>
        <w:spacing w:line="560" w:lineRule="exact"/>
        <w:ind w:left="0" w:leftChars="0" w:firstLine="640" w:firstLineChars="200"/>
        <w:jc w:val="left"/>
        <w:rPr>
          <w:rFonts w:hint="eastAsia" w:ascii="Times New Roman" w:hAnsi="Times New Roman" w:eastAsia="方正仿宋简体" w:cs="Times New Roman"/>
          <w:kern w:val="2"/>
          <w:sz w:val="32"/>
          <w:szCs w:val="32"/>
          <w:lang w:val="en-US" w:eastAsia="zh-CN" w:bidi="ar-SA"/>
        </w:rPr>
        <w:sectPr>
          <w:headerReference r:id="rId8" w:type="first"/>
          <w:headerReference r:id="rId6" w:type="default"/>
          <w:footerReference r:id="rId9" w:type="default"/>
          <w:headerReference r:id="rId7" w:type="even"/>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eastAsia="方正仿宋简体" w:cs="Times New Roman"/>
          <w:kern w:val="2"/>
          <w:sz w:val="32"/>
          <w:szCs w:val="32"/>
          <w:lang w:val="en-US" w:eastAsia="zh-CN" w:bidi="ar-SA"/>
        </w:rPr>
        <w:t>十三、财政拨款“三公”经费支出决算表</w:t>
      </w:r>
      <w:r>
        <w:rPr>
          <w:rFonts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17</w:t>
      </w:r>
    </w:p>
    <w:p w14:paraId="1FB1462D">
      <w:pPr>
        <w:pStyle w:val="3"/>
        <w:spacing w:before="0" w:after="0" w:line="700" w:lineRule="exact"/>
        <w:jc w:val="center"/>
        <w:rPr>
          <w:rFonts w:hint="eastAsia" w:eastAsia="方正小标宋简体" w:cs="方正小标宋简体"/>
          <w:b w:val="0"/>
        </w:rPr>
      </w:pPr>
      <w:bookmarkStart w:id="6" w:name="_Toc15377196"/>
      <w:bookmarkStart w:id="7" w:name="_Toc15396599"/>
      <w:r>
        <w:rPr>
          <w:rFonts w:hint="eastAsia" w:eastAsia="方正小标宋简体" w:cs="方正小标宋简体"/>
          <w:b w:val="0"/>
        </w:rPr>
        <w:t xml:space="preserve">第一部分  </w:t>
      </w:r>
    </w:p>
    <w:p w14:paraId="20C08179">
      <w:pPr>
        <w:pStyle w:val="3"/>
        <w:spacing w:before="0" w:after="0" w:line="700" w:lineRule="exact"/>
        <w:jc w:val="center"/>
        <w:rPr>
          <w:rStyle w:val="21"/>
          <w:rFonts w:eastAsia="方正小标宋简体" w:cs="方正小标宋简体"/>
          <w:b/>
          <w:bCs w:val="0"/>
        </w:rPr>
      </w:pPr>
      <w:r>
        <w:rPr>
          <w:rStyle w:val="21"/>
          <w:rFonts w:hint="eastAsia" w:eastAsia="方正小标宋简体" w:cs="方正小标宋简体"/>
          <w:b w:val="0"/>
          <w:bCs w:val="0"/>
        </w:rPr>
        <w:t>单位概况</w:t>
      </w:r>
      <w:bookmarkEnd w:id="6"/>
      <w:bookmarkEnd w:id="7"/>
    </w:p>
    <w:p w14:paraId="7B4E9D3F">
      <w:pPr>
        <w:widowControl/>
        <w:spacing w:line="560" w:lineRule="exact"/>
        <w:jc w:val="left"/>
        <w:rPr>
          <w:rFonts w:eastAsia="黑体"/>
          <w:sz w:val="32"/>
          <w:szCs w:val="32"/>
        </w:rPr>
      </w:pPr>
    </w:p>
    <w:p w14:paraId="109E2438">
      <w:pPr>
        <w:pStyle w:val="4"/>
        <w:spacing w:before="0" w:after="0" w:line="560" w:lineRule="exact"/>
        <w:rPr>
          <w:rFonts w:hint="eastAsia" w:ascii="Times New Roman" w:hAnsi="Times New Roman" w:eastAsia="黑体"/>
          <w:b w:val="0"/>
        </w:rPr>
      </w:pPr>
      <w:r>
        <w:rPr>
          <w:rFonts w:hint="eastAsia" w:ascii="Times New Roman" w:hAnsi="Times New Roman" w:eastAsia="黑体"/>
          <w:b w:val="0"/>
          <w:lang w:val="en-US" w:eastAsia="zh-CN"/>
        </w:rPr>
        <w:t xml:space="preserve">     </w:t>
      </w:r>
      <w:r>
        <w:rPr>
          <w:rFonts w:hint="eastAsia" w:ascii="方正黑体_GBK" w:hAnsi="Times New Roman" w:eastAsia="方正黑体_GBK" w:cs="方正黑体_GBK"/>
          <w:b w:val="0"/>
          <w:bCs w:val="0"/>
          <w:lang w:val="en-US" w:eastAsia="zh-CN"/>
        </w:rPr>
        <w:t>一、主要</w:t>
      </w:r>
      <w:r>
        <w:rPr>
          <w:rFonts w:hint="eastAsia" w:ascii="方正黑体_GBK" w:hAnsi="Times New Roman" w:eastAsia="方正黑体_GBK" w:cs="方正黑体_GBK"/>
          <w:b w:val="0"/>
          <w:bCs w:val="0"/>
        </w:rPr>
        <w:t>职责</w:t>
      </w:r>
    </w:p>
    <w:p w14:paraId="7554621A">
      <w:pPr>
        <w:pageBreakBefore w:val="0"/>
        <w:widowControl w:val="0"/>
        <w:suppressAutoHyphens/>
        <w:kinsoku/>
        <w:wordWrap/>
        <w:overflowPunct/>
        <w:bidi w:val="0"/>
        <w:snapToGrid w:val="0"/>
        <w:spacing w:line="560" w:lineRule="exact"/>
        <w:ind w:firstLine="420" w:firstLineChars="200"/>
        <w:rPr>
          <w:rFonts w:ascii="Times New Roman" w:hAnsi="Times New Roman" w:eastAsia="方正仿宋简体" w:cs="Times New Roman"/>
          <w:sz w:val="32"/>
          <w:szCs w:val="32"/>
          <w:lang w:bidi="ar-SA"/>
        </w:rPr>
      </w:pPr>
      <w:r>
        <w:rPr>
          <w:rFonts w:hint="eastAsia"/>
          <w:lang w:val="en-US" w:eastAsia="zh-CN"/>
        </w:rPr>
        <w:t xml:space="preserve">   </w:t>
      </w: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一</w:t>
      </w:r>
      <w:r>
        <w:rPr>
          <w:rFonts w:ascii="Times New Roman" w:hAnsi="Times New Roman" w:eastAsia="方正仿宋简体" w:cs="Times New Roman"/>
          <w:sz w:val="32"/>
          <w:szCs w:val="32"/>
          <w:lang w:bidi="ar-SA"/>
        </w:rPr>
        <w:t xml:space="preserve">）贯彻执行党和国家有关民政工作的方针政策和法律法规，拟订全市民政事业发展规划、政策、标准并组织实施。 </w:t>
      </w:r>
    </w:p>
    <w:p w14:paraId="2A023E61">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二</w:t>
      </w:r>
      <w:r>
        <w:rPr>
          <w:rFonts w:ascii="Times New Roman" w:hAnsi="Times New Roman" w:eastAsia="方正仿宋简体" w:cs="Times New Roman"/>
          <w:sz w:val="32"/>
          <w:szCs w:val="32"/>
          <w:lang w:bidi="ar-SA"/>
        </w:rPr>
        <w:t xml:space="preserve">）拟订社会团体、社会服务机构等社会组织登记和监督管理办法并组织实施，按照管理权限依法对社会组织进行登记管理和执法监督。 </w:t>
      </w:r>
    </w:p>
    <w:p w14:paraId="7E59F6D8">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三</w:t>
      </w:r>
      <w:r>
        <w:rPr>
          <w:rFonts w:ascii="Times New Roman" w:hAnsi="Times New Roman" w:eastAsia="方正仿宋简体" w:cs="Times New Roman"/>
          <w:sz w:val="32"/>
          <w:szCs w:val="32"/>
          <w:lang w:bidi="ar-SA"/>
        </w:rPr>
        <w:t xml:space="preserve">）牵头拟订社会救助规划、政策、标准，统筹推进社会救助体系建设，负责城乡居民最低生活保障、特困人员救助供养、临时救助、生活无着流浪乞讨人员救助工作。 </w:t>
      </w:r>
    </w:p>
    <w:p w14:paraId="715C10EC">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四</w:t>
      </w:r>
      <w:r>
        <w:rPr>
          <w:rFonts w:ascii="Times New Roman" w:hAnsi="Times New Roman" w:eastAsia="方正仿宋简体" w:cs="Times New Roman"/>
          <w:sz w:val="32"/>
          <w:szCs w:val="32"/>
          <w:lang w:bidi="ar-SA"/>
        </w:rPr>
        <w:t xml:space="preserve">）拟订城乡基层群众自治建设和社区治理政策，指导城乡社区治理体系、服务体系和治理能力建设，提出加强和改进城乡基层政权建设的建议，推动基层民主政治建设。 </w:t>
      </w:r>
    </w:p>
    <w:p w14:paraId="7CCB7EAE">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五</w:t>
      </w:r>
      <w:r>
        <w:rPr>
          <w:rFonts w:ascii="Times New Roman" w:hAnsi="Times New Roman" w:eastAsia="方正仿宋简体" w:cs="Times New Roman"/>
          <w:sz w:val="32"/>
          <w:szCs w:val="32"/>
          <w:lang w:bidi="ar-SA"/>
        </w:rPr>
        <w:t xml:space="preserve">）拟订行政区划管理政策和行政区域界线、地名管理办法，负责县（区）、乡（镇）行政区划设立、命名、撤销、变更和政府驻地迁移审核报批工作，组织并指导全市行政区域界线的勘定和管理工作。调处行政区域边界争议，负责全市地名管理工作。 </w:t>
      </w:r>
    </w:p>
    <w:p w14:paraId="6EC853E4">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六</w:t>
      </w:r>
      <w:r>
        <w:rPr>
          <w:rFonts w:ascii="Times New Roman" w:hAnsi="Times New Roman" w:eastAsia="方正仿宋简体" w:cs="Times New Roman"/>
          <w:sz w:val="32"/>
          <w:szCs w:val="32"/>
          <w:lang w:bidi="ar-SA"/>
        </w:rPr>
        <w:t xml:space="preserve">）组织实施婚姻管理政策，推进婚俗改革。 </w:t>
      </w:r>
    </w:p>
    <w:p w14:paraId="668D9810">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七</w:t>
      </w:r>
      <w:r>
        <w:rPr>
          <w:rFonts w:ascii="Times New Roman" w:hAnsi="Times New Roman" w:eastAsia="方正仿宋简体" w:cs="Times New Roman"/>
          <w:sz w:val="32"/>
          <w:szCs w:val="32"/>
          <w:lang w:bidi="ar-SA"/>
        </w:rPr>
        <w:t xml:space="preserve">）拟订殡葬管理政策、服务规范并组织实施，负责殡葬管理工作，推进殡葬改革。 </w:t>
      </w:r>
    </w:p>
    <w:p w14:paraId="5B7619E2">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八</w:t>
      </w:r>
      <w:r>
        <w:rPr>
          <w:rFonts w:ascii="Times New Roman" w:hAnsi="Times New Roman" w:eastAsia="方正仿宋简体" w:cs="Times New Roman"/>
          <w:sz w:val="32"/>
          <w:szCs w:val="32"/>
          <w:lang w:bidi="ar-SA"/>
        </w:rPr>
        <w:t xml:space="preserve">）拟订社会福利事业发展规划、政策、标准，拟订社会福利机构管理办法并指导实施，拟订残疾人权益保护政策并监督实施。负责康复辅助器具行业管理，统筹推进残疾人福利制度建设和康复辅助器具产业发展。 </w:t>
      </w:r>
    </w:p>
    <w:p w14:paraId="7F974369">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九</w:t>
      </w:r>
      <w:r>
        <w:rPr>
          <w:rFonts w:ascii="Times New Roman" w:hAnsi="Times New Roman" w:eastAsia="方正仿宋简体" w:cs="Times New Roman"/>
          <w:sz w:val="32"/>
          <w:szCs w:val="32"/>
          <w:lang w:bidi="ar-SA"/>
        </w:rPr>
        <w:t>）统筹推进、督促指导、监督管理养老服务工作，拟订养老服务体系建设规划、政策、标准并组织实施，承担</w:t>
      </w:r>
    </w:p>
    <w:p w14:paraId="26DEC0D9">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 xml:space="preserve">老年人福利和特殊困难老年人救助工作，协调推进农村留守老年人关爱服务工作，承担城乡老年社会组织管理工作。 </w:t>
      </w:r>
    </w:p>
    <w:p w14:paraId="6D899D75">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w:t>
      </w:r>
      <w:r>
        <w:rPr>
          <w:rFonts w:ascii="Times New Roman" w:hAnsi="Times New Roman" w:eastAsia="方正仿宋简体" w:cs="Times New Roman"/>
          <w:sz w:val="32"/>
          <w:szCs w:val="32"/>
          <w:lang w:bidi="ar-SA"/>
        </w:rPr>
        <w:t xml:space="preserve">）拟订儿童福利、孤弃儿童保障、儿童收养、儿童救助保护政策和标准并组织实施，健全农村留守儿童关爱服务体系和困境儿童保障制度。 </w:t>
      </w:r>
    </w:p>
    <w:p w14:paraId="71B854B2">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十一</w:t>
      </w:r>
      <w:r>
        <w:rPr>
          <w:rFonts w:ascii="Times New Roman" w:hAnsi="Times New Roman" w:eastAsia="方正仿宋简体" w:cs="Times New Roman"/>
          <w:sz w:val="32"/>
          <w:szCs w:val="32"/>
          <w:lang w:bidi="ar-SA"/>
        </w:rPr>
        <w:t xml:space="preserve">）组织拟订促进慈善事业发展政策，指导社会捐赠工作。指导福利彩票销售工作，管理本级福利彩票公益金，监督全市福利彩票公益金的管理、使用。 </w:t>
      </w:r>
    </w:p>
    <w:p w14:paraId="2D93CAB2">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十二</w:t>
      </w:r>
      <w:r>
        <w:rPr>
          <w:rFonts w:ascii="Times New Roman" w:hAnsi="Times New Roman" w:eastAsia="方正仿宋简体" w:cs="Times New Roman"/>
          <w:sz w:val="32"/>
          <w:szCs w:val="32"/>
          <w:lang w:bidi="ar-SA"/>
        </w:rPr>
        <w:t xml:space="preserve">）拟订社会工作、志愿服务政策和标准，会同有关部门推进社会工作人才队伍建设和相关志愿者队伍建设。 </w:t>
      </w:r>
    </w:p>
    <w:p w14:paraId="2ADCFDD0">
      <w:pPr>
        <w:pageBreakBefore w:val="0"/>
        <w:widowControl w:val="0"/>
        <w:suppressAutoHyphens/>
        <w:kinsoku/>
        <w:wordWrap/>
        <w:overflowPunct/>
        <w:bidi w:val="0"/>
        <w:snapToGrid w:val="0"/>
        <w:spacing w:line="560" w:lineRule="exact"/>
        <w:ind w:firstLine="640" w:firstLineChars="200"/>
        <w:rPr>
          <w:rFonts w:ascii="Times New Roman" w:hAnsi="Times New Roman" w:eastAsia="方正仿宋简体" w:cs="Times New Roman"/>
          <w:sz w:val="32"/>
          <w:szCs w:val="32"/>
          <w:lang w:bidi="ar-SA"/>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十三</w:t>
      </w:r>
      <w:r>
        <w:rPr>
          <w:rFonts w:ascii="Times New Roman" w:hAnsi="Times New Roman" w:eastAsia="方正仿宋简体" w:cs="Times New Roman"/>
          <w:sz w:val="32"/>
          <w:szCs w:val="32"/>
          <w:lang w:bidi="ar-SA"/>
        </w:rPr>
        <w:t xml:space="preserve">）依法依规负责康复辅助器具行业和社会福利、养老服务、殡葬服务、救助管理机构安全生产监督管理工作。负责职责范围内的职业健康、生态环境保护、审批服务便民化等工作。 </w:t>
      </w:r>
    </w:p>
    <w:p w14:paraId="5479CF71">
      <w:pPr>
        <w:snapToGrid w:val="0"/>
        <w:spacing w:line="560" w:lineRule="exact"/>
        <w:ind w:firstLine="640" w:firstLineChars="200"/>
        <w:rPr>
          <w:rFonts w:eastAsia="宋体"/>
          <w:lang w:val="en-US" w:eastAsia="zh-CN"/>
        </w:rPr>
      </w:pPr>
      <w:r>
        <w:rPr>
          <w:rFonts w:ascii="Times New Roman" w:hAnsi="Times New Roman" w:eastAsia="方正仿宋简体" w:cs="Times New Roman"/>
          <w:sz w:val="32"/>
          <w:szCs w:val="32"/>
          <w:lang w:bidi="ar-SA"/>
        </w:rPr>
        <w:t>（</w:t>
      </w:r>
      <w:r>
        <w:rPr>
          <w:rFonts w:hint="eastAsia" w:ascii="Times New Roman" w:hAnsi="Times New Roman" w:eastAsia="方正仿宋简体" w:cs="Times New Roman"/>
          <w:sz w:val="32"/>
          <w:szCs w:val="32"/>
          <w:lang w:bidi="ar-SA"/>
        </w:rPr>
        <w:t>十四</w:t>
      </w:r>
      <w:r>
        <w:rPr>
          <w:rFonts w:ascii="Times New Roman" w:hAnsi="Times New Roman" w:eastAsia="方正仿宋简体" w:cs="Times New Roman"/>
          <w:sz w:val="32"/>
          <w:szCs w:val="32"/>
          <w:lang w:bidi="ar-SA"/>
        </w:rPr>
        <w:t>）完成市委、市政府交办的其他任务。</w:t>
      </w:r>
    </w:p>
    <w:p w14:paraId="345A571D">
      <w:pPr>
        <w:pStyle w:val="4"/>
        <w:spacing w:before="0" w:after="0" w:line="560" w:lineRule="exact"/>
        <w:ind w:firstLine="0" w:firstLineChars="0"/>
        <w:rPr>
          <w:rFonts w:hint="eastAsia" w:ascii="方正黑体_GBK" w:hAnsi="Times New Roman" w:eastAsia="方正黑体_GBK" w:cs="方正黑体_GBK"/>
          <w:b w:val="0"/>
          <w:bCs w:val="0"/>
          <w:color w:val="auto"/>
          <w:kern w:val="2"/>
          <w:sz w:val="32"/>
          <w:szCs w:val="32"/>
          <w:lang w:val="en-US" w:eastAsia="zh-CN" w:bidi="ar-SA"/>
        </w:rPr>
      </w:pPr>
      <w:bookmarkStart w:id="8" w:name="_Toc15396601"/>
      <w:bookmarkStart w:id="9" w:name="_Toc15377200"/>
      <w:r>
        <w:rPr>
          <w:rFonts w:hint="eastAsia" w:ascii="方正黑体_GBK" w:hAnsi="Times New Roman" w:eastAsia="方正黑体_GBK" w:cs="方正黑体_GBK"/>
          <w:b w:val="0"/>
          <w:bCs w:val="0"/>
          <w:kern w:val="2"/>
          <w:sz w:val="32"/>
          <w:szCs w:val="32"/>
          <w:lang w:val="en-US" w:eastAsia="zh-CN" w:bidi="ar-SA"/>
        </w:rPr>
        <w:t xml:space="preserve">  </w:t>
      </w:r>
      <w:r>
        <w:rPr>
          <w:rFonts w:hint="eastAsia" w:ascii="方正黑体_GBK" w:hAnsi="Times New Roman" w:eastAsia="方正黑体_GBK" w:cs="方正黑体_GBK"/>
          <w:b w:val="0"/>
          <w:bCs w:val="0"/>
          <w:color w:val="FF0000"/>
          <w:kern w:val="2"/>
          <w:sz w:val="32"/>
          <w:szCs w:val="32"/>
          <w:lang w:val="en-US" w:eastAsia="zh-CN" w:bidi="ar-SA"/>
        </w:rPr>
        <w:t xml:space="preserve"> </w:t>
      </w:r>
      <w:r>
        <w:rPr>
          <w:rFonts w:hint="eastAsia" w:ascii="方正黑体_GBK" w:hAnsi="Times New Roman" w:eastAsia="方正黑体_GBK" w:cs="方正黑体_GBK"/>
          <w:b w:val="0"/>
          <w:bCs w:val="0"/>
          <w:color w:val="auto"/>
          <w:kern w:val="2"/>
          <w:sz w:val="32"/>
          <w:szCs w:val="32"/>
          <w:lang w:val="en-US" w:eastAsia="zh-CN" w:bidi="ar-SA"/>
        </w:rPr>
        <w:t xml:space="preserve"> 二、机构设置</w:t>
      </w:r>
      <w:bookmarkEnd w:id="8"/>
      <w:bookmarkEnd w:id="9"/>
    </w:p>
    <w:p w14:paraId="4A6DC97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auto"/>
          <w:sz w:val="32"/>
          <w:szCs w:val="32"/>
          <w:highlight w:val="none"/>
          <w:lang w:val="en-US" w:eastAsia="zh-CN" w:bidi="ar-SA"/>
        </w:rPr>
      </w:pPr>
      <w:r>
        <w:rPr>
          <w:rFonts w:hint="eastAsia" w:eastAsia="方正仿宋_GBK"/>
          <w:color w:val="auto"/>
          <w:sz w:val="32"/>
          <w:szCs w:val="32"/>
          <w:highlight w:val="none"/>
          <w:lang w:val="en-US" w:eastAsia="zh-CN" w:bidi="ar-SA"/>
        </w:rPr>
        <w:t>四川省攀枝花市民政局内设业务科室9个、事业单位2个，其中参照公务员法管理的事业单位1个，其他事业单位1个。</w:t>
      </w:r>
    </w:p>
    <w:p w14:paraId="6E81E5E4">
      <w:pPr>
        <w:pStyle w:val="2"/>
        <w:adjustRightInd w:val="0"/>
        <w:snapToGrid w:val="0"/>
        <w:spacing w:before="93" w:beforeLines="0" w:line="600" w:lineRule="exact"/>
        <w:ind w:firstLine="1120" w:firstLineChars="350"/>
        <w:rPr>
          <w:rFonts w:hint="eastAsia" w:ascii="Times New Roman" w:hAnsi="Times New Roman" w:eastAsia="方正仿宋简体" w:cs="Times New Roman"/>
          <w:color w:val="FF0000"/>
          <w:kern w:val="2"/>
          <w:sz w:val="32"/>
          <w:szCs w:val="32"/>
          <w:lang w:val="en-US" w:eastAsia="zh-CN" w:bidi="ar-SA"/>
        </w:rPr>
      </w:pPr>
      <w:bookmarkStart w:id="10" w:name="_Toc15377204"/>
      <w:bookmarkStart w:id="11" w:name="_Toc15396602"/>
    </w:p>
    <w:p w14:paraId="45B3F637">
      <w:pPr>
        <w:pStyle w:val="2"/>
        <w:adjustRightInd w:val="0"/>
        <w:snapToGrid w:val="0"/>
        <w:spacing w:before="93" w:beforeLines="0" w:line="600" w:lineRule="exact"/>
        <w:ind w:firstLine="1050" w:firstLineChars="350"/>
        <w:rPr>
          <w:rFonts w:hint="eastAsia" w:eastAsia="方正小标宋简体" w:cs="方正小标宋简体"/>
          <w:b w:val="0"/>
        </w:rPr>
      </w:pPr>
    </w:p>
    <w:p w14:paraId="4DB9505E">
      <w:pPr>
        <w:pStyle w:val="2"/>
        <w:adjustRightInd w:val="0"/>
        <w:snapToGrid w:val="0"/>
        <w:spacing w:before="93" w:beforeLines="0" w:line="600" w:lineRule="exact"/>
        <w:ind w:firstLine="1050" w:firstLineChars="350"/>
        <w:rPr>
          <w:rFonts w:hint="eastAsia" w:eastAsia="方正小标宋简体" w:cs="方正小标宋简体"/>
          <w:b w:val="0"/>
        </w:rPr>
      </w:pPr>
    </w:p>
    <w:p w14:paraId="0AB964C2">
      <w:pPr>
        <w:pStyle w:val="2"/>
        <w:adjustRightInd w:val="0"/>
        <w:snapToGrid w:val="0"/>
        <w:spacing w:before="93" w:beforeLines="0" w:line="600" w:lineRule="exact"/>
        <w:ind w:firstLine="1050" w:firstLineChars="350"/>
        <w:rPr>
          <w:rFonts w:hint="eastAsia" w:eastAsia="方正小标宋简体" w:cs="方正小标宋简体"/>
          <w:b w:val="0"/>
        </w:rPr>
      </w:pPr>
    </w:p>
    <w:p w14:paraId="76CCEAC4">
      <w:pPr>
        <w:pStyle w:val="2"/>
        <w:adjustRightInd w:val="0"/>
        <w:snapToGrid w:val="0"/>
        <w:spacing w:before="93" w:beforeLines="0" w:line="600" w:lineRule="exact"/>
        <w:ind w:firstLine="1050" w:firstLineChars="350"/>
        <w:rPr>
          <w:rFonts w:hint="eastAsia" w:eastAsia="方正小标宋简体" w:cs="方正小标宋简体"/>
          <w:b w:val="0"/>
        </w:rPr>
      </w:pPr>
    </w:p>
    <w:p w14:paraId="3C6B01C5">
      <w:pPr>
        <w:pStyle w:val="2"/>
        <w:adjustRightInd w:val="0"/>
        <w:snapToGrid w:val="0"/>
        <w:spacing w:before="93" w:beforeLines="0" w:line="600" w:lineRule="exact"/>
        <w:ind w:firstLine="1050" w:firstLineChars="350"/>
        <w:rPr>
          <w:rFonts w:hint="eastAsia" w:eastAsia="方正小标宋简体" w:cs="方正小标宋简体"/>
          <w:b w:val="0"/>
        </w:rPr>
      </w:pPr>
    </w:p>
    <w:p w14:paraId="33EA3B01">
      <w:pPr>
        <w:pStyle w:val="2"/>
        <w:adjustRightInd w:val="0"/>
        <w:snapToGrid w:val="0"/>
        <w:spacing w:before="93" w:beforeLines="0" w:line="600" w:lineRule="exact"/>
        <w:ind w:firstLine="1050" w:firstLineChars="350"/>
        <w:rPr>
          <w:rFonts w:hint="eastAsia" w:eastAsia="方正小标宋简体" w:cs="方正小标宋简体"/>
          <w:b w:val="0"/>
        </w:rPr>
      </w:pPr>
    </w:p>
    <w:p w14:paraId="2EA1D775">
      <w:pPr>
        <w:pStyle w:val="2"/>
        <w:adjustRightInd w:val="0"/>
        <w:snapToGrid w:val="0"/>
        <w:spacing w:before="93" w:beforeLines="0" w:line="600" w:lineRule="exact"/>
        <w:ind w:firstLine="1050" w:firstLineChars="350"/>
        <w:rPr>
          <w:rFonts w:hint="eastAsia" w:eastAsia="方正小标宋简体" w:cs="方正小标宋简体"/>
          <w:b w:val="0"/>
        </w:rPr>
      </w:pPr>
    </w:p>
    <w:p w14:paraId="31F5F41E">
      <w:pPr>
        <w:pStyle w:val="2"/>
        <w:adjustRightInd w:val="0"/>
        <w:snapToGrid w:val="0"/>
        <w:spacing w:before="93" w:beforeLines="0" w:line="600" w:lineRule="exact"/>
        <w:ind w:firstLine="1050" w:firstLineChars="350"/>
        <w:rPr>
          <w:rFonts w:hint="eastAsia" w:eastAsia="方正小标宋简体" w:cs="方正小标宋简体"/>
          <w:b w:val="0"/>
        </w:rPr>
      </w:pPr>
    </w:p>
    <w:p w14:paraId="635AB5EE">
      <w:pPr>
        <w:pStyle w:val="2"/>
        <w:adjustRightInd w:val="0"/>
        <w:snapToGrid w:val="0"/>
        <w:spacing w:before="93" w:beforeLines="0" w:line="600" w:lineRule="exact"/>
        <w:ind w:firstLine="1050" w:firstLineChars="350"/>
        <w:rPr>
          <w:rFonts w:hint="eastAsia" w:eastAsia="方正小标宋简体" w:cs="方正小标宋简体"/>
          <w:b w:val="0"/>
        </w:rPr>
      </w:pPr>
    </w:p>
    <w:p w14:paraId="756CB37D">
      <w:pPr>
        <w:pStyle w:val="2"/>
        <w:adjustRightInd w:val="0"/>
        <w:snapToGrid w:val="0"/>
        <w:spacing w:before="93" w:beforeLines="0" w:line="600" w:lineRule="exact"/>
        <w:ind w:firstLine="1050" w:firstLineChars="350"/>
        <w:rPr>
          <w:rFonts w:hint="eastAsia" w:eastAsia="方正小标宋简体" w:cs="方正小标宋简体"/>
          <w:b w:val="0"/>
        </w:rPr>
      </w:pPr>
    </w:p>
    <w:p w14:paraId="20E8C7D9">
      <w:pPr>
        <w:pStyle w:val="2"/>
        <w:adjustRightInd w:val="0"/>
        <w:snapToGrid w:val="0"/>
        <w:spacing w:before="93" w:beforeLines="0" w:line="600" w:lineRule="exact"/>
        <w:ind w:firstLine="1050" w:firstLineChars="350"/>
        <w:rPr>
          <w:rFonts w:hint="eastAsia" w:eastAsia="方正小标宋简体" w:cs="方正小标宋简体"/>
          <w:b w:val="0"/>
        </w:rPr>
      </w:pPr>
    </w:p>
    <w:p w14:paraId="7EAB0C95">
      <w:pPr>
        <w:pStyle w:val="2"/>
        <w:adjustRightInd w:val="0"/>
        <w:snapToGrid w:val="0"/>
        <w:spacing w:before="93" w:beforeLines="0" w:line="600" w:lineRule="exact"/>
        <w:ind w:firstLine="1050" w:firstLineChars="350"/>
        <w:rPr>
          <w:rFonts w:hint="eastAsia" w:eastAsia="方正小标宋简体" w:cs="方正小标宋简体"/>
          <w:b w:val="0"/>
        </w:rPr>
      </w:pPr>
    </w:p>
    <w:p w14:paraId="70795472">
      <w:pPr>
        <w:pStyle w:val="2"/>
        <w:adjustRightInd w:val="0"/>
        <w:snapToGrid w:val="0"/>
        <w:spacing w:before="93" w:beforeLines="0" w:line="600" w:lineRule="exact"/>
        <w:ind w:firstLine="1050" w:firstLineChars="350"/>
        <w:rPr>
          <w:rFonts w:hint="eastAsia" w:eastAsia="方正小标宋简体" w:cs="方正小标宋简体"/>
          <w:b w:val="0"/>
        </w:rPr>
      </w:pPr>
    </w:p>
    <w:p w14:paraId="1A4E4894">
      <w:pPr>
        <w:pStyle w:val="2"/>
        <w:adjustRightInd w:val="0"/>
        <w:snapToGrid w:val="0"/>
        <w:spacing w:before="93" w:beforeLines="0" w:line="600" w:lineRule="exact"/>
        <w:ind w:firstLine="1050" w:firstLineChars="350"/>
        <w:rPr>
          <w:rFonts w:hint="eastAsia" w:eastAsia="方正小标宋简体" w:cs="方正小标宋简体"/>
          <w:b w:val="0"/>
        </w:rPr>
      </w:pPr>
    </w:p>
    <w:p w14:paraId="3FF63758">
      <w:pPr>
        <w:pStyle w:val="2"/>
        <w:adjustRightInd w:val="0"/>
        <w:snapToGrid w:val="0"/>
        <w:spacing w:before="93" w:beforeLines="0" w:line="600" w:lineRule="exact"/>
        <w:ind w:firstLine="1540" w:firstLineChars="350"/>
        <w:jc w:val="center"/>
        <w:rPr>
          <w:rFonts w:hint="eastAsia" w:ascii="Times New Roman" w:hAnsi="Times New Roman" w:eastAsia="方正小标宋简体" w:cs="方正小标宋简体"/>
          <w:b w:val="0"/>
          <w:bCs/>
          <w:kern w:val="44"/>
          <w:sz w:val="44"/>
          <w:szCs w:val="44"/>
          <w:lang w:val="en-US" w:eastAsia="zh-CN" w:bidi="ar-SA"/>
        </w:rPr>
      </w:pPr>
    </w:p>
    <w:p w14:paraId="04EDE12A">
      <w:pPr>
        <w:pStyle w:val="3"/>
        <w:numPr>
          <w:ilvl w:val="0"/>
          <w:numId w:val="0"/>
        </w:numPr>
        <w:adjustRightInd/>
        <w:snapToGrid/>
        <w:spacing w:before="0" w:beforeLines="0" w:after="0" w:line="700" w:lineRule="exact"/>
        <w:jc w:val="center"/>
        <w:rPr>
          <w:rStyle w:val="21"/>
          <w:rFonts w:hint="eastAsia" w:eastAsia="方正小标宋简体" w:cs="方正小标宋简体"/>
          <w:b w:val="0"/>
          <w:bCs w:val="0"/>
          <w:kern w:val="44"/>
          <w:sz w:val="44"/>
          <w:szCs w:val="44"/>
          <w:lang w:val="en-US" w:eastAsia="zh-CN" w:bidi="ar-SA"/>
        </w:rPr>
      </w:pPr>
    </w:p>
    <w:p w14:paraId="1FDFDE5C">
      <w:pPr>
        <w:pStyle w:val="3"/>
        <w:numPr>
          <w:ilvl w:val="0"/>
          <w:numId w:val="0"/>
        </w:numPr>
        <w:adjustRightInd/>
        <w:snapToGrid/>
        <w:spacing w:before="0" w:beforeLines="0" w:after="0" w:line="700" w:lineRule="exact"/>
        <w:jc w:val="center"/>
        <w:rPr>
          <w:rStyle w:val="21"/>
          <w:rFonts w:hint="eastAsia" w:ascii="Times New Roman" w:hAnsi="Times New Roman" w:eastAsia="方正小标宋简体" w:cs="方正小标宋简体"/>
          <w:b w:val="0"/>
          <w:bCs w:val="0"/>
          <w:kern w:val="44"/>
          <w:sz w:val="44"/>
          <w:szCs w:val="44"/>
          <w:lang w:val="en-US" w:eastAsia="zh-CN" w:bidi="ar-SA"/>
        </w:rPr>
      </w:pPr>
      <w:r>
        <w:rPr>
          <w:rStyle w:val="21"/>
          <w:rFonts w:hint="eastAsia" w:eastAsia="方正小标宋简体" w:cs="方正小标宋简体"/>
          <w:b w:val="0"/>
          <w:bCs w:val="0"/>
          <w:kern w:val="44"/>
          <w:sz w:val="44"/>
          <w:szCs w:val="44"/>
          <w:lang w:val="en-US" w:eastAsia="zh-CN" w:bidi="ar-SA"/>
        </w:rPr>
        <w:t>第二部分</w:t>
      </w:r>
    </w:p>
    <w:p w14:paraId="7D1307B2">
      <w:pPr>
        <w:pStyle w:val="3"/>
        <w:numPr>
          <w:ilvl w:val="0"/>
          <w:numId w:val="0"/>
        </w:numPr>
        <w:adjustRightInd/>
        <w:snapToGrid/>
        <w:spacing w:before="0" w:beforeLines="0" w:after="0" w:line="700" w:lineRule="exact"/>
        <w:jc w:val="center"/>
        <w:rPr>
          <w:rStyle w:val="21"/>
          <w:rFonts w:hint="eastAsia" w:ascii="Times New Roman" w:hAnsi="Times New Roman" w:eastAsia="方正小标宋简体" w:cs="方正小标宋简体"/>
          <w:b w:val="0"/>
          <w:bCs w:val="0"/>
          <w:kern w:val="44"/>
          <w:sz w:val="44"/>
          <w:szCs w:val="44"/>
          <w:lang w:val="en-US" w:eastAsia="zh-CN" w:bidi="ar-SA"/>
        </w:rPr>
      </w:pPr>
      <w:r>
        <w:rPr>
          <w:rStyle w:val="21"/>
          <w:rFonts w:hint="eastAsia" w:ascii="Times New Roman" w:hAnsi="Times New Roman" w:eastAsia="方正小标宋简体" w:cs="方正小标宋简体"/>
          <w:b w:val="0"/>
          <w:bCs w:val="0"/>
          <w:kern w:val="44"/>
          <w:sz w:val="44"/>
          <w:szCs w:val="44"/>
          <w:lang w:val="en-US" w:eastAsia="zh-CN" w:bidi="ar-SA"/>
        </w:rPr>
        <w:t>2024年度</w:t>
      </w:r>
      <w:r>
        <w:rPr>
          <w:rStyle w:val="21"/>
          <w:rFonts w:hint="eastAsia" w:eastAsia="方正小标宋简体" w:cs="方正小标宋简体"/>
          <w:b w:val="0"/>
          <w:bCs w:val="0"/>
          <w:kern w:val="44"/>
          <w:sz w:val="44"/>
          <w:szCs w:val="44"/>
          <w:lang w:val="en-US" w:eastAsia="zh-CN" w:bidi="ar-SA"/>
        </w:rPr>
        <w:t>单位</w:t>
      </w:r>
      <w:r>
        <w:rPr>
          <w:rStyle w:val="21"/>
          <w:rFonts w:hint="eastAsia" w:ascii="Times New Roman" w:hAnsi="Times New Roman" w:eastAsia="方正小标宋简体" w:cs="方正小标宋简体"/>
          <w:b w:val="0"/>
          <w:bCs w:val="0"/>
          <w:kern w:val="44"/>
          <w:sz w:val="44"/>
          <w:szCs w:val="44"/>
          <w:lang w:val="en-US" w:eastAsia="zh-CN" w:bidi="ar-SA"/>
        </w:rPr>
        <w:t>决算</w:t>
      </w:r>
      <w:r>
        <w:rPr>
          <w:rStyle w:val="21"/>
          <w:rFonts w:hint="eastAsia" w:eastAsia="方正小标宋简体" w:cs="方正小标宋简体"/>
          <w:b w:val="0"/>
          <w:bCs w:val="0"/>
          <w:kern w:val="44"/>
          <w:sz w:val="44"/>
          <w:szCs w:val="44"/>
          <w:lang w:val="en-US" w:eastAsia="zh-CN" w:bidi="ar-SA"/>
        </w:rPr>
        <w:t>情况</w:t>
      </w:r>
      <w:r>
        <w:rPr>
          <w:rStyle w:val="21"/>
          <w:rFonts w:hint="eastAsia" w:ascii="Times New Roman" w:hAnsi="Times New Roman" w:eastAsia="方正小标宋简体" w:cs="方正小标宋简体"/>
          <w:b w:val="0"/>
          <w:bCs w:val="0"/>
          <w:kern w:val="44"/>
          <w:sz w:val="44"/>
          <w:szCs w:val="44"/>
          <w:lang w:val="en-US" w:eastAsia="zh-CN" w:bidi="ar-SA"/>
        </w:rPr>
        <w:t>说明</w:t>
      </w:r>
      <w:bookmarkEnd w:id="10"/>
      <w:bookmarkEnd w:id="11"/>
    </w:p>
    <w:p w14:paraId="105B0D7E"/>
    <w:p w14:paraId="2F7C5BDF">
      <w:pPr>
        <w:pStyle w:val="4"/>
        <w:spacing w:before="0" w:after="0" w:line="560" w:lineRule="exact"/>
        <w:ind w:firstLine="0"/>
        <w:outlineLvl w:val="1"/>
        <w:rPr>
          <w:rFonts w:hint="eastAsia" w:ascii="方正黑体_GBK" w:hAnsi="Times New Roman" w:eastAsia="方正黑体_GBK" w:cs="方正黑体_GBK"/>
          <w:b w:val="0"/>
          <w:bCs w:val="0"/>
          <w:color w:val="000000"/>
          <w:kern w:val="2"/>
          <w:sz w:val="32"/>
          <w:szCs w:val="32"/>
          <w:shd w:val="clear" w:color="auto" w:fill="FFFFFF"/>
          <w:lang w:val="en-US" w:eastAsia="zh-CN" w:bidi="ar-SA"/>
        </w:rPr>
      </w:pPr>
      <w:bookmarkStart w:id="12" w:name="_Toc15377205"/>
      <w:bookmarkStart w:id="13" w:name="_Toc15396603"/>
      <w:r>
        <w:rPr>
          <w:rFonts w:hint="eastAsia" w:ascii="方正黑体_GBK" w:hAnsi="Times New Roman" w:eastAsia="方正黑体_GBK" w:cs="方正黑体_GBK"/>
          <w:b w:val="0"/>
          <w:bCs w:val="0"/>
          <w:kern w:val="2"/>
          <w:sz w:val="32"/>
          <w:szCs w:val="32"/>
          <w:shd w:val="clear"/>
          <w:lang w:val="en-US" w:eastAsia="zh-CN" w:bidi="ar-SA"/>
        </w:rPr>
        <w:t xml:space="preserve">    </w:t>
      </w:r>
      <w:r>
        <w:rPr>
          <w:rFonts w:hint="eastAsia" w:ascii="方正黑体_GBK" w:hAnsi="Times New Roman" w:eastAsia="方正黑体_GBK" w:cs="方正黑体_GBK"/>
          <w:b w:val="0"/>
          <w:bCs w:val="0"/>
          <w:color w:val="000000"/>
          <w:kern w:val="2"/>
          <w:sz w:val="32"/>
          <w:szCs w:val="32"/>
          <w:shd w:val="clear" w:color="auto" w:fill="FFFFFF"/>
          <w:lang w:val="en-US" w:eastAsia="zh-CN" w:bidi="ar-SA"/>
        </w:rPr>
        <w:t>一、收入支出决算总体情况说明</w:t>
      </w:r>
      <w:bookmarkEnd w:id="12"/>
      <w:bookmarkEnd w:id="13"/>
    </w:p>
    <w:p w14:paraId="6B1E9E58">
      <w:pPr>
        <w:pStyle w:val="28"/>
        <w:spacing w:line="560" w:lineRule="exact"/>
        <w:outlineLvl w:val="1"/>
        <w:rPr>
          <w:rFonts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2024年度收入、支出总计均为1272.16万元。与2023年度相比，收入、支出总计各减少143.75万元，</w:t>
      </w:r>
      <w:r>
        <w:rPr>
          <w:rFonts w:hint="eastAsia" w:eastAsia="方正仿宋_GBK" w:cs="Times New Roman"/>
          <w:kern w:val="2"/>
          <w:sz w:val="32"/>
          <w:szCs w:val="32"/>
          <w:highlight w:val="none"/>
          <w:lang w:val="en-US" w:eastAsia="zh-CN" w:bidi="ar-SA"/>
        </w:rPr>
        <w:t>下降</w:t>
      </w:r>
      <w:r>
        <w:rPr>
          <w:rFonts w:hint="eastAsia" w:ascii="Times New Roman" w:hAnsi="Times New Roman" w:eastAsia="方正仿宋_GBK" w:cs="Times New Roman"/>
          <w:kern w:val="2"/>
          <w:sz w:val="32"/>
          <w:szCs w:val="32"/>
          <w:highlight w:val="none"/>
          <w:lang w:val="en-US" w:eastAsia="zh-CN" w:bidi="ar-SA"/>
        </w:rPr>
        <w:t>10.15%。主要变动原因是</w:t>
      </w:r>
      <w:r>
        <w:rPr>
          <w:rFonts w:hint="eastAsia" w:eastAsia="方正仿宋_GBK" w:cs="Times New Roman"/>
          <w:kern w:val="2"/>
          <w:sz w:val="32"/>
          <w:szCs w:val="32"/>
          <w:highlight w:val="none"/>
          <w:lang w:val="en-US" w:eastAsia="zh-CN" w:bidi="ar-SA"/>
        </w:rPr>
        <w:t>项目经费减少。</w:t>
      </w:r>
    </w:p>
    <w:p w14:paraId="2D25E7C4">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（图1：收入、支出决算总计变动情况图）</w:t>
      </w:r>
    </w:p>
    <w:p w14:paraId="07CAC7B9">
      <w:pPr>
        <w:spacing w:line="600" w:lineRule="exact"/>
        <w:ind w:firstLine="420" w:firstLineChars="200"/>
        <w:rPr>
          <w:rFonts w:hint="eastAsia" w:ascii="Times New Roman" w:hAnsi="Times New Roman" w:eastAsia="方正仿宋_GBK" w:cs="Times New Roman"/>
          <w:kern w:val="2"/>
          <w:sz w:val="32"/>
          <w:szCs w:val="32"/>
          <w:highlight w:val="none"/>
          <w:lang w:val="en-US" w:eastAsia="zh-CN" w:bidi="ar-SA"/>
        </w:rPr>
      </w:pPr>
      <w:r>
        <w:drawing>
          <wp:anchor distT="0" distB="0" distL="114300" distR="114300" simplePos="0" relativeHeight="251661312" behindDoc="0" locked="0" layoutInCell="1" allowOverlap="1">
            <wp:simplePos x="0" y="0"/>
            <wp:positionH relativeFrom="column">
              <wp:posOffset>314325</wp:posOffset>
            </wp:positionH>
            <wp:positionV relativeFrom="page">
              <wp:posOffset>3871595</wp:posOffset>
            </wp:positionV>
            <wp:extent cx="4640580" cy="2743200"/>
            <wp:effectExtent l="0" t="0" r="7620"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1C49417">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6FF7F9B7">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18A68DD6">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0C47DAD8">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7B307484">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055A3344">
      <w:pPr>
        <w:spacing w:line="600" w:lineRule="exact"/>
        <w:ind w:firstLine="640" w:firstLineChars="200"/>
        <w:rPr>
          <w:rFonts w:hint="eastAsia" w:ascii="Times New Roman" w:hAnsi="Times New Roman" w:eastAsia="方正仿宋_GBK" w:cs="Times New Roman"/>
          <w:kern w:val="2"/>
          <w:sz w:val="32"/>
          <w:szCs w:val="32"/>
          <w:highlight w:val="none"/>
          <w:lang w:val="en-US" w:eastAsia="zh-CN" w:bidi="ar-SA"/>
        </w:rPr>
      </w:pPr>
    </w:p>
    <w:p w14:paraId="1BC884EB">
      <w:pPr>
        <w:spacing w:line="600" w:lineRule="exact"/>
        <w:ind w:firstLine="420" w:firstLineChars="200"/>
      </w:pPr>
    </w:p>
    <w:p w14:paraId="5AD53DBF">
      <w:pPr>
        <w:tabs>
          <w:tab w:val="right" w:pos="8306"/>
        </w:tabs>
        <w:rPr>
          <w:rFonts w:hint="eastAsia" w:ascii="Times New Roman" w:hAnsi="Times New Roman" w:eastAsia="方正仿宋_GBK" w:cs="Times New Roman"/>
          <w:kern w:val="2"/>
          <w:sz w:val="32"/>
          <w:szCs w:val="32"/>
          <w:highlight w:val="none"/>
          <w:lang w:val="en-US" w:eastAsia="zh-CN" w:bidi="ar-SA"/>
        </w:rPr>
      </w:pPr>
      <w:bookmarkStart w:id="14" w:name="_Toc15396604"/>
      <w:bookmarkStart w:id="15" w:name="_Toc15377206"/>
      <w:r>
        <w:rPr>
          <w:rFonts w:hint="eastAsia" w:eastAsia="方正黑体_GBK" w:cs="Times New Roman"/>
          <w:color w:val="000000"/>
          <w:kern w:val="0"/>
          <w:sz w:val="32"/>
          <w:szCs w:val="32"/>
          <w:shd w:val="clear" w:color="auto" w:fill="FFFFFF"/>
          <w:lang w:val="en-US" w:eastAsia="zh-CN" w:bidi="ar-SA"/>
        </w:rPr>
        <w:t xml:space="preserve">    </w:t>
      </w:r>
      <w:r>
        <w:rPr>
          <w:rFonts w:hint="eastAsia" w:ascii="方正黑体_GBK" w:hAnsi="Times New Roman" w:eastAsia="方正黑体_GBK" w:cs="方正黑体_GBK"/>
          <w:color w:val="auto"/>
          <w:kern w:val="2"/>
          <w:sz w:val="32"/>
          <w:szCs w:val="32"/>
          <w:shd w:val="clear" w:color="auto" w:fill="auto"/>
          <w:lang w:val="en-US" w:eastAsia="zh-CN" w:bidi="ar-SA"/>
        </w:rPr>
        <w:t>二、收入决算情况说明</w:t>
      </w:r>
      <w:bookmarkEnd w:id="14"/>
      <w:bookmarkEnd w:id="15"/>
    </w:p>
    <w:p w14:paraId="27D2135C">
      <w:pPr>
        <w:pStyle w:val="28"/>
        <w:spacing w:line="560" w:lineRule="exact"/>
        <w:ind w:firstLine="640" w:firstLineChars="200"/>
        <w:outlineLvl w:val="1"/>
        <w:rPr>
          <w:rFonts w:hint="eastAsia"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2024年度收入合计1272.16万元，其中：一般公共预算财政拨款收入987.43万元，占77.6</w:t>
      </w:r>
      <w:r>
        <w:rPr>
          <w:rFonts w:hint="eastAsia" w:eastAsia="方正仿宋_GBK" w:cs="Times New Roman"/>
          <w:kern w:val="2"/>
          <w:sz w:val="32"/>
          <w:szCs w:val="32"/>
          <w:highlight w:val="none"/>
          <w:lang w:val="en-US" w:eastAsia="zh-CN" w:bidi="ar-SA"/>
        </w:rPr>
        <w:t>2</w:t>
      </w:r>
      <w:r>
        <w:rPr>
          <w:rFonts w:hint="eastAsia" w:ascii="Times New Roman" w:hAnsi="Times New Roman" w:eastAsia="方正仿宋_GBK" w:cs="Times New Roman"/>
          <w:kern w:val="2"/>
          <w:sz w:val="32"/>
          <w:szCs w:val="32"/>
          <w:highlight w:val="none"/>
          <w:lang w:val="en-US" w:eastAsia="zh-CN" w:bidi="ar-SA"/>
        </w:rPr>
        <w:t>%；政府性基金预算财政拨款收入284.73万元，占22.38%。</w:t>
      </w:r>
    </w:p>
    <w:p w14:paraId="2B5CC380">
      <w:pPr>
        <w:pStyle w:val="28"/>
        <w:spacing w:line="600" w:lineRule="exact"/>
        <w:ind w:firstLine="800" w:firstLineChars="250"/>
        <w:outlineLvl w:val="1"/>
        <w:rPr>
          <w:rFonts w:hint="eastAsia" w:ascii="Times New Roman" w:hAnsi="Times New Roman" w:eastAsia="方正仿宋_GBK" w:cs="Times New Roman"/>
          <w:kern w:val="2"/>
          <w:sz w:val="32"/>
          <w:szCs w:val="32"/>
          <w:highlight w:val="none"/>
          <w:lang w:val="en-US" w:eastAsia="zh-CN" w:bidi="ar-SA"/>
        </w:rPr>
      </w:pPr>
    </w:p>
    <w:p w14:paraId="45842CE7">
      <w:pPr>
        <w:pStyle w:val="28"/>
        <w:spacing w:line="600" w:lineRule="exact"/>
        <w:ind w:firstLine="800" w:firstLineChars="250"/>
        <w:outlineLvl w:val="1"/>
        <w:rPr>
          <w:rFonts w:hint="eastAsia" w:ascii="Times New Roman" w:hAnsi="Times New Roman" w:eastAsia="方正仿宋_GBK" w:cs="Times New Roman"/>
          <w:kern w:val="2"/>
          <w:sz w:val="32"/>
          <w:szCs w:val="32"/>
          <w:highlight w:val="none"/>
          <w:lang w:val="en-US" w:eastAsia="zh-CN" w:bidi="ar-SA"/>
        </w:rPr>
      </w:pPr>
    </w:p>
    <w:p w14:paraId="7AB53B12">
      <w:pPr>
        <w:pStyle w:val="28"/>
        <w:spacing w:line="600" w:lineRule="exact"/>
        <w:ind w:firstLine="800" w:firstLineChars="250"/>
        <w:outlineLvl w:val="1"/>
        <w:rPr>
          <w:rFonts w:hint="eastAsia" w:ascii="Times New Roman" w:hAnsi="Times New Roman" w:eastAsia="方正仿宋_GBK" w:cs="Times New Roman"/>
          <w:kern w:val="2"/>
          <w:sz w:val="32"/>
          <w:szCs w:val="32"/>
          <w:highlight w:val="none"/>
          <w:lang w:val="en-US" w:eastAsia="zh-CN" w:bidi="ar-SA"/>
        </w:rPr>
      </w:pPr>
    </w:p>
    <w:p w14:paraId="0FDDB42E">
      <w:pPr>
        <w:pStyle w:val="28"/>
        <w:spacing w:line="600" w:lineRule="exact"/>
        <w:ind w:firstLine="800" w:firstLineChars="250"/>
        <w:jc w:val="center"/>
        <w:outlineLvl w:val="1"/>
        <w:rPr>
          <w:rFonts w:eastAsia="仿宋_GB2312" w:cs="仿宋_GB2312"/>
          <w:sz w:val="32"/>
          <w:szCs w:val="32"/>
        </w:rPr>
      </w:pPr>
      <w:r>
        <w:rPr>
          <w:rFonts w:hint="eastAsia" w:ascii="Times New Roman" w:hAnsi="Times New Roman" w:eastAsia="方正仿宋_GBK" w:cs="Times New Roman"/>
          <w:kern w:val="2"/>
          <w:sz w:val="32"/>
          <w:szCs w:val="32"/>
          <w:highlight w:val="none"/>
          <w:lang w:val="en-US" w:eastAsia="zh-CN" w:bidi="ar-SA"/>
        </w:rPr>
        <w:t>（图2：收入决算结构图）</w:t>
      </w:r>
    </w:p>
    <w:p w14:paraId="50DEC301">
      <w:pPr>
        <w:pStyle w:val="2"/>
      </w:pPr>
      <w:r>
        <w:drawing>
          <wp:inline distT="0" distB="0" distL="85090" distR="85090">
            <wp:extent cx="4742815" cy="3285490"/>
            <wp:effectExtent l="0" t="0" r="635" b="10160"/>
            <wp:docPr id="12"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pic:cNvPicPr>
                      <a:picLocks noChangeAspect="1"/>
                    </pic:cNvPicPr>
                  </pic:nvPicPr>
                  <pic:blipFill>
                    <a:blip r:embed="rId12"/>
                    <a:stretch>
                      <a:fillRect/>
                    </a:stretch>
                  </pic:blipFill>
                  <pic:spPr>
                    <a:xfrm>
                      <a:off x="0" y="0"/>
                      <a:ext cx="4743378" cy="3286075"/>
                    </a:xfrm>
                    <a:prstGeom prst="rect">
                      <a:avLst/>
                    </a:prstGeom>
                    <a:noFill/>
                    <a:ln w="9525" cap="flat" cmpd="sng">
                      <a:noFill/>
                      <a:prstDash val="solid"/>
                      <a:miter/>
                    </a:ln>
                  </pic:spPr>
                </pic:pic>
              </a:graphicData>
            </a:graphic>
          </wp:inline>
        </w:drawing>
      </w:r>
    </w:p>
    <w:p w14:paraId="70D5F6D8">
      <w:pPr>
        <w:tabs>
          <w:tab w:val="right" w:pos="8306"/>
        </w:tabs>
        <w:spacing w:line="560" w:lineRule="exact"/>
        <w:ind w:left="0"/>
        <w:outlineLvl w:val="1"/>
        <w:rPr>
          <w:rFonts w:hint="eastAsia" w:ascii="Times New Roman" w:hAnsi="Times New Roman" w:eastAsia="方正黑体_GBK" w:cs="Times New Roman"/>
          <w:color w:val="000000"/>
          <w:kern w:val="0"/>
          <w:sz w:val="32"/>
          <w:szCs w:val="32"/>
          <w:shd w:val="clear" w:color="auto" w:fill="FFFFFF"/>
          <w:lang w:val="en-US" w:eastAsia="zh-CN" w:bidi="ar-SA"/>
        </w:rPr>
      </w:pPr>
      <w:bookmarkStart w:id="16" w:name="_Toc15396605"/>
      <w:bookmarkStart w:id="17" w:name="_Toc15377207"/>
      <w:r>
        <w:rPr>
          <w:rFonts w:hint="eastAsia" w:eastAsia="方正黑体_GBK" w:cs="Times New Roman"/>
          <w:color w:val="000000"/>
          <w:kern w:val="0"/>
          <w:sz w:val="32"/>
          <w:szCs w:val="32"/>
          <w:shd w:val="clear" w:color="auto" w:fill="FFFFFF"/>
          <w:lang w:val="en-US" w:eastAsia="zh-CN" w:bidi="ar-SA"/>
        </w:rPr>
        <w:t xml:space="preserve">   </w:t>
      </w:r>
      <w:r>
        <w:rPr>
          <w:rFonts w:hint="eastAsia" w:ascii="方正黑体_GBK" w:eastAsia="方正黑体_GBK" w:cs="方正黑体_GBK"/>
          <w:color w:val="auto"/>
          <w:kern w:val="2"/>
          <w:sz w:val="32"/>
          <w:szCs w:val="32"/>
          <w:shd w:val="clear" w:color="auto" w:fill="auto"/>
          <w:lang w:val="en-US" w:eastAsia="zh-CN" w:bidi="ar-SA"/>
        </w:rPr>
        <w:t xml:space="preserve"> </w:t>
      </w:r>
      <w:r>
        <w:rPr>
          <w:rFonts w:hint="eastAsia" w:ascii="方正黑体_GBK" w:hAnsi="Times New Roman" w:eastAsia="方正黑体_GBK" w:cs="方正黑体_GBK"/>
          <w:color w:val="auto"/>
          <w:kern w:val="2"/>
          <w:sz w:val="32"/>
          <w:szCs w:val="32"/>
          <w:shd w:val="clear" w:color="auto" w:fill="auto"/>
          <w:lang w:val="en-US" w:eastAsia="zh-CN" w:bidi="ar-SA"/>
        </w:rPr>
        <w:t>三、支出决算情况说明</w:t>
      </w:r>
      <w:bookmarkEnd w:id="16"/>
      <w:bookmarkEnd w:id="17"/>
    </w:p>
    <w:p w14:paraId="7B85162F">
      <w:pPr>
        <w:pStyle w:val="28"/>
        <w:spacing w:line="560" w:lineRule="exact"/>
        <w:ind w:left="0" w:firstLine="640" w:firstLineChars="200"/>
        <w:jc w:val="left"/>
        <w:outlineLvl w:val="1"/>
        <w:rPr>
          <w:rFonts w:hint="eastAsia" w:eastAsia="方正仿宋_GBK" w:cs="Times New Roman"/>
          <w:sz w:val="32"/>
          <w:szCs w:val="32"/>
          <w:highlight w:val="green"/>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2024年度支出合计1272.16万元，其中：基本支出953.64万元，占74.96%；项目支出318.5</w:t>
      </w:r>
      <w:r>
        <w:rPr>
          <w:rFonts w:hint="eastAsia" w:eastAsia="方正仿宋_GBK" w:cs="Times New Roman"/>
          <w:kern w:val="2"/>
          <w:sz w:val="32"/>
          <w:szCs w:val="32"/>
          <w:highlight w:val="none"/>
          <w:lang w:val="en-US" w:eastAsia="zh-CN" w:bidi="ar-SA"/>
        </w:rPr>
        <w:t>2</w:t>
      </w:r>
      <w:r>
        <w:rPr>
          <w:rFonts w:hint="eastAsia" w:ascii="Times New Roman" w:hAnsi="Times New Roman" w:eastAsia="方正仿宋_GBK" w:cs="Times New Roman"/>
          <w:kern w:val="2"/>
          <w:sz w:val="32"/>
          <w:szCs w:val="32"/>
          <w:highlight w:val="none"/>
          <w:lang w:val="en-US" w:eastAsia="zh-CN" w:bidi="ar-SA"/>
        </w:rPr>
        <w:t>万元，占25.0</w:t>
      </w:r>
      <w:r>
        <w:rPr>
          <w:rFonts w:hint="eastAsia"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en-US" w:eastAsia="zh-CN" w:bidi="ar-SA"/>
        </w:rPr>
        <w:t>%。</w:t>
      </w:r>
    </w:p>
    <w:p w14:paraId="1C6F3D6D">
      <w:pPr>
        <w:pStyle w:val="28"/>
        <w:spacing w:line="560" w:lineRule="exact"/>
        <w:ind w:left="0" w:firstLine="640" w:firstLineChars="200"/>
        <w:jc w:val="center"/>
        <w:outlineLvl w:val="1"/>
        <w:rPr>
          <w:rFonts w:hint="eastAsia" w:eastAsia="方正仿宋_GBK" w:cs="Times New Roman"/>
          <w:sz w:val="32"/>
          <w:szCs w:val="32"/>
          <w:highlight w:val="none"/>
        </w:rPr>
      </w:pPr>
      <w:r>
        <w:rPr>
          <w:rFonts w:hint="eastAsia" w:eastAsia="方正仿宋_GBK" w:cs="Times New Roman"/>
          <w:sz w:val="32"/>
          <w:szCs w:val="32"/>
          <w:highlight w:val="none"/>
        </w:rPr>
        <w:t>（图3：支出决算结构图）</w:t>
      </w:r>
    </w:p>
    <w:p w14:paraId="7FE76B13">
      <w:pPr>
        <w:pStyle w:val="28"/>
        <w:spacing w:line="560" w:lineRule="exact"/>
        <w:ind w:left="0" w:firstLine="420" w:firstLineChars="200"/>
        <w:outlineLvl w:val="1"/>
        <w:rPr>
          <w:rFonts w:hint="eastAsia" w:eastAsia="方正仿宋_GBK" w:cs="Times New Roman"/>
          <w:sz w:val="32"/>
          <w:szCs w:val="32"/>
          <w:highlight w:val="green"/>
        </w:rPr>
      </w:pPr>
      <w:r>
        <w:drawing>
          <wp:anchor distT="0" distB="0" distL="0" distR="0" simplePos="0" relativeHeight="251662336" behindDoc="0" locked="0" layoutInCell="1" allowOverlap="1">
            <wp:simplePos x="0" y="0"/>
            <wp:positionH relativeFrom="column">
              <wp:posOffset>323850</wp:posOffset>
            </wp:positionH>
            <wp:positionV relativeFrom="page">
              <wp:posOffset>6296025</wp:posOffset>
            </wp:positionV>
            <wp:extent cx="4091940" cy="2926080"/>
            <wp:effectExtent l="4445" t="5080" r="18415" b="2159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38A6D25">
      <w:pPr>
        <w:pStyle w:val="28"/>
        <w:spacing w:line="560" w:lineRule="exact"/>
        <w:ind w:left="0" w:firstLine="640" w:firstLineChars="200"/>
        <w:outlineLvl w:val="1"/>
        <w:rPr>
          <w:rFonts w:hint="eastAsia" w:eastAsia="方正仿宋_GBK" w:cs="Times New Roman"/>
          <w:sz w:val="32"/>
          <w:szCs w:val="32"/>
          <w:highlight w:val="green"/>
        </w:rPr>
      </w:pPr>
    </w:p>
    <w:p w14:paraId="5AD37A08">
      <w:pPr>
        <w:pStyle w:val="28"/>
        <w:spacing w:line="560" w:lineRule="exact"/>
        <w:ind w:left="0" w:firstLine="640" w:firstLineChars="200"/>
        <w:outlineLvl w:val="1"/>
        <w:rPr>
          <w:rFonts w:hint="eastAsia" w:eastAsia="方正仿宋_GBK" w:cs="Times New Roman"/>
          <w:sz w:val="32"/>
          <w:szCs w:val="32"/>
          <w:highlight w:val="green"/>
        </w:rPr>
      </w:pPr>
    </w:p>
    <w:p w14:paraId="42C947D6">
      <w:pPr>
        <w:pStyle w:val="28"/>
        <w:spacing w:line="560" w:lineRule="exact"/>
        <w:ind w:left="0" w:firstLine="640" w:firstLineChars="200"/>
        <w:outlineLvl w:val="1"/>
        <w:rPr>
          <w:rFonts w:hint="eastAsia" w:eastAsia="方正仿宋_GBK" w:cs="Times New Roman"/>
          <w:sz w:val="32"/>
          <w:szCs w:val="32"/>
          <w:highlight w:val="green"/>
        </w:rPr>
      </w:pPr>
    </w:p>
    <w:p w14:paraId="1D8E7595">
      <w:pPr>
        <w:pStyle w:val="28"/>
        <w:spacing w:line="560" w:lineRule="exact"/>
        <w:ind w:left="0" w:firstLine="640" w:firstLineChars="200"/>
        <w:outlineLvl w:val="1"/>
        <w:rPr>
          <w:rFonts w:hint="eastAsia" w:eastAsia="方正仿宋_GBK" w:cs="Times New Roman"/>
          <w:sz w:val="32"/>
          <w:szCs w:val="32"/>
          <w:highlight w:val="green"/>
        </w:rPr>
      </w:pPr>
    </w:p>
    <w:p w14:paraId="369D946A">
      <w:pPr>
        <w:pStyle w:val="28"/>
        <w:spacing w:line="560" w:lineRule="exact"/>
        <w:ind w:left="0" w:firstLine="640" w:firstLineChars="200"/>
        <w:outlineLvl w:val="1"/>
        <w:rPr>
          <w:rFonts w:hint="eastAsia" w:eastAsia="方正仿宋_GBK" w:cs="Times New Roman"/>
          <w:sz w:val="32"/>
          <w:szCs w:val="32"/>
          <w:highlight w:val="green"/>
        </w:rPr>
      </w:pPr>
    </w:p>
    <w:p w14:paraId="225A1BA9">
      <w:pPr>
        <w:pStyle w:val="28"/>
        <w:tabs>
          <w:tab w:val="left" w:pos="5106"/>
        </w:tabs>
        <w:spacing w:line="560" w:lineRule="exact"/>
        <w:ind w:left="0" w:firstLine="0" w:firstLineChars="0"/>
        <w:outlineLvl w:val="1"/>
        <w:rPr>
          <w:rFonts w:hint="eastAsia" w:eastAsia="方正仿宋_GBK" w:cs="Times New Roman"/>
          <w:sz w:val="32"/>
          <w:szCs w:val="32"/>
          <w:highlight w:val="green"/>
          <w:lang w:eastAsia="zh-CN"/>
        </w:rPr>
      </w:pPr>
    </w:p>
    <w:p w14:paraId="19C64B41">
      <w:pPr>
        <w:pStyle w:val="28"/>
        <w:spacing w:line="560" w:lineRule="exact"/>
        <w:ind w:left="0" w:firstLine="640" w:firstLineChars="200"/>
        <w:outlineLvl w:val="1"/>
        <w:rPr>
          <w:rFonts w:hint="eastAsia" w:eastAsia="方正仿宋_GBK" w:cs="Times New Roman"/>
          <w:sz w:val="32"/>
          <w:szCs w:val="32"/>
          <w:highlight w:val="green"/>
        </w:rPr>
      </w:pPr>
    </w:p>
    <w:p w14:paraId="3DFE5665">
      <w:pPr>
        <w:pStyle w:val="28"/>
        <w:spacing w:line="560" w:lineRule="exact"/>
        <w:ind w:left="0" w:firstLine="640" w:firstLineChars="200"/>
        <w:outlineLvl w:val="1"/>
        <w:rPr>
          <w:rFonts w:hint="eastAsia" w:eastAsia="方正仿宋_GBK" w:cs="Times New Roman"/>
          <w:sz w:val="32"/>
          <w:szCs w:val="32"/>
          <w:highlight w:val="green"/>
        </w:rPr>
      </w:pPr>
    </w:p>
    <w:p w14:paraId="1D670AEC">
      <w:pPr>
        <w:spacing w:line="560" w:lineRule="exact"/>
        <w:ind w:firstLine="640" w:firstLineChars="200"/>
        <w:outlineLvl w:val="9"/>
        <w:rPr>
          <w:rFonts w:hint="eastAsia" w:ascii="Times New Roman" w:hAnsi="Times New Roman" w:eastAsia="方正黑体_GBK" w:cs="Times New Roman"/>
          <w:color w:val="000000"/>
          <w:kern w:val="0"/>
          <w:sz w:val="32"/>
          <w:szCs w:val="32"/>
          <w:shd w:val="clear" w:color="auto" w:fill="FFFFFF"/>
          <w:lang w:val="en-US" w:eastAsia="zh-CN" w:bidi="ar-SA"/>
        </w:rPr>
      </w:pPr>
      <w:bookmarkStart w:id="18" w:name="_Toc15396606"/>
      <w:bookmarkStart w:id="19" w:name="_Toc15377208"/>
    </w:p>
    <w:p w14:paraId="7EEFDF89">
      <w:pPr>
        <w:spacing w:line="560" w:lineRule="exact"/>
        <w:ind w:firstLine="640" w:firstLineChars="200"/>
        <w:outlineLvl w:val="9"/>
        <w:rPr>
          <w:rFonts w:hint="eastAsia" w:ascii="Times New Roman" w:hAnsi="Times New Roman" w:eastAsia="方正黑体_GBK" w:cs="Times New Roman"/>
          <w:color w:val="000000"/>
          <w:kern w:val="0"/>
          <w:sz w:val="32"/>
          <w:szCs w:val="32"/>
          <w:shd w:val="clear" w:color="auto" w:fill="FFFFFF"/>
          <w:lang w:val="en-US" w:eastAsia="zh-CN" w:bidi="ar-SA"/>
        </w:rPr>
      </w:pPr>
      <w:r>
        <w:rPr>
          <w:rFonts w:hint="eastAsia" w:ascii="Times New Roman" w:hAnsi="Times New Roman" w:eastAsia="方正黑体_GBK" w:cs="Times New Roman"/>
          <w:color w:val="000000"/>
          <w:kern w:val="0"/>
          <w:sz w:val="32"/>
          <w:szCs w:val="32"/>
          <w:shd w:val="clear" w:color="auto" w:fill="FFFFFF"/>
          <w:lang w:val="en-US" w:eastAsia="zh-CN" w:bidi="ar-SA"/>
        </w:rPr>
        <w:t>四、财政拨款收入支出决算总体情况说明</w:t>
      </w:r>
      <w:bookmarkEnd w:id="18"/>
      <w:bookmarkEnd w:id="19"/>
    </w:p>
    <w:p w14:paraId="6D07C3AC">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2024年度财政拨款收入、支出总计均为1272.16万元。与2023年度相比，财政拨款收入总计、支出总计各减少143.75万元，下降10.15%。主要变动原因是项目经费支出减少。</w:t>
      </w:r>
    </w:p>
    <w:p w14:paraId="173AC5A1">
      <w:pPr>
        <w:spacing w:line="560" w:lineRule="exact"/>
        <w:ind w:firstLine="0" w:firstLineChars="0"/>
        <w:jc w:val="center"/>
        <w:rPr>
          <w:rFonts w:eastAsia="仿宋_GB2312" w:cs="仿宋_GB2312"/>
          <w:sz w:val="32"/>
          <w:szCs w:val="32"/>
        </w:rPr>
      </w:pPr>
      <w:r>
        <w:rPr>
          <w:rFonts w:hint="eastAsia" w:ascii="Times New Roman" w:hAnsi="Times New Roman" w:eastAsia="方正仿宋_GBK" w:cs="Times New Roman"/>
          <w:kern w:val="2"/>
          <w:sz w:val="32"/>
          <w:szCs w:val="32"/>
          <w:highlight w:val="none"/>
          <w:lang w:val="en-US" w:eastAsia="zh-CN" w:bidi="ar-SA"/>
        </w:rPr>
        <w:t>（图4：财政拨款收、支决算总计变动情况）</w:t>
      </w:r>
    </w:p>
    <w:p w14:paraId="4C6341DC">
      <w:pPr>
        <w:pStyle w:val="2"/>
      </w:pPr>
      <w:r>
        <w:drawing>
          <wp:inline distT="0" distB="0" distL="85090" distR="85090">
            <wp:extent cx="5274310" cy="3259455"/>
            <wp:effectExtent l="0" t="0" r="17" b="23"/>
            <wp:docPr id="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pic:cNvPicPr>
                      <a:picLocks noChangeAspect="1"/>
                    </pic:cNvPicPr>
                  </pic:nvPicPr>
                  <pic:blipFill>
                    <a:blip r:embed="rId14"/>
                    <a:stretch>
                      <a:fillRect/>
                    </a:stretch>
                  </pic:blipFill>
                  <pic:spPr>
                    <a:xfrm>
                      <a:off x="0" y="0"/>
                      <a:ext cx="5274310" cy="3260000"/>
                    </a:xfrm>
                    <a:prstGeom prst="rect">
                      <a:avLst/>
                    </a:prstGeom>
                    <a:noFill/>
                    <a:ln w="9525" cap="flat" cmpd="sng">
                      <a:noFill/>
                      <a:prstDash val="solid"/>
                      <a:miter/>
                    </a:ln>
                  </pic:spPr>
                </pic:pic>
              </a:graphicData>
            </a:graphic>
          </wp:inline>
        </w:drawing>
      </w:r>
    </w:p>
    <w:p w14:paraId="7512E3B9">
      <w:pPr>
        <w:tabs>
          <w:tab w:val="right" w:pos="8306"/>
        </w:tabs>
        <w:spacing w:line="560" w:lineRule="exact"/>
        <w:ind w:left="0"/>
        <w:outlineLvl w:val="1"/>
        <w:rPr>
          <w:rFonts w:hint="eastAsia" w:ascii="Times New Roman" w:hAnsi="Times New Roman" w:eastAsia="方正黑体_GBK" w:cs="Times New Roman"/>
          <w:color w:val="000000"/>
          <w:kern w:val="0"/>
          <w:sz w:val="32"/>
          <w:szCs w:val="32"/>
          <w:shd w:val="clear" w:color="auto" w:fill="FFFFFF"/>
          <w:lang w:val="en-US" w:eastAsia="zh-CN" w:bidi="ar-SA"/>
        </w:rPr>
      </w:pPr>
      <w:bookmarkStart w:id="20" w:name="_Toc15377209"/>
      <w:bookmarkStart w:id="21" w:name="_Toc15396607"/>
      <w:r>
        <w:rPr>
          <w:rFonts w:hint="eastAsia" w:eastAsia="方正黑体_GBK" w:cs="Times New Roman"/>
          <w:color w:val="000000"/>
          <w:kern w:val="0"/>
          <w:sz w:val="32"/>
          <w:szCs w:val="32"/>
          <w:shd w:val="clear" w:color="auto" w:fill="FFFFFF"/>
          <w:lang w:val="en-US" w:eastAsia="zh-CN" w:bidi="ar-SA"/>
        </w:rPr>
        <w:t xml:space="preserve">    </w:t>
      </w:r>
      <w:r>
        <w:rPr>
          <w:rFonts w:hint="eastAsia" w:ascii="Times New Roman" w:hAnsi="Times New Roman" w:eastAsia="方正黑体_GBK" w:cs="Times New Roman"/>
          <w:color w:val="000000"/>
          <w:kern w:val="0"/>
          <w:sz w:val="32"/>
          <w:szCs w:val="32"/>
          <w:shd w:val="clear" w:color="auto" w:fill="FFFFFF"/>
          <w:lang w:val="en-US" w:eastAsia="zh-CN" w:bidi="ar-SA"/>
        </w:rPr>
        <w:t>五、一般公共预算财政拨款支出决算情况说明</w:t>
      </w:r>
      <w:bookmarkEnd w:id="20"/>
      <w:bookmarkEnd w:id="21"/>
    </w:p>
    <w:p w14:paraId="525A2210">
      <w:pPr>
        <w:pageBreakBefore w:val="0"/>
        <w:widowControl w:val="0"/>
        <w:kinsoku/>
        <w:wordWrap/>
        <w:overflowPunct/>
        <w:topLinePunct w:val="0"/>
        <w:autoSpaceDE/>
        <w:autoSpaceDN/>
        <w:bidi w:val="0"/>
        <w:adjustRightInd w:val="0"/>
        <w:snapToGrid w:val="0"/>
        <w:spacing w:line="560" w:lineRule="exact"/>
        <w:ind w:firstLine="643" w:firstLineChars="200"/>
        <w:rPr>
          <w:rFonts w:hint="eastAsia" w:ascii="方正楷体_GBK" w:eastAsia="方正楷体_GBK" w:cs="方正楷体_GBK"/>
          <w:b/>
          <w:bCs/>
          <w:color w:val="auto"/>
          <w:kern w:val="2"/>
          <w:sz w:val="32"/>
          <w:szCs w:val="32"/>
          <w:shd w:val="clear" w:color="auto" w:fill="auto"/>
          <w:lang w:val="zh-CN" w:eastAsia="zh-CN" w:bidi="ar-SA"/>
        </w:rPr>
      </w:pPr>
      <w:bookmarkStart w:id="22" w:name="_Toc15377210"/>
      <w:r>
        <w:rPr>
          <w:rFonts w:hint="eastAsia" w:ascii="方正楷体_GBK" w:eastAsia="方正楷体_GBK" w:cs="方正楷体_GBK"/>
          <w:b/>
          <w:bCs/>
          <w:color w:val="auto"/>
          <w:kern w:val="2"/>
          <w:sz w:val="32"/>
          <w:szCs w:val="32"/>
          <w:shd w:val="clear" w:color="auto" w:fill="auto"/>
          <w:lang w:val="zh-CN" w:eastAsia="zh-CN" w:bidi="ar-SA"/>
        </w:rPr>
        <w:t>（一）一般公共预算财政拨款支出决算总体情况</w:t>
      </w:r>
      <w:bookmarkEnd w:id="22"/>
    </w:p>
    <w:p w14:paraId="07C5A484">
      <w:pPr>
        <w:spacing w:line="560" w:lineRule="exact"/>
        <w:ind w:firstLine="640"/>
        <w:rPr>
          <w:rFonts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2024年度一般公共预算财政拨款支出987.43万元，占</w:t>
      </w:r>
      <w:r>
        <w:rPr>
          <w:rFonts w:hint="eastAsia" w:eastAsia="方正仿宋_GBK" w:cs="Times New Roman"/>
          <w:kern w:val="2"/>
          <w:sz w:val="32"/>
          <w:szCs w:val="32"/>
          <w:highlight w:val="none"/>
          <w:lang w:val="en-US" w:eastAsia="zh-CN" w:bidi="ar-SA"/>
        </w:rPr>
        <w:t>年度</w:t>
      </w:r>
      <w:r>
        <w:rPr>
          <w:rFonts w:hint="eastAsia" w:ascii="Times New Roman" w:hAnsi="Times New Roman" w:eastAsia="方正仿宋_GBK" w:cs="Times New Roman"/>
          <w:kern w:val="2"/>
          <w:sz w:val="32"/>
          <w:szCs w:val="32"/>
          <w:highlight w:val="none"/>
          <w:lang w:val="en-US" w:eastAsia="zh-CN" w:bidi="ar-SA"/>
        </w:rPr>
        <w:t>支出合计的77.6</w:t>
      </w:r>
      <w:r>
        <w:rPr>
          <w:rFonts w:hint="eastAsia" w:eastAsia="方正仿宋_GBK" w:cs="Times New Roman"/>
          <w:kern w:val="2"/>
          <w:sz w:val="32"/>
          <w:szCs w:val="32"/>
          <w:highlight w:val="none"/>
          <w:lang w:val="en-US" w:eastAsia="zh-CN" w:bidi="ar-SA"/>
        </w:rPr>
        <w:t>2</w:t>
      </w:r>
      <w:r>
        <w:rPr>
          <w:rFonts w:hint="eastAsia" w:ascii="Times New Roman" w:hAnsi="Times New Roman" w:eastAsia="方正仿宋_GBK" w:cs="Times New Roman"/>
          <w:kern w:val="2"/>
          <w:sz w:val="32"/>
          <w:szCs w:val="32"/>
          <w:highlight w:val="none"/>
          <w:lang w:val="en-US" w:eastAsia="zh-CN" w:bidi="ar-SA"/>
        </w:rPr>
        <w:t>%。与2023年度相比，一般公共预算财政拨款支出减少157.51万元，下降13.7</w:t>
      </w:r>
      <w:r>
        <w:rPr>
          <w:rFonts w:hint="eastAsia" w:eastAsia="方正仿宋_GBK" w:cs="Times New Roman"/>
          <w:kern w:val="2"/>
          <w:sz w:val="32"/>
          <w:szCs w:val="32"/>
          <w:highlight w:val="none"/>
          <w:lang w:val="en-US" w:eastAsia="zh-CN" w:bidi="ar-SA"/>
        </w:rPr>
        <w:t>6</w:t>
      </w:r>
      <w:r>
        <w:rPr>
          <w:rFonts w:hint="eastAsia" w:ascii="Times New Roman" w:hAnsi="Times New Roman" w:eastAsia="方正仿宋_GBK" w:cs="Times New Roman"/>
          <w:kern w:val="2"/>
          <w:sz w:val="32"/>
          <w:szCs w:val="32"/>
          <w:highlight w:val="none"/>
          <w:lang w:val="en-US" w:eastAsia="zh-CN" w:bidi="ar-SA"/>
        </w:rPr>
        <w:t>%。主要变动原因是一般公共预算基本支出</w:t>
      </w:r>
      <w:r>
        <w:rPr>
          <w:rFonts w:hint="eastAsia" w:eastAsia="方正仿宋_GBK" w:cs="Times New Roman"/>
          <w:kern w:val="2"/>
          <w:sz w:val="32"/>
          <w:szCs w:val="32"/>
          <w:highlight w:val="none"/>
          <w:lang w:val="en-US" w:eastAsia="zh-CN" w:bidi="ar-SA"/>
        </w:rPr>
        <w:t>减少</w:t>
      </w:r>
      <w:r>
        <w:rPr>
          <w:rFonts w:hint="eastAsia" w:ascii="Times New Roman" w:hAnsi="Times New Roman" w:eastAsia="方正仿宋_GBK" w:cs="Times New Roman"/>
          <w:kern w:val="2"/>
          <w:sz w:val="32"/>
          <w:szCs w:val="32"/>
          <w:highlight w:val="none"/>
          <w:lang w:val="en-US" w:eastAsia="zh-CN" w:bidi="ar-SA"/>
        </w:rPr>
        <w:t>。</w:t>
      </w:r>
    </w:p>
    <w:p w14:paraId="3C47076A">
      <w:pPr>
        <w:spacing w:line="600" w:lineRule="exact"/>
        <w:ind w:firstLine="640"/>
        <w:rPr>
          <w:rFonts w:hint="eastAsia" w:ascii="Times New Roman" w:hAnsi="Times New Roman" w:eastAsia="方正仿宋_GBK" w:cs="Times New Roman"/>
          <w:kern w:val="2"/>
          <w:sz w:val="32"/>
          <w:szCs w:val="32"/>
          <w:highlight w:val="none"/>
          <w:lang w:val="en-US" w:eastAsia="zh-CN" w:bidi="ar-SA"/>
        </w:rPr>
      </w:pPr>
    </w:p>
    <w:p w14:paraId="7BE03D94">
      <w:pPr>
        <w:spacing w:line="600" w:lineRule="exact"/>
        <w:ind w:firstLine="0"/>
        <w:rPr>
          <w:rFonts w:hint="eastAsia" w:ascii="Times New Roman" w:hAnsi="Times New Roman" w:eastAsia="方正仿宋_GBK" w:cs="Times New Roman"/>
          <w:kern w:val="2"/>
          <w:sz w:val="32"/>
          <w:szCs w:val="32"/>
          <w:highlight w:val="none"/>
          <w:lang w:val="en-US" w:eastAsia="zh-CN" w:bidi="ar-SA"/>
        </w:rPr>
      </w:pPr>
    </w:p>
    <w:p w14:paraId="4DBC68CC">
      <w:pPr>
        <w:spacing w:line="600" w:lineRule="exact"/>
        <w:ind w:firstLine="0"/>
        <w:rPr>
          <w:rFonts w:hint="eastAsia" w:ascii="Times New Roman" w:hAnsi="Times New Roman" w:eastAsia="方正仿宋_GBK" w:cs="Times New Roman"/>
          <w:kern w:val="2"/>
          <w:sz w:val="32"/>
          <w:szCs w:val="32"/>
          <w:highlight w:val="none"/>
          <w:lang w:val="en-US" w:eastAsia="zh-CN" w:bidi="ar-SA"/>
        </w:rPr>
      </w:pPr>
    </w:p>
    <w:p w14:paraId="5EF326C7">
      <w:pPr>
        <w:pageBreakBefore w:val="0"/>
        <w:widowControl w:val="0"/>
        <w:bidi w:val="0"/>
        <w:spacing w:line="600" w:lineRule="exact"/>
        <w:rPr>
          <w:rFonts w:hint="eastAsia" w:ascii="Times New Roman" w:hAnsi="Times New Roman" w:eastAsia="方正仿宋_GBK" w:cs="Times New Roman"/>
          <w:kern w:val="2"/>
          <w:sz w:val="32"/>
          <w:szCs w:val="32"/>
          <w:highlight w:val="none"/>
          <w:lang w:val="en-US" w:eastAsia="zh-CN" w:bidi="ar-SA"/>
        </w:rPr>
      </w:pPr>
    </w:p>
    <w:p w14:paraId="60E1046F">
      <w:pPr>
        <w:pageBreakBefore w:val="0"/>
        <w:widowControl w:val="0"/>
        <w:bidi w:val="0"/>
        <w:spacing w:line="600" w:lineRule="exact"/>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（图5：一般公共预算财政拨款支出决算变动情况）</w:t>
      </w:r>
      <w:bookmarkStart w:id="23" w:name="_Toc15377211"/>
    </w:p>
    <w:p w14:paraId="2F09DB4E">
      <w:pPr>
        <w:pStyle w:val="2"/>
        <w:pageBreakBefore w:val="0"/>
        <w:widowControl w:val="0"/>
        <w:bidi w:val="0"/>
      </w:pPr>
      <w:r>
        <w:drawing>
          <wp:inline distT="0" distB="0" distL="85090" distR="85090">
            <wp:extent cx="5274310" cy="3408680"/>
            <wp:effectExtent l="0" t="0" r="2540" b="1270"/>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pic:cNvPicPr>
                      <a:picLocks noChangeAspect="1"/>
                    </pic:cNvPicPr>
                  </pic:nvPicPr>
                  <pic:blipFill>
                    <a:blip r:embed="rId15"/>
                    <a:stretch>
                      <a:fillRect/>
                    </a:stretch>
                  </pic:blipFill>
                  <pic:spPr>
                    <a:xfrm>
                      <a:off x="0" y="0"/>
                      <a:ext cx="5274310" cy="3408680"/>
                    </a:xfrm>
                    <a:prstGeom prst="rect">
                      <a:avLst/>
                    </a:prstGeom>
                    <a:noFill/>
                    <a:ln w="9525" cap="flat" cmpd="sng">
                      <a:noFill/>
                      <a:prstDash val="solid"/>
                      <a:miter/>
                    </a:ln>
                  </pic:spPr>
                </pic:pic>
              </a:graphicData>
            </a:graphic>
          </wp:inline>
        </w:drawing>
      </w:r>
    </w:p>
    <w:p w14:paraId="250F9938">
      <w:pPr>
        <w:pageBreakBefore w:val="0"/>
        <w:widowControl w:val="0"/>
        <w:kinsoku/>
        <w:wordWrap/>
        <w:overflowPunct/>
        <w:topLinePunct w:val="0"/>
        <w:autoSpaceDE/>
        <w:autoSpaceDN/>
        <w:bidi w:val="0"/>
        <w:adjustRightInd w:val="0"/>
        <w:snapToGrid w:val="0"/>
        <w:spacing w:line="560" w:lineRule="exact"/>
        <w:ind w:left="0" w:firstLine="643" w:firstLineChars="200"/>
        <w:rPr>
          <w:rFonts w:hint="eastAsia" w:ascii="方正楷体_GBK" w:hAnsi="Times New Roman" w:eastAsia="方正楷体_GBK" w:cs="方正楷体_GBK"/>
          <w:b/>
          <w:bCs/>
          <w:color w:val="auto"/>
          <w:kern w:val="2"/>
          <w:sz w:val="32"/>
          <w:szCs w:val="32"/>
          <w:shd w:val="clear" w:color="auto" w:fill="auto"/>
          <w:lang w:val="zh-CN" w:eastAsia="zh-CN" w:bidi="ar-SA"/>
        </w:rPr>
      </w:pPr>
      <w:r>
        <w:rPr>
          <w:rFonts w:hint="eastAsia" w:ascii="方正楷体_GBK" w:hAnsi="Times New Roman" w:eastAsia="方正楷体_GBK" w:cs="方正楷体_GBK"/>
          <w:b/>
          <w:bCs/>
          <w:color w:val="auto"/>
          <w:kern w:val="2"/>
          <w:sz w:val="32"/>
          <w:szCs w:val="32"/>
          <w:shd w:val="clear" w:color="auto" w:fill="auto"/>
          <w:lang w:val="zh-CN" w:eastAsia="zh-CN" w:bidi="ar-SA"/>
        </w:rPr>
        <w:t>（二）一般公共预算财政拨款支出决算结构情况</w:t>
      </w:r>
      <w:bookmarkEnd w:id="23"/>
    </w:p>
    <w:p w14:paraId="659D52AB">
      <w:pPr>
        <w:spacing w:line="560" w:lineRule="exact"/>
        <w:ind w:firstLine="640"/>
        <w:rPr>
          <w:rFonts w:hint="eastAsia" w:eastAsia="仿宋_GB2312" w:cs="仿宋_GB2312"/>
          <w:sz w:val="32"/>
          <w:szCs w:val="32"/>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2024年度一般公共预算财政拨款支出987.43万元，主要用于以下方面：一般公共服务支出3.75万元，占0.</w:t>
      </w:r>
      <w:r>
        <w:rPr>
          <w:rFonts w:hint="eastAsia" w:eastAsia="方正仿宋_GBK" w:cs="Times New Roman"/>
          <w:kern w:val="2"/>
          <w:sz w:val="32"/>
          <w:szCs w:val="32"/>
          <w:highlight w:val="none"/>
          <w:lang w:val="en-US" w:eastAsia="zh-CN" w:bidi="ar-SA"/>
        </w:rPr>
        <w:t>38</w:t>
      </w:r>
      <w:r>
        <w:rPr>
          <w:rFonts w:hint="eastAsia" w:ascii="Times New Roman" w:hAnsi="Times New Roman" w:eastAsia="方正仿宋_GBK" w:cs="Times New Roman"/>
          <w:kern w:val="2"/>
          <w:sz w:val="32"/>
          <w:szCs w:val="32"/>
          <w:highlight w:val="none"/>
          <w:lang w:val="en-US" w:eastAsia="zh-CN" w:bidi="ar-SA"/>
        </w:rPr>
        <w:t>%；社会保障和就业支出883.5</w:t>
      </w:r>
      <w:r>
        <w:rPr>
          <w:rFonts w:hint="eastAsia" w:eastAsia="方正仿宋_GBK" w:cs="Times New Roman"/>
          <w:kern w:val="2"/>
          <w:sz w:val="32"/>
          <w:szCs w:val="32"/>
          <w:highlight w:val="none"/>
          <w:lang w:val="en-US" w:eastAsia="zh-CN" w:bidi="ar-SA"/>
        </w:rPr>
        <w:t>5</w:t>
      </w:r>
      <w:r>
        <w:rPr>
          <w:rFonts w:hint="eastAsia" w:ascii="Times New Roman" w:hAnsi="Times New Roman" w:eastAsia="方正仿宋_GBK" w:cs="Times New Roman"/>
          <w:kern w:val="2"/>
          <w:sz w:val="32"/>
          <w:szCs w:val="32"/>
          <w:highlight w:val="none"/>
          <w:lang w:val="en-US" w:eastAsia="zh-CN" w:bidi="ar-SA"/>
        </w:rPr>
        <w:t>万元，占89.4</w:t>
      </w:r>
      <w:r>
        <w:rPr>
          <w:rFonts w:hint="eastAsia" w:eastAsia="方正仿宋_GBK" w:cs="Times New Roman"/>
          <w:kern w:val="2"/>
          <w:sz w:val="32"/>
          <w:szCs w:val="32"/>
          <w:highlight w:val="none"/>
          <w:lang w:val="en-US" w:eastAsia="zh-CN" w:bidi="ar-SA"/>
        </w:rPr>
        <w:t>8</w:t>
      </w:r>
      <w:r>
        <w:rPr>
          <w:rFonts w:hint="eastAsia" w:ascii="Times New Roman" w:hAnsi="Times New Roman" w:eastAsia="方正仿宋_GBK" w:cs="Times New Roman"/>
          <w:kern w:val="2"/>
          <w:sz w:val="32"/>
          <w:szCs w:val="32"/>
          <w:highlight w:val="none"/>
          <w:lang w:val="en-US" w:eastAsia="zh-CN" w:bidi="ar-SA"/>
        </w:rPr>
        <w:t>%；卫生健康支出45.59万元，占4.62%；住房保障支出54.54万元，占5.52%。</w:t>
      </w:r>
    </w:p>
    <w:p w14:paraId="3C64CDE6">
      <w:pPr>
        <w:spacing w:line="600" w:lineRule="exact"/>
        <w:ind w:firstLine="0"/>
        <w:jc w:val="center"/>
        <w:rPr>
          <w:rFonts w:hint="eastAsia" w:eastAsia="仿宋_GB2312" w:cs="仿宋_GB2312"/>
          <w:sz w:val="32"/>
          <w:szCs w:val="32"/>
        </w:rPr>
      </w:pPr>
    </w:p>
    <w:p w14:paraId="7EC7AB35">
      <w:pPr>
        <w:spacing w:line="600" w:lineRule="exact"/>
        <w:ind w:firstLine="0"/>
        <w:jc w:val="center"/>
        <w:rPr>
          <w:rFonts w:hint="eastAsia" w:eastAsia="仿宋_GB2312" w:cs="仿宋_GB2312"/>
          <w:sz w:val="32"/>
          <w:szCs w:val="32"/>
        </w:rPr>
      </w:pPr>
    </w:p>
    <w:p w14:paraId="0D77DFDB">
      <w:pPr>
        <w:spacing w:line="600" w:lineRule="exact"/>
        <w:ind w:firstLine="0"/>
        <w:jc w:val="center"/>
        <w:rPr>
          <w:rFonts w:hint="eastAsia" w:eastAsia="仿宋_GB2312" w:cs="仿宋_GB2312"/>
          <w:sz w:val="32"/>
          <w:szCs w:val="32"/>
        </w:rPr>
      </w:pPr>
    </w:p>
    <w:p w14:paraId="59116B93">
      <w:pPr>
        <w:spacing w:line="600" w:lineRule="exact"/>
        <w:ind w:firstLine="0"/>
        <w:jc w:val="center"/>
        <w:rPr>
          <w:rFonts w:hint="eastAsia" w:eastAsia="仿宋_GB2312" w:cs="仿宋_GB2312"/>
          <w:sz w:val="32"/>
          <w:szCs w:val="32"/>
        </w:rPr>
      </w:pPr>
    </w:p>
    <w:p w14:paraId="48474960">
      <w:pPr>
        <w:spacing w:line="600" w:lineRule="exact"/>
        <w:ind w:firstLine="0"/>
        <w:jc w:val="center"/>
        <w:rPr>
          <w:rFonts w:hint="eastAsia" w:eastAsia="仿宋_GB2312" w:cs="仿宋_GB2312"/>
          <w:sz w:val="32"/>
          <w:szCs w:val="32"/>
        </w:rPr>
      </w:pPr>
    </w:p>
    <w:p w14:paraId="22FAA8C8">
      <w:pPr>
        <w:spacing w:line="600" w:lineRule="exact"/>
        <w:ind w:firstLine="0"/>
        <w:jc w:val="both"/>
        <w:rPr>
          <w:rFonts w:hint="eastAsia" w:eastAsia="仿宋_GB2312" w:cs="仿宋_GB2312"/>
          <w:sz w:val="32"/>
          <w:szCs w:val="32"/>
        </w:rPr>
      </w:pPr>
    </w:p>
    <w:p w14:paraId="3F56B5AC">
      <w:pPr>
        <w:pageBreakBefore w:val="0"/>
        <w:widowControl/>
        <w:kinsoku/>
        <w:wordWrap/>
        <w:overflowPunct/>
        <w:topLinePunct w:val="0"/>
        <w:autoSpaceDE/>
        <w:autoSpaceDN/>
        <w:bidi w:val="0"/>
        <w:snapToGrid/>
        <w:spacing w:line="600" w:lineRule="exact"/>
        <w:ind w:left="0"/>
        <w:jc w:val="center"/>
        <w:rPr>
          <w:rFonts w:hint="eastAsia" w:ascii="方正楷体_GBK" w:hAnsi="Times New Roman" w:eastAsia="方正楷体_GBK" w:cs="方正楷体_GBK"/>
          <w:b/>
          <w:bCs/>
          <w:color w:val="auto"/>
          <w:kern w:val="2"/>
          <w:sz w:val="32"/>
          <w:szCs w:val="32"/>
          <w:shd w:val="clear" w:color="auto" w:fill="auto"/>
          <w:lang w:val="zh-CN" w:eastAsia="zh-CN" w:bidi="ar-SA"/>
        </w:rPr>
      </w:pPr>
      <w:r>
        <w:rPr>
          <w:rFonts w:hint="eastAsia" w:eastAsia="仿宋_GB2312" w:cs="仿宋_GB2312"/>
          <w:sz w:val="32"/>
          <w:szCs w:val="32"/>
        </w:rPr>
        <w:t>（图6：一</w:t>
      </w:r>
      <w:r>
        <w:rPr>
          <w:rFonts w:hint="eastAsia" w:eastAsia="仿宋_GB2312" w:cs="仿宋_GB2312"/>
          <w:sz w:val="32"/>
          <w:szCs w:val="32"/>
          <w:highlight w:val="none"/>
        </w:rPr>
        <w:t>般公共预算财政拨款</w:t>
      </w:r>
      <w:r>
        <w:rPr>
          <w:rFonts w:hint="eastAsia" w:eastAsia="仿宋_GB2312" w:cs="仿宋_GB2312"/>
          <w:sz w:val="32"/>
          <w:szCs w:val="32"/>
        </w:rPr>
        <w:t>支出决算结构</w:t>
      </w:r>
      <w:r>
        <w:rPr>
          <w:rFonts w:hint="eastAsia" w:eastAsia="仿宋_GB2312" w:cs="仿宋_GB2312"/>
          <w:sz w:val="32"/>
          <w:szCs w:val="32"/>
          <w:lang w:eastAsia="zh-CN"/>
        </w:rPr>
        <w:t>图</w:t>
      </w:r>
      <w:r>
        <w:rPr>
          <w:rFonts w:hint="eastAsia" w:eastAsia="仿宋_GB2312" w:cs="仿宋_GB2312"/>
          <w:sz w:val="32"/>
          <w:szCs w:val="32"/>
        </w:rPr>
        <w:t>）</w:t>
      </w:r>
      <w:bookmarkStart w:id="24" w:name="_Toc15377212"/>
    </w:p>
    <w:p w14:paraId="7C384BB8">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r>
        <w:drawing>
          <wp:anchor distT="0" distB="0" distL="114300" distR="114300" simplePos="0" relativeHeight="251664384" behindDoc="0" locked="0" layoutInCell="1" allowOverlap="1">
            <wp:simplePos x="0" y="0"/>
            <wp:positionH relativeFrom="column">
              <wp:posOffset>-11430</wp:posOffset>
            </wp:positionH>
            <wp:positionV relativeFrom="paragraph">
              <wp:posOffset>172085</wp:posOffset>
            </wp:positionV>
            <wp:extent cx="5273040" cy="3318510"/>
            <wp:effectExtent l="5080" t="4445" r="17780" b="10795"/>
            <wp:wrapNone/>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6BEA39E">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0A12FFC0">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08848B05">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762B62FE">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024870A1">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6FFFA4C1">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215FF6B9">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1925A9D7">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34CA30BC">
      <w:pPr>
        <w:pageBreakBefore w:val="0"/>
        <w:widowControl w:val="0"/>
        <w:kinsoku/>
        <w:wordWrap/>
        <w:overflowPunct/>
        <w:topLinePunct w:val="0"/>
        <w:autoSpaceDE/>
        <w:autoSpaceDN/>
        <w:bidi w:val="0"/>
        <w:snapToGrid w:val="0"/>
        <w:spacing w:line="560" w:lineRule="exact"/>
        <w:ind w:left="0"/>
        <w:rPr>
          <w:rFonts w:hint="eastAsia" w:ascii="方正楷体_GBK" w:hAnsi="Times New Roman" w:eastAsia="方正楷体_GBK" w:cs="方正楷体_GBK"/>
          <w:b/>
          <w:bCs/>
          <w:color w:val="auto"/>
          <w:kern w:val="2"/>
          <w:sz w:val="32"/>
          <w:szCs w:val="32"/>
          <w:shd w:val="clear" w:color="auto" w:fill="auto"/>
          <w:lang w:val="zh-CN" w:eastAsia="zh-CN" w:bidi="ar-SA"/>
        </w:rPr>
      </w:pPr>
    </w:p>
    <w:p w14:paraId="7C7EC462">
      <w:pPr>
        <w:pageBreakBefore w:val="0"/>
        <w:widowControl w:val="0"/>
        <w:kinsoku/>
        <w:wordWrap/>
        <w:overflowPunct/>
        <w:topLinePunct w:val="0"/>
        <w:autoSpaceDE/>
        <w:autoSpaceDN/>
        <w:bidi w:val="0"/>
        <w:snapToGrid w:val="0"/>
        <w:spacing w:line="560" w:lineRule="exact"/>
        <w:ind w:left="0"/>
        <w:rPr>
          <w:rFonts w:hint="eastAsia" w:ascii="Times New Roman" w:hAnsi="Times New Roman" w:eastAsia="方正楷体_GBK" w:cs="Times New Roman"/>
          <w:b/>
          <w:bCs/>
          <w:color w:val="000000"/>
          <w:kern w:val="0"/>
          <w:sz w:val="32"/>
          <w:szCs w:val="32"/>
          <w:shd w:val="clear" w:color="auto" w:fill="FFFFFF"/>
          <w:lang w:val="zh-CN" w:eastAsia="zh-CN" w:bidi="ar-SA"/>
        </w:rPr>
      </w:pPr>
      <w:r>
        <w:rPr>
          <w:rFonts w:hint="eastAsia" w:ascii="方正楷体_GBK" w:hAnsi="Times New Roman" w:eastAsia="方正楷体_GBK" w:cs="方正楷体_GBK"/>
          <w:b/>
          <w:bCs/>
          <w:color w:val="auto"/>
          <w:kern w:val="2"/>
          <w:sz w:val="32"/>
          <w:szCs w:val="32"/>
          <w:shd w:val="clear" w:color="auto" w:fill="auto"/>
          <w:lang w:val="zh-CN" w:eastAsia="zh-CN" w:bidi="ar-SA"/>
        </w:rPr>
        <w:t>（三）一般公共预算财政拨款支出决算具体情况</w:t>
      </w:r>
      <w:bookmarkEnd w:id="24"/>
    </w:p>
    <w:p w14:paraId="7DCE516B">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bookmarkStart w:id="25" w:name="_Toc15377213"/>
      <w:bookmarkStart w:id="26" w:name="_Toc15377444"/>
      <w:bookmarkStart w:id="27" w:name="_Toc15378460"/>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2024年度一般公共预算财政拨款支出决算数为987.43</w:t>
      </w:r>
      <w:r>
        <w:rPr>
          <w:rFonts w:hint="eastAsia" w:eastAsia="方正仿宋_GBK" w:cs="Times New Roman"/>
          <w:kern w:val="2"/>
          <w:sz w:val="32"/>
          <w:szCs w:val="32"/>
          <w:highlight w:val="none"/>
          <w:lang w:val="en-US" w:eastAsia="zh-CN" w:bidi="ar-SA"/>
        </w:rPr>
        <w:t>万元</w:t>
      </w:r>
      <w:r>
        <w:rPr>
          <w:rFonts w:hint="eastAsia" w:ascii="Times New Roman" w:hAnsi="Times New Roman" w:eastAsia="方正仿宋_GBK" w:cs="Times New Roman"/>
          <w:kern w:val="2"/>
          <w:sz w:val="32"/>
          <w:szCs w:val="32"/>
          <w:highlight w:val="none"/>
          <w:lang w:val="en-US" w:eastAsia="zh-CN" w:bidi="ar-SA"/>
        </w:rPr>
        <w:t>，完成预算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%。其中：</w:t>
      </w:r>
      <w:bookmarkEnd w:id="25"/>
      <w:bookmarkEnd w:id="26"/>
      <w:bookmarkEnd w:id="27"/>
    </w:p>
    <w:p w14:paraId="6C119D58">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ascii="Times New Roman" w:hAnsi="Times New Roman" w:eastAsia="方正仿宋_GBK" w:cs="Times New Roman"/>
          <w:b/>
          <w:bCs/>
          <w:kern w:val="2"/>
          <w:sz w:val="32"/>
          <w:szCs w:val="32"/>
          <w:highlight w:val="none"/>
          <w:lang w:val="en-US" w:eastAsia="zh-CN" w:bidi="ar-SA"/>
        </w:rPr>
        <w:t>一般公共服务（类）组织事务（款）其他组织事务支出（项）</w:t>
      </w:r>
      <w:r>
        <w:rPr>
          <w:rFonts w:hint="eastAsia" w:ascii="Times New Roman" w:hAnsi="Times New Roman" w:eastAsia="方正仿宋_GBK" w:cs="Times New Roman"/>
          <w:kern w:val="2"/>
          <w:sz w:val="32"/>
          <w:szCs w:val="32"/>
          <w:highlight w:val="none"/>
          <w:lang w:val="en-US" w:eastAsia="zh-CN" w:bidi="ar-SA"/>
        </w:rPr>
        <w:t>：支出决算为3.75万元，完成预算</w:t>
      </w:r>
      <w:r>
        <w:rPr>
          <w:rFonts w:hint="eastAsia" w:eastAsia="方正仿宋_GBK" w:cs="Times New Roman"/>
          <w:kern w:val="2"/>
          <w:sz w:val="32"/>
          <w:szCs w:val="32"/>
          <w:highlight w:val="none"/>
          <w:lang w:val="en-US" w:eastAsia="zh-CN" w:bidi="ar-SA"/>
        </w:rPr>
        <w:t>10</w:t>
      </w:r>
      <w:r>
        <w:rPr>
          <w:rFonts w:hint="eastAsia" w:ascii="Times New Roman" w:hAnsi="Times New Roman" w:eastAsia="方正仿宋_GBK" w:cs="Times New Roman"/>
          <w:kern w:val="2"/>
          <w:sz w:val="32"/>
          <w:szCs w:val="32"/>
          <w:highlight w:val="none"/>
          <w:lang w:val="en-US" w:eastAsia="zh-CN" w:bidi="ar-SA"/>
        </w:rPr>
        <w:t>0%。</w:t>
      </w:r>
    </w:p>
    <w:p w14:paraId="678D2B12">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w:t>
      </w:r>
      <w:r>
        <w:rPr>
          <w:rFonts w:hint="eastAsia" w:ascii="Times New Roman" w:hAnsi="Times New Roman" w:eastAsia="方正仿宋_GBK" w:cs="Times New Roman"/>
          <w:b/>
          <w:bCs/>
          <w:kern w:val="2"/>
          <w:sz w:val="32"/>
          <w:szCs w:val="32"/>
          <w:highlight w:val="none"/>
          <w:lang w:val="en-US" w:eastAsia="zh-CN" w:bidi="ar-SA"/>
        </w:rPr>
        <w:t>社会保障和就业（类）人力资源和社会保障管理事务（款）其他人力资源和社会保障管理事务支出（项）</w:t>
      </w:r>
      <w:r>
        <w:rPr>
          <w:rFonts w:hint="eastAsia" w:ascii="Times New Roman" w:hAnsi="Times New Roman" w:eastAsia="方正仿宋_GBK" w:cs="Times New Roman"/>
          <w:kern w:val="2"/>
          <w:sz w:val="32"/>
          <w:szCs w:val="32"/>
          <w:highlight w:val="none"/>
          <w:lang w:val="en-US" w:eastAsia="zh-CN" w:bidi="ar-SA"/>
        </w:rPr>
        <w:t>：支出决算为7.16万元，完成预算100%</w:t>
      </w:r>
      <w:r>
        <w:rPr>
          <w:rFonts w:hint="eastAsia" w:eastAsia="方正仿宋_GBK" w:cs="Times New Roman"/>
          <w:kern w:val="2"/>
          <w:sz w:val="32"/>
          <w:szCs w:val="32"/>
          <w:highlight w:val="none"/>
          <w:lang w:val="en-US" w:eastAsia="zh-CN" w:bidi="ar-SA"/>
        </w:rPr>
        <w:t>。</w:t>
      </w:r>
    </w:p>
    <w:p w14:paraId="19C7EC37">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3.</w:t>
      </w:r>
      <w:r>
        <w:rPr>
          <w:rFonts w:hint="eastAsia" w:ascii="Times New Roman" w:hAnsi="Times New Roman" w:eastAsia="方正仿宋_GBK" w:cs="Times New Roman"/>
          <w:b/>
          <w:bCs/>
          <w:kern w:val="2"/>
          <w:sz w:val="32"/>
          <w:szCs w:val="32"/>
          <w:highlight w:val="none"/>
          <w:lang w:val="en-US" w:eastAsia="zh-CN" w:bidi="ar-SA"/>
        </w:rPr>
        <w:t>社会保障和就业（类）民政管理事务（款）行政运行（项）：</w:t>
      </w:r>
      <w:r>
        <w:rPr>
          <w:rFonts w:hint="eastAsia" w:ascii="Times New Roman" w:hAnsi="Times New Roman" w:eastAsia="方正仿宋_GBK" w:cs="Times New Roman"/>
          <w:kern w:val="2"/>
          <w:sz w:val="32"/>
          <w:szCs w:val="32"/>
          <w:highlight w:val="none"/>
          <w:lang w:val="en-US" w:eastAsia="zh-CN" w:bidi="ar-SA"/>
        </w:rPr>
        <w:t>支出决算为445.48万元，完成预算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w:t>
      </w:r>
    </w:p>
    <w:p w14:paraId="1683C60D">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4.</w:t>
      </w:r>
      <w:r>
        <w:rPr>
          <w:rFonts w:hint="eastAsia" w:ascii="Times New Roman" w:hAnsi="Times New Roman" w:eastAsia="方正仿宋_GBK" w:cs="Times New Roman"/>
          <w:b/>
          <w:bCs/>
          <w:kern w:val="2"/>
          <w:sz w:val="32"/>
          <w:szCs w:val="32"/>
          <w:highlight w:val="none"/>
          <w:lang w:val="en-US" w:eastAsia="zh-CN" w:bidi="ar-SA"/>
        </w:rPr>
        <w:t>社会保障和就业（类）民政管理事务（款）其他民政管理事务（项）：</w:t>
      </w:r>
      <w:r>
        <w:rPr>
          <w:rFonts w:hint="eastAsia" w:ascii="Times New Roman" w:hAnsi="Times New Roman" w:eastAsia="方正仿宋_GBK" w:cs="Times New Roman"/>
          <w:kern w:val="2"/>
          <w:sz w:val="32"/>
          <w:szCs w:val="32"/>
          <w:highlight w:val="none"/>
          <w:lang w:val="en-US" w:eastAsia="zh-CN" w:bidi="ar-SA"/>
        </w:rPr>
        <w:t>支出决算为149.67万元，完成预算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0621D1B5">
      <w:pPr>
        <w:spacing w:line="560" w:lineRule="exact"/>
        <w:ind w:firstLine="640"/>
        <w:rPr>
          <w:rFonts w:hint="eastAsia"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5.</w:t>
      </w:r>
      <w:r>
        <w:rPr>
          <w:rFonts w:hint="eastAsia" w:ascii="Times New Roman" w:hAnsi="Times New Roman" w:eastAsia="方正仿宋_GBK" w:cs="Times New Roman"/>
          <w:b/>
          <w:bCs/>
          <w:kern w:val="2"/>
          <w:sz w:val="32"/>
          <w:szCs w:val="32"/>
          <w:highlight w:val="none"/>
          <w:lang w:val="en-US" w:eastAsia="zh-CN" w:bidi="ar-SA"/>
        </w:rPr>
        <w:t>社会保障和就业（类）行政事业单位养老支出（款）行政单位离退休（项）：</w:t>
      </w:r>
      <w:r>
        <w:rPr>
          <w:rFonts w:hint="eastAsia" w:ascii="Times New Roman" w:hAnsi="Times New Roman" w:eastAsia="方正仿宋_GBK" w:cs="Times New Roman"/>
          <w:kern w:val="2"/>
          <w:sz w:val="32"/>
          <w:szCs w:val="32"/>
          <w:highlight w:val="none"/>
          <w:lang w:val="en-US" w:eastAsia="zh-CN" w:bidi="ar-SA"/>
        </w:rPr>
        <w:t>支出决算为122.39万元，完成预算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2AAB4784">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6.</w:t>
      </w:r>
      <w:r>
        <w:rPr>
          <w:rFonts w:hint="eastAsia" w:ascii="Times New Roman" w:hAnsi="Times New Roman" w:eastAsia="方正仿宋_GBK" w:cs="Times New Roman"/>
          <w:b/>
          <w:bCs/>
          <w:kern w:val="2"/>
          <w:sz w:val="32"/>
          <w:szCs w:val="32"/>
          <w:highlight w:val="none"/>
          <w:lang w:val="en-US" w:eastAsia="zh-CN" w:bidi="ar-SA"/>
        </w:rPr>
        <w:t>社会保障和就业（类）行政事业单位养老支出（款）机关事业单位基本养老保险缴费支出（项）：</w:t>
      </w:r>
      <w:r>
        <w:rPr>
          <w:rFonts w:hint="eastAsia" w:ascii="Times New Roman" w:hAnsi="Times New Roman" w:eastAsia="方正仿宋_GBK" w:cs="Times New Roman"/>
          <w:kern w:val="2"/>
          <w:sz w:val="32"/>
          <w:szCs w:val="32"/>
          <w:highlight w:val="none"/>
          <w:lang w:val="en-US" w:eastAsia="zh-CN" w:bidi="ar-SA"/>
        </w:rPr>
        <w:t>支出决算为65.59万元，完成预算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1BC192B5">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7.</w:t>
      </w:r>
      <w:r>
        <w:rPr>
          <w:rFonts w:hint="eastAsia" w:ascii="Times New Roman" w:hAnsi="Times New Roman" w:eastAsia="方正仿宋_GBK" w:cs="Times New Roman"/>
          <w:b/>
          <w:bCs/>
          <w:kern w:val="2"/>
          <w:sz w:val="32"/>
          <w:szCs w:val="32"/>
          <w:highlight w:val="none"/>
          <w:lang w:val="en-US" w:eastAsia="zh-CN" w:bidi="ar-SA"/>
        </w:rPr>
        <w:t>社会保障和就业（类）抚恤（款）抚恤（项）：</w:t>
      </w:r>
      <w:r>
        <w:rPr>
          <w:rFonts w:hint="eastAsia" w:ascii="Times New Roman" w:hAnsi="Times New Roman" w:eastAsia="方正仿宋_GBK" w:cs="Times New Roman"/>
          <w:kern w:val="2"/>
          <w:sz w:val="32"/>
          <w:szCs w:val="32"/>
          <w:highlight w:val="none"/>
          <w:lang w:val="en-US" w:eastAsia="zh-CN" w:bidi="ar-SA"/>
        </w:rPr>
        <w:t>支出决算为78.8</w:t>
      </w:r>
      <w:r>
        <w:rPr>
          <w:rFonts w:hint="eastAsia" w:eastAsia="方正仿宋_GBK" w:cs="Times New Roman"/>
          <w:kern w:val="2"/>
          <w:sz w:val="32"/>
          <w:szCs w:val="32"/>
          <w:highlight w:val="none"/>
          <w:lang w:val="en-US" w:eastAsia="zh-CN" w:bidi="ar-SA"/>
        </w:rPr>
        <w:t>0</w:t>
      </w:r>
      <w:r>
        <w:rPr>
          <w:rFonts w:hint="eastAsia" w:ascii="Times New Roman" w:hAnsi="Times New Roman" w:eastAsia="方正仿宋_GBK" w:cs="Times New Roman"/>
          <w:kern w:val="2"/>
          <w:sz w:val="32"/>
          <w:szCs w:val="32"/>
          <w:highlight w:val="none"/>
          <w:lang w:val="en-US" w:eastAsia="zh-CN" w:bidi="ar-SA"/>
        </w:rPr>
        <w:t>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6146C4D1">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8.</w:t>
      </w:r>
      <w:r>
        <w:rPr>
          <w:rFonts w:hint="eastAsia" w:ascii="Times New Roman" w:hAnsi="Times New Roman" w:eastAsia="方正仿宋_GBK" w:cs="Times New Roman"/>
          <w:b/>
          <w:bCs/>
          <w:kern w:val="2"/>
          <w:sz w:val="32"/>
          <w:szCs w:val="32"/>
          <w:highlight w:val="none"/>
          <w:lang w:val="en-US" w:eastAsia="zh-CN" w:bidi="ar-SA"/>
        </w:rPr>
        <w:t>社会保障和就业（类）社会福利（款）儿童福利（项）：</w:t>
      </w:r>
      <w:r>
        <w:rPr>
          <w:rFonts w:hint="eastAsia" w:ascii="Times New Roman" w:hAnsi="Times New Roman" w:eastAsia="方正仿宋_GBK" w:cs="Times New Roman"/>
          <w:kern w:val="2"/>
          <w:sz w:val="32"/>
          <w:szCs w:val="32"/>
          <w:highlight w:val="none"/>
          <w:lang w:val="en-US" w:eastAsia="zh-CN" w:bidi="ar-SA"/>
        </w:rPr>
        <w:t>支出决算为0.9</w:t>
      </w:r>
      <w:r>
        <w:rPr>
          <w:rFonts w:hint="eastAsia" w:eastAsia="方正仿宋_GBK" w:cs="Times New Roman"/>
          <w:kern w:val="2"/>
          <w:sz w:val="32"/>
          <w:szCs w:val="32"/>
          <w:highlight w:val="none"/>
          <w:lang w:val="en-US" w:eastAsia="zh-CN" w:bidi="ar-SA"/>
        </w:rPr>
        <w:t>3</w:t>
      </w:r>
      <w:r>
        <w:rPr>
          <w:rFonts w:hint="eastAsia" w:ascii="Times New Roman" w:hAnsi="Times New Roman" w:eastAsia="方正仿宋_GBK" w:cs="Times New Roman"/>
          <w:kern w:val="2"/>
          <w:sz w:val="32"/>
          <w:szCs w:val="32"/>
          <w:highlight w:val="none"/>
          <w:lang w:val="en-US" w:eastAsia="zh-CN" w:bidi="ar-SA"/>
        </w:rPr>
        <w:t>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79A65B91">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9.</w:t>
      </w:r>
      <w:r>
        <w:rPr>
          <w:rFonts w:hint="eastAsia" w:ascii="Times New Roman" w:hAnsi="Times New Roman" w:eastAsia="方正仿宋_GBK" w:cs="Times New Roman"/>
          <w:b/>
          <w:bCs/>
          <w:kern w:val="2"/>
          <w:sz w:val="32"/>
          <w:szCs w:val="32"/>
          <w:highlight w:val="none"/>
          <w:lang w:val="en-US" w:eastAsia="zh-CN" w:bidi="ar-SA"/>
        </w:rPr>
        <w:t>社会保障和就业（类）社会福利（款）养老服务（项）：</w:t>
      </w:r>
      <w:r>
        <w:rPr>
          <w:rFonts w:hint="eastAsia" w:ascii="Times New Roman" w:hAnsi="Times New Roman" w:eastAsia="方正仿宋_GBK" w:cs="Times New Roman"/>
          <w:kern w:val="2"/>
          <w:sz w:val="32"/>
          <w:szCs w:val="32"/>
          <w:highlight w:val="none"/>
          <w:lang w:val="en-US" w:eastAsia="zh-CN" w:bidi="ar-SA"/>
        </w:rPr>
        <w:t>支出决算为13.53万元，完成预算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3D64856A">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10.</w:t>
      </w:r>
      <w:r>
        <w:rPr>
          <w:rFonts w:hint="eastAsia" w:ascii="Times New Roman" w:hAnsi="Times New Roman" w:eastAsia="方正仿宋_GBK" w:cs="Times New Roman"/>
          <w:b/>
          <w:bCs/>
          <w:kern w:val="2"/>
          <w:sz w:val="32"/>
          <w:szCs w:val="32"/>
          <w:highlight w:val="none"/>
          <w:lang w:val="en-US" w:eastAsia="zh-CN" w:bidi="ar-SA"/>
        </w:rPr>
        <w:t>卫生健康（类）公共卫生（款）重大公共卫生服务（项）：</w:t>
      </w:r>
      <w:r>
        <w:rPr>
          <w:rFonts w:hint="eastAsia" w:ascii="Times New Roman" w:hAnsi="Times New Roman" w:eastAsia="方正仿宋_GBK" w:cs="Times New Roman"/>
          <w:kern w:val="2"/>
          <w:sz w:val="32"/>
          <w:szCs w:val="32"/>
          <w:highlight w:val="none"/>
          <w:lang w:val="en-US" w:eastAsia="zh-CN" w:bidi="ar-SA"/>
        </w:rPr>
        <w:t>支出决算为1.97万元，完成预算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5959A824">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11.</w:t>
      </w:r>
      <w:r>
        <w:rPr>
          <w:rFonts w:hint="eastAsia" w:ascii="Times New Roman" w:hAnsi="Times New Roman" w:eastAsia="方正仿宋_GBK" w:cs="Times New Roman"/>
          <w:b/>
          <w:bCs/>
          <w:kern w:val="2"/>
          <w:sz w:val="32"/>
          <w:szCs w:val="32"/>
          <w:highlight w:val="none"/>
          <w:lang w:val="en-US" w:eastAsia="zh-CN" w:bidi="ar-SA"/>
        </w:rPr>
        <w:t>卫生健康（类）行政事业单位医疗（款）行政单位医疗（项）：</w:t>
      </w:r>
      <w:r>
        <w:rPr>
          <w:rFonts w:hint="eastAsia" w:ascii="Times New Roman" w:hAnsi="Times New Roman" w:eastAsia="方正仿宋_GBK" w:cs="Times New Roman"/>
          <w:kern w:val="2"/>
          <w:sz w:val="32"/>
          <w:szCs w:val="32"/>
          <w:highlight w:val="none"/>
          <w:lang w:val="en-US" w:eastAsia="zh-CN" w:bidi="ar-SA"/>
        </w:rPr>
        <w:t>支出决算为25.7万元，完成预算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4507DD2C">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12.</w:t>
      </w:r>
      <w:r>
        <w:rPr>
          <w:rFonts w:hint="eastAsia" w:ascii="Times New Roman" w:hAnsi="Times New Roman" w:eastAsia="方正仿宋_GBK" w:cs="Times New Roman"/>
          <w:b/>
          <w:bCs/>
          <w:kern w:val="2"/>
          <w:sz w:val="32"/>
          <w:szCs w:val="32"/>
          <w:highlight w:val="none"/>
          <w:lang w:val="en-US" w:eastAsia="zh-CN" w:bidi="ar-SA"/>
        </w:rPr>
        <w:t>卫生健康（类）行政事业单位医疗（款）事业单位医疗（项）：</w:t>
      </w:r>
      <w:r>
        <w:rPr>
          <w:rFonts w:hint="eastAsia" w:ascii="Times New Roman" w:hAnsi="Times New Roman" w:eastAsia="方正仿宋_GBK" w:cs="Times New Roman"/>
          <w:kern w:val="2"/>
          <w:sz w:val="32"/>
          <w:szCs w:val="32"/>
          <w:highlight w:val="none"/>
          <w:lang w:val="en-US" w:eastAsia="zh-CN" w:bidi="ar-SA"/>
        </w:rPr>
        <w:t>支出决算为8.94万元，完成预算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7C8FC898">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13.</w:t>
      </w:r>
      <w:r>
        <w:rPr>
          <w:rFonts w:hint="eastAsia" w:ascii="Times New Roman" w:hAnsi="Times New Roman" w:eastAsia="方正仿宋_GBK" w:cs="Times New Roman"/>
          <w:b/>
          <w:bCs/>
          <w:kern w:val="2"/>
          <w:sz w:val="32"/>
          <w:szCs w:val="32"/>
          <w:highlight w:val="none"/>
          <w:lang w:val="en-US" w:eastAsia="zh-CN" w:bidi="ar-SA"/>
        </w:rPr>
        <w:t>卫生健康（类）行政事业单位医疗（款）公务员医疗补助（项）：</w:t>
      </w:r>
      <w:r>
        <w:rPr>
          <w:rFonts w:hint="eastAsia" w:ascii="Times New Roman" w:hAnsi="Times New Roman" w:eastAsia="方正仿宋_GBK" w:cs="Times New Roman"/>
          <w:kern w:val="2"/>
          <w:sz w:val="32"/>
          <w:szCs w:val="32"/>
          <w:highlight w:val="none"/>
          <w:lang w:val="en-US" w:eastAsia="zh-CN" w:bidi="ar-SA"/>
        </w:rPr>
        <w:t>支出决算为5.2万元，完成预算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w:t>
      </w:r>
    </w:p>
    <w:p w14:paraId="335CFAF8">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14.</w:t>
      </w:r>
      <w:r>
        <w:rPr>
          <w:rFonts w:hint="eastAsia" w:ascii="Times New Roman" w:hAnsi="Times New Roman" w:eastAsia="方正仿宋_GBK" w:cs="Times New Roman"/>
          <w:b/>
          <w:bCs/>
          <w:kern w:val="2"/>
          <w:sz w:val="32"/>
          <w:szCs w:val="32"/>
          <w:highlight w:val="none"/>
          <w:lang w:val="en-US" w:eastAsia="zh-CN" w:bidi="ar-SA"/>
        </w:rPr>
        <w:t>卫生健康（类）行政事业单位医疗（款）其他行政事业单位医疗支出（项）：</w:t>
      </w:r>
      <w:r>
        <w:rPr>
          <w:rFonts w:hint="eastAsia" w:ascii="Times New Roman" w:hAnsi="Times New Roman" w:eastAsia="方正仿宋_GBK" w:cs="Times New Roman"/>
          <w:kern w:val="2"/>
          <w:sz w:val="32"/>
          <w:szCs w:val="32"/>
          <w:highlight w:val="none"/>
          <w:lang w:val="en-US" w:eastAsia="zh-CN" w:bidi="ar-SA"/>
        </w:rPr>
        <w:t>支出决算为3.02万元，完成预算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w:t>
      </w:r>
    </w:p>
    <w:p w14:paraId="1B93376B">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15.</w:t>
      </w:r>
      <w:r>
        <w:rPr>
          <w:rFonts w:hint="eastAsia" w:ascii="Times New Roman" w:hAnsi="Times New Roman" w:eastAsia="方正仿宋_GBK" w:cs="Times New Roman"/>
          <w:b/>
          <w:bCs/>
          <w:kern w:val="2"/>
          <w:sz w:val="32"/>
          <w:szCs w:val="32"/>
          <w:highlight w:val="none"/>
          <w:lang w:val="en-US" w:eastAsia="zh-CN" w:bidi="ar-SA"/>
        </w:rPr>
        <w:t>卫生健康（类）其他卫生健康支出（款）其他卫生健康支出（项）：</w:t>
      </w:r>
      <w:r>
        <w:rPr>
          <w:rFonts w:hint="eastAsia" w:ascii="Times New Roman" w:hAnsi="Times New Roman" w:eastAsia="方正仿宋_GBK" w:cs="Times New Roman"/>
          <w:kern w:val="2"/>
          <w:sz w:val="32"/>
          <w:szCs w:val="32"/>
          <w:highlight w:val="none"/>
          <w:lang w:val="en-US" w:eastAsia="zh-CN" w:bidi="ar-SA"/>
        </w:rPr>
        <w:t>支出决算为0.76万元，完成预算100%。</w:t>
      </w:r>
    </w:p>
    <w:p w14:paraId="43E54475">
      <w:pPr>
        <w:spacing w:line="560" w:lineRule="exact"/>
        <w:ind w:firstLine="640"/>
        <w:rPr>
          <w:rFonts w:eastAsia="仿宋_GB2312" w:cs="仿宋_GB2312"/>
          <w:sz w:val="32"/>
          <w:szCs w:val="32"/>
          <w:highlight w:val="none"/>
        </w:rPr>
      </w:pPr>
      <w:r>
        <w:rPr>
          <w:rFonts w:hint="eastAsia" w:ascii="Times New Roman" w:hAnsi="Times New Roman" w:eastAsia="方正仿宋_GBK" w:cs="Times New Roman"/>
          <w:kern w:val="2"/>
          <w:sz w:val="32"/>
          <w:szCs w:val="32"/>
          <w:highlight w:val="none"/>
          <w:lang w:val="en-US" w:eastAsia="zh-CN" w:bidi="ar-SA"/>
        </w:rPr>
        <w:t>16.</w:t>
      </w:r>
      <w:r>
        <w:rPr>
          <w:rFonts w:hint="eastAsia" w:ascii="Times New Roman" w:hAnsi="Times New Roman" w:eastAsia="方正仿宋_GBK" w:cs="Times New Roman"/>
          <w:b/>
          <w:bCs/>
          <w:kern w:val="2"/>
          <w:sz w:val="32"/>
          <w:szCs w:val="32"/>
          <w:highlight w:val="none"/>
          <w:lang w:val="en-US" w:eastAsia="zh-CN" w:bidi="ar-SA"/>
        </w:rPr>
        <w:t>住房保障支出（类）住房保障支出（款）住房公积金（项）：</w:t>
      </w:r>
      <w:r>
        <w:rPr>
          <w:rFonts w:hint="eastAsia" w:ascii="Times New Roman" w:hAnsi="Times New Roman" w:eastAsia="方正仿宋_GBK" w:cs="Times New Roman"/>
          <w:kern w:val="2"/>
          <w:sz w:val="32"/>
          <w:szCs w:val="32"/>
          <w:highlight w:val="none"/>
          <w:lang w:val="en-US" w:eastAsia="zh-CN" w:bidi="ar-SA"/>
        </w:rPr>
        <w:t>支出决算为54.54万元，完成预算</w:t>
      </w:r>
      <w:r>
        <w:rPr>
          <w:rFonts w:hint="eastAsia" w:eastAsia="方正仿宋_GBK" w:cs="Times New Roman"/>
          <w:kern w:val="2"/>
          <w:sz w:val="32"/>
          <w:szCs w:val="32"/>
          <w:highlight w:val="none"/>
          <w:lang w:val="en-US" w:eastAsia="zh-CN" w:bidi="ar-SA"/>
        </w:rPr>
        <w:t>100</w:t>
      </w:r>
      <w:r>
        <w:rPr>
          <w:rFonts w:hint="eastAsia" w:ascii="Times New Roman" w:hAnsi="Times New Roman" w:eastAsia="方正仿宋_GBK" w:cs="Times New Roman"/>
          <w:kern w:val="2"/>
          <w:sz w:val="32"/>
          <w:szCs w:val="32"/>
          <w:highlight w:val="none"/>
          <w:lang w:val="en-US" w:eastAsia="zh-CN" w:bidi="ar-SA"/>
        </w:rPr>
        <w:t>%。</w:t>
      </w:r>
    </w:p>
    <w:p w14:paraId="3C9519AD">
      <w:pPr>
        <w:tabs>
          <w:tab w:val="right" w:pos="8306"/>
        </w:tabs>
        <w:spacing w:line="560" w:lineRule="exact"/>
        <w:ind w:firstLine="640"/>
        <w:outlineLvl w:val="1"/>
        <w:rPr>
          <w:rStyle w:val="22"/>
          <w:rFonts w:ascii="Times New Roman" w:hAnsi="Times New Roman"/>
        </w:rPr>
      </w:pPr>
      <w:bookmarkStart w:id="28" w:name="_Toc15377214"/>
      <w:bookmarkStart w:id="29" w:name="_Toc15396608"/>
      <w:r>
        <w:rPr>
          <w:rFonts w:hint="eastAsia" w:ascii="Times New Roman" w:hAnsi="Times New Roman" w:eastAsia="方正黑体_GBK" w:cs="Times New Roman"/>
          <w:color w:val="000000"/>
          <w:kern w:val="0"/>
          <w:sz w:val="32"/>
          <w:szCs w:val="32"/>
          <w:shd w:val="clear" w:color="auto" w:fill="FFFFFF"/>
          <w:lang w:val="en-US" w:eastAsia="zh-CN" w:bidi="ar-SA"/>
        </w:rPr>
        <w:t>六、一般公共预算财政拨款基本支出决算情况说明</w:t>
      </w:r>
      <w:bookmarkEnd w:id="28"/>
      <w:bookmarkEnd w:id="29"/>
      <w:r>
        <w:rPr>
          <w:rStyle w:val="22"/>
          <w:rFonts w:ascii="Times New Roman" w:hAnsi="Times New Roman" w:eastAsia="黑体"/>
          <w:b w:val="0"/>
        </w:rPr>
        <w:tab/>
      </w:r>
    </w:p>
    <w:p w14:paraId="1336DA96">
      <w:pPr>
        <w:spacing w:line="560" w:lineRule="exact"/>
        <w:ind w:firstLine="640"/>
        <w:rPr>
          <w:rFonts w:eastAsia="仿宋_GB2312" w:cs="仿宋_GB2312"/>
          <w:sz w:val="32"/>
          <w:szCs w:val="32"/>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2024年度一般公共预算财政拨款基本支出953.64万元</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其中：人员经费819.8万元，主要包括基本工资、津贴补贴、奖金、绩效工资、机关事业单位基本养老保险缴费、其他社会保障缴费、其他工资福利支出、抚恤金、生活补助、医疗费补助、奖励金、住房公积金、其他对个人和家庭的补助支出等</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公用经费</w:t>
      </w:r>
      <w:r>
        <w:rPr>
          <w:rFonts w:hint="eastAsia" w:eastAsia="方正仿宋_GBK" w:cs="Times New Roman"/>
          <w:kern w:val="2"/>
          <w:sz w:val="32"/>
          <w:szCs w:val="32"/>
          <w:highlight w:val="none"/>
          <w:lang w:val="en-US" w:eastAsia="zh-CN" w:bidi="ar-SA"/>
        </w:rPr>
        <w:t>133.84</w:t>
      </w:r>
      <w:r>
        <w:rPr>
          <w:rFonts w:hint="eastAsia" w:ascii="Times New Roman" w:hAnsi="Times New Roman" w:eastAsia="方正仿宋_GBK" w:cs="Times New Roman"/>
          <w:kern w:val="2"/>
          <w:sz w:val="32"/>
          <w:szCs w:val="32"/>
          <w:highlight w:val="none"/>
          <w:lang w:val="en-US" w:eastAsia="zh-CN" w:bidi="ar-SA"/>
        </w:rPr>
        <w:t>万元，主要</w:t>
      </w:r>
      <w:r>
        <w:rPr>
          <w:rFonts w:hint="eastAsia" w:ascii="Times New Roman" w:hAnsi="Times New Roman" w:eastAsia="方正仿宋简体" w:cs="Times New Roman"/>
          <w:kern w:val="2"/>
          <w:sz w:val="32"/>
          <w:szCs w:val="32"/>
          <w:lang w:val="en-US" w:eastAsia="zh-CN" w:bidi="ar-SA"/>
        </w:rPr>
        <w:t>包括办公费、水费、电费、邮电费、物业管理费、差旅费、维修（护）费、租赁费、公务接待费、委托业务费、工会经费、福利费、公务用车运行维护费、其他交通费、其他商品和服务支出等。</w:t>
      </w:r>
    </w:p>
    <w:p w14:paraId="42E86C8C">
      <w:pPr>
        <w:pageBreakBefore w:val="0"/>
        <w:widowControl/>
        <w:kinsoku/>
        <w:wordWrap/>
        <w:overflowPunct/>
        <w:topLinePunct w:val="0"/>
        <w:autoSpaceDE/>
        <w:autoSpaceDN/>
        <w:bidi w:val="0"/>
        <w:adjustRightInd w:val="0"/>
        <w:snapToGrid w:val="0"/>
        <w:spacing w:line="560" w:lineRule="exact"/>
        <w:ind w:firstLine="640" w:firstLineChars="200"/>
        <w:contextualSpacing/>
        <w:rPr>
          <w:rFonts w:hint="eastAsia" w:ascii="Times New Roman" w:hAnsi="Times New Roman" w:eastAsia="方正黑体_GBK" w:cs="Times New Roman"/>
          <w:color w:val="000000"/>
          <w:kern w:val="0"/>
          <w:sz w:val="32"/>
          <w:szCs w:val="32"/>
          <w:shd w:val="clear" w:color="auto" w:fill="FFFFFF"/>
          <w:lang w:val="en-US" w:eastAsia="zh-CN" w:bidi="ar-SA"/>
        </w:rPr>
      </w:pPr>
      <w:bookmarkStart w:id="30" w:name="_Toc15396609"/>
      <w:bookmarkStart w:id="31" w:name="_Toc15377215"/>
      <w:r>
        <w:rPr>
          <w:rFonts w:hint="eastAsia" w:ascii="Times New Roman" w:hAnsi="Times New Roman" w:eastAsia="方正黑体_GBK" w:cs="Times New Roman"/>
          <w:color w:val="000000"/>
          <w:kern w:val="0"/>
          <w:sz w:val="32"/>
          <w:szCs w:val="32"/>
          <w:shd w:val="clear" w:color="auto" w:fill="FFFFFF"/>
          <w:lang w:val="en-US" w:eastAsia="zh-CN" w:bidi="ar-SA"/>
        </w:rPr>
        <w:t>七、财政拨款“三公”经费支出决算情况说明</w:t>
      </w:r>
      <w:bookmarkEnd w:id="30"/>
      <w:bookmarkEnd w:id="31"/>
    </w:p>
    <w:p w14:paraId="43412435">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zh-CN" w:eastAsia="zh-CN" w:bidi="ar-SA"/>
        </w:rPr>
      </w:pPr>
      <w:bookmarkStart w:id="32" w:name="_Toc15377216"/>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zh-CN" w:eastAsia="zh-CN" w:bidi="ar-SA"/>
        </w:rPr>
        <w:t>（一）“三公”经费财政拨款支出决算总体情况说明</w:t>
      </w:r>
      <w:bookmarkEnd w:id="32"/>
    </w:p>
    <w:p w14:paraId="291F48A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imes New Roman"/>
          <w:bCs/>
          <w:color w:val="FF0000"/>
          <w:kern w:val="2"/>
          <w:sz w:val="32"/>
          <w:szCs w:val="32"/>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2024年度“三公”经费财政拨款支出决算为6.98万元，完成预算100%，较上年度</w:t>
      </w:r>
      <w:r>
        <w:rPr>
          <w:rFonts w:hint="eastAsia" w:eastAsia="方正仿宋_GBK" w:cs="Times New Roman"/>
          <w:kern w:val="2"/>
          <w:sz w:val="32"/>
          <w:szCs w:val="32"/>
          <w:highlight w:val="none"/>
          <w:lang w:val="en-US" w:eastAsia="zh-CN" w:bidi="ar-SA"/>
        </w:rPr>
        <w:t>增加</w:t>
      </w:r>
      <w:r>
        <w:rPr>
          <w:rFonts w:hint="eastAsia" w:ascii="Times New Roman" w:hAnsi="Times New Roman" w:eastAsia="方正仿宋_GBK" w:cs="Times New Roman"/>
          <w:kern w:val="2"/>
          <w:sz w:val="32"/>
          <w:szCs w:val="32"/>
          <w:highlight w:val="none"/>
          <w:lang w:val="en-US" w:eastAsia="zh-CN" w:bidi="ar-SA"/>
        </w:rPr>
        <w:t>0.38万元，</w:t>
      </w:r>
      <w:r>
        <w:rPr>
          <w:rFonts w:hint="eastAsia" w:eastAsia="方正仿宋_GBK" w:cs="Times New Roman"/>
          <w:kern w:val="2"/>
          <w:sz w:val="32"/>
          <w:szCs w:val="32"/>
          <w:highlight w:val="none"/>
          <w:lang w:val="en-US" w:eastAsia="zh-CN" w:bidi="ar-SA"/>
        </w:rPr>
        <w:t>增加</w:t>
      </w:r>
      <w:r>
        <w:rPr>
          <w:rFonts w:hint="eastAsia" w:ascii="Times New Roman" w:hAnsi="Times New Roman" w:eastAsia="方正仿宋_GBK" w:cs="Times New Roman"/>
          <w:kern w:val="2"/>
          <w:sz w:val="32"/>
          <w:szCs w:val="32"/>
          <w:highlight w:val="none"/>
          <w:lang w:val="en-US" w:eastAsia="zh-CN" w:bidi="ar-SA"/>
        </w:rPr>
        <w:t>5.</w:t>
      </w:r>
      <w:r>
        <w:rPr>
          <w:rFonts w:hint="eastAsia" w:eastAsia="方正仿宋_GBK" w:cs="Times New Roman"/>
          <w:kern w:val="2"/>
          <w:sz w:val="32"/>
          <w:szCs w:val="32"/>
          <w:highlight w:val="none"/>
          <w:lang w:val="en-US" w:eastAsia="zh-CN" w:bidi="ar-SA"/>
        </w:rPr>
        <w:t>16</w:t>
      </w:r>
      <w:r>
        <w:rPr>
          <w:rFonts w:hint="eastAsia" w:ascii="Times New Roman" w:hAnsi="Times New Roman"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主要原因是公务接待费用较上年增加。</w:t>
      </w:r>
    </w:p>
    <w:p w14:paraId="1975A542">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zh-CN" w:eastAsia="zh-CN" w:bidi="ar-SA"/>
        </w:rPr>
      </w:pPr>
      <w:bookmarkStart w:id="33" w:name="_Toc15377217"/>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zh-CN" w:eastAsia="zh-CN" w:bidi="ar-SA"/>
        </w:rPr>
        <w:t>（二）“三公”经费财政拨款支出决算具体情况说明</w:t>
      </w:r>
      <w:bookmarkEnd w:id="33"/>
    </w:p>
    <w:p w14:paraId="23D0F19E">
      <w:pPr>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2024年度“三公”经费财政拨款支出决算中，因公出国（境）费支出决算0万元，占0%；公务用车购置及运行维护费支出决算5.66万元，占81.08%；公务接待费支出决算1.32万元，占18.92%。具体情况如下：</w:t>
      </w:r>
    </w:p>
    <w:p w14:paraId="5556E4FC">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p>
    <w:p w14:paraId="739C22BB">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p>
    <w:p w14:paraId="619F0BF0">
      <w:pPr>
        <w:spacing w:line="560" w:lineRule="exact"/>
        <w:ind w:firstLine="640"/>
        <w:jc w:val="center"/>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（图7：“三公”经费财政拨款支出结构）</w:t>
      </w:r>
    </w:p>
    <w:p w14:paraId="5CAF92B3">
      <w:pPr>
        <w:pStyle w:val="14"/>
        <w:rPr>
          <w:rFonts w:hint="eastAsia" w:ascii="Times New Roman" w:hAnsi="Times New Roman" w:eastAsia="方正仿宋_GBK" w:cs="Times New Roman"/>
          <w:kern w:val="2"/>
          <w:sz w:val="32"/>
          <w:szCs w:val="32"/>
          <w:highlight w:val="green"/>
          <w:lang w:val="en-US" w:eastAsia="zh-CN" w:bidi="ar-SA"/>
        </w:rPr>
      </w:pPr>
    </w:p>
    <w:p w14:paraId="75118408">
      <w:pPr>
        <w:pStyle w:val="8"/>
        <w:rPr>
          <w:rFonts w:hint="eastAsia" w:ascii="Times New Roman" w:hAnsi="Times New Roman" w:eastAsia="方正仿宋_GBK" w:cs="Times New Roman"/>
          <w:kern w:val="2"/>
          <w:sz w:val="32"/>
          <w:szCs w:val="32"/>
          <w:highlight w:val="green"/>
          <w:lang w:val="en-US" w:eastAsia="zh-CN" w:bidi="ar-SA"/>
        </w:rPr>
      </w:pPr>
    </w:p>
    <w:p w14:paraId="55321287">
      <w:pPr>
        <w:pStyle w:val="8"/>
        <w:rPr>
          <w:rFonts w:hint="eastAsia" w:ascii="Times New Roman" w:hAnsi="Times New Roman" w:eastAsia="方正仿宋_GBK" w:cs="Times New Roman"/>
          <w:kern w:val="2"/>
          <w:sz w:val="32"/>
          <w:szCs w:val="32"/>
          <w:highlight w:val="green"/>
          <w:lang w:val="en-US" w:eastAsia="zh-CN" w:bidi="ar-SA"/>
        </w:rPr>
      </w:pPr>
    </w:p>
    <w:p w14:paraId="674DA03F">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r>
        <w:drawing>
          <wp:anchor distT="0" distB="0" distL="114300" distR="114300" simplePos="0" relativeHeight="251663360" behindDoc="0" locked="0" layoutInCell="1" allowOverlap="1">
            <wp:simplePos x="0" y="0"/>
            <wp:positionH relativeFrom="column">
              <wp:posOffset>-65405</wp:posOffset>
            </wp:positionH>
            <wp:positionV relativeFrom="page">
              <wp:posOffset>1514475</wp:posOffset>
            </wp:positionV>
            <wp:extent cx="5539105" cy="3208020"/>
            <wp:effectExtent l="4445" t="4445" r="19050" b="698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ED5B780">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p>
    <w:p w14:paraId="17620973">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p>
    <w:p w14:paraId="271494F5">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p>
    <w:p w14:paraId="533215AD">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p>
    <w:p w14:paraId="3095A4B0">
      <w:pPr>
        <w:spacing w:line="560" w:lineRule="exact"/>
        <w:ind w:firstLine="640"/>
        <w:rPr>
          <w:rFonts w:hint="eastAsia" w:ascii="Times New Roman" w:hAnsi="Times New Roman" w:eastAsia="方正仿宋_GBK" w:cs="Times New Roman"/>
          <w:kern w:val="2"/>
          <w:sz w:val="32"/>
          <w:szCs w:val="32"/>
          <w:highlight w:val="green"/>
          <w:lang w:val="en-US" w:eastAsia="zh-CN" w:bidi="ar-SA"/>
        </w:rPr>
      </w:pPr>
    </w:p>
    <w:p w14:paraId="68FB5749">
      <w:pPr>
        <w:pStyle w:val="8"/>
        <w:ind w:left="0" w:leftChars="0" w:firstLine="0" w:firstLineChars="0"/>
        <w:rPr>
          <w:rFonts w:hint="eastAsia" w:ascii="Times New Roman" w:hAnsi="Times New Roman" w:eastAsia="方正仿宋_GBK" w:cs="Times New Roman"/>
          <w:kern w:val="2"/>
          <w:sz w:val="32"/>
          <w:szCs w:val="32"/>
          <w:highlight w:val="green"/>
          <w:lang w:val="en-US" w:eastAsia="zh-CN" w:bidi="ar-SA"/>
        </w:rPr>
      </w:pPr>
    </w:p>
    <w:p w14:paraId="0BA9E197">
      <w:pPr>
        <w:spacing w:line="560" w:lineRule="exact"/>
        <w:ind w:firstLine="640"/>
        <w:rPr>
          <w:rFonts w:hint="eastAsia" w:ascii="Times New Roman" w:hAnsi="Times New Roman" w:eastAsia="方正仿宋_GBK" w:cs="Times New Roman"/>
          <w:b/>
          <w:bCs/>
          <w:kern w:val="2"/>
          <w:sz w:val="32"/>
          <w:szCs w:val="32"/>
          <w:highlight w:val="none"/>
          <w:lang w:val="en-US" w:eastAsia="zh-CN" w:bidi="ar-SA"/>
        </w:rPr>
      </w:pPr>
    </w:p>
    <w:p w14:paraId="73586560">
      <w:pPr>
        <w:spacing w:line="560" w:lineRule="exact"/>
        <w:ind w:firstLine="640"/>
        <w:rPr>
          <w:rFonts w:hint="eastAsia" w:ascii="Times New Roman" w:hAnsi="Times New Roman" w:eastAsia="方正仿宋_GBK" w:cs="Times New Roman"/>
          <w:b/>
          <w:bCs/>
          <w:kern w:val="2"/>
          <w:sz w:val="32"/>
          <w:szCs w:val="32"/>
          <w:highlight w:val="none"/>
          <w:lang w:val="en-US" w:eastAsia="zh-CN" w:bidi="ar-SA"/>
        </w:rPr>
      </w:pPr>
    </w:p>
    <w:p w14:paraId="31E43F76">
      <w:pPr>
        <w:spacing w:line="560" w:lineRule="exact"/>
        <w:ind w:firstLine="640"/>
        <w:rPr>
          <w:rFonts w:hint="eastAsia" w:ascii="Times New Roman" w:hAnsi="Times New Roman" w:eastAsia="方正仿宋_GBK" w:cs="Times New Roman"/>
          <w:b/>
          <w:bCs/>
          <w:kern w:val="2"/>
          <w:sz w:val="32"/>
          <w:szCs w:val="32"/>
          <w:highlight w:val="none"/>
          <w:lang w:val="en-US" w:eastAsia="zh-CN" w:bidi="ar-SA"/>
        </w:rPr>
      </w:pPr>
      <w:r>
        <w:rPr>
          <w:rFonts w:hint="eastAsia" w:ascii="Times New Roman" w:hAnsi="Times New Roman" w:eastAsia="方正仿宋_GBK" w:cs="Times New Roman"/>
          <w:b/>
          <w:bCs/>
          <w:kern w:val="2"/>
          <w:sz w:val="32"/>
          <w:szCs w:val="32"/>
          <w:highlight w:val="none"/>
          <w:lang w:val="en-US" w:eastAsia="zh-CN" w:bidi="ar-SA"/>
        </w:rPr>
        <w:t>1.因公出国（境）经费支出</w:t>
      </w:r>
      <w:r>
        <w:rPr>
          <w:rFonts w:hint="eastAsia" w:eastAsia="方正仿宋_GBK" w:cs="Times New Roman"/>
          <w:b/>
          <w:bCs/>
          <w:kern w:val="2"/>
          <w:sz w:val="32"/>
          <w:szCs w:val="32"/>
          <w:highlight w:val="none"/>
          <w:lang w:val="en-US" w:eastAsia="zh-CN" w:bidi="ar-SA"/>
        </w:rPr>
        <w:t>0</w:t>
      </w:r>
      <w:r>
        <w:rPr>
          <w:rFonts w:hint="eastAsia" w:ascii="Times New Roman" w:hAnsi="Times New Roman" w:eastAsia="方正仿宋_GBK" w:cs="Times New Roman"/>
          <w:b/>
          <w:bCs/>
          <w:kern w:val="2"/>
          <w:sz w:val="32"/>
          <w:szCs w:val="32"/>
          <w:highlight w:val="none"/>
          <w:lang w:val="en-US" w:eastAsia="zh-CN" w:bidi="ar-SA"/>
        </w:rPr>
        <w:t>万元，完成预算</w:t>
      </w:r>
      <w:r>
        <w:rPr>
          <w:rFonts w:hint="eastAsia" w:eastAsia="方正仿宋_GBK" w:cs="Times New Roman"/>
          <w:b/>
          <w:bCs/>
          <w:kern w:val="2"/>
          <w:sz w:val="32"/>
          <w:szCs w:val="32"/>
          <w:highlight w:val="none"/>
          <w:lang w:val="en-US" w:eastAsia="zh-CN" w:bidi="ar-SA"/>
        </w:rPr>
        <w:t>0</w:t>
      </w:r>
      <w:r>
        <w:rPr>
          <w:rFonts w:hint="eastAsia" w:ascii="Times New Roman" w:hAnsi="Times New Roman" w:eastAsia="方正仿宋_GBK" w:cs="Times New Roman"/>
          <w:b/>
          <w:bCs/>
          <w:kern w:val="2"/>
          <w:sz w:val="32"/>
          <w:szCs w:val="32"/>
          <w:highlight w:val="none"/>
          <w:lang w:val="en-US" w:eastAsia="zh-CN" w:bidi="ar-SA"/>
        </w:rPr>
        <w:t>%。</w:t>
      </w:r>
    </w:p>
    <w:p w14:paraId="0E380B23">
      <w:pPr>
        <w:spacing w:line="560" w:lineRule="exact"/>
        <w:ind w:firstLine="640"/>
        <w:rPr>
          <w:rFonts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市民政局2024年</w:t>
      </w:r>
      <w:r>
        <w:rPr>
          <w:rFonts w:hint="eastAsia" w:ascii="Times New Roman" w:hAnsi="Times New Roman" w:eastAsia="方正仿宋_GBK" w:cs="Times New Roman"/>
          <w:kern w:val="2"/>
          <w:sz w:val="32"/>
          <w:szCs w:val="32"/>
          <w:highlight w:val="none"/>
          <w:lang w:val="en-US" w:eastAsia="zh-CN" w:bidi="ar-SA"/>
        </w:rPr>
        <w:t>安排因公出国（境）团组0次，出国（境）0人。因公出国（境）支出决算</w:t>
      </w:r>
      <w:r>
        <w:rPr>
          <w:rFonts w:hint="eastAsia" w:eastAsia="方正仿宋_GBK" w:cs="Times New Roman"/>
          <w:kern w:val="2"/>
          <w:sz w:val="32"/>
          <w:szCs w:val="32"/>
          <w:highlight w:val="none"/>
          <w:lang w:val="en-US" w:eastAsia="zh-CN" w:bidi="ar-SA"/>
        </w:rPr>
        <w:t>和</w:t>
      </w:r>
      <w:r>
        <w:rPr>
          <w:rFonts w:hint="eastAsia" w:ascii="Times New Roman" w:hAnsi="Times New Roman" w:eastAsia="方正仿宋_GBK" w:cs="Times New Roman"/>
          <w:kern w:val="2"/>
          <w:sz w:val="32"/>
          <w:szCs w:val="32"/>
          <w:highlight w:val="none"/>
          <w:lang w:val="en-US" w:eastAsia="zh-CN" w:bidi="ar-SA"/>
        </w:rPr>
        <w:t>2023年持平。</w:t>
      </w:r>
    </w:p>
    <w:p w14:paraId="4E38C291">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b/>
          <w:bCs/>
          <w:kern w:val="2"/>
          <w:sz w:val="32"/>
          <w:szCs w:val="32"/>
          <w:highlight w:val="none"/>
          <w:lang w:val="en-US" w:eastAsia="zh-CN" w:bidi="ar-SA"/>
        </w:rPr>
        <w:t>2.公务用车购置及运行维护费支出5.66万元，完成预算</w:t>
      </w:r>
      <w:r>
        <w:rPr>
          <w:rFonts w:hint="eastAsia" w:eastAsia="方正仿宋_GBK" w:cs="Times New Roman"/>
          <w:b/>
          <w:bCs/>
          <w:kern w:val="2"/>
          <w:sz w:val="32"/>
          <w:szCs w:val="32"/>
          <w:highlight w:val="none"/>
          <w:lang w:val="en-US" w:eastAsia="zh-CN" w:bidi="ar-SA"/>
        </w:rPr>
        <w:t>100</w:t>
      </w:r>
      <w:r>
        <w:rPr>
          <w:rFonts w:hint="eastAsia" w:ascii="Times New Roman" w:hAnsi="Times New Roman" w:eastAsia="方正仿宋_GBK" w:cs="Times New Roman"/>
          <w:b/>
          <w:bCs/>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公务用车购置及运行维护费支出决算比2023年度减少0.17万元，下降2.</w:t>
      </w:r>
      <w:r>
        <w:rPr>
          <w:rFonts w:hint="eastAsia" w:eastAsia="方正仿宋_GBK" w:cs="Times New Roman"/>
          <w:kern w:val="2"/>
          <w:sz w:val="32"/>
          <w:szCs w:val="32"/>
          <w:highlight w:val="none"/>
          <w:lang w:val="en-US" w:eastAsia="zh-CN" w:bidi="ar-SA"/>
        </w:rPr>
        <w:t>92</w:t>
      </w:r>
      <w:r>
        <w:rPr>
          <w:rFonts w:hint="eastAsia" w:ascii="Times New Roman" w:hAnsi="Times New Roman" w:eastAsia="方正仿宋_GBK" w:cs="Times New Roman"/>
          <w:kern w:val="2"/>
          <w:sz w:val="32"/>
          <w:szCs w:val="32"/>
          <w:highlight w:val="none"/>
          <w:lang w:val="en-US" w:eastAsia="zh-CN" w:bidi="ar-SA"/>
        </w:rPr>
        <w:t>%。主要原因是厉行节约，压减支出。其中：公务用车购置支出0万元。全年按规定更新购置公务用车0辆，其中：轿车0辆、金额0万元，越野车0辆、金额0万元，载客汽车0辆、金额0万元0。截至2024年12月31日，单位共有公务用车2辆，其中：轿车0辆、越野车2辆、载客汽车0辆。</w:t>
      </w:r>
    </w:p>
    <w:p w14:paraId="3513C71D">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公务用车运行维护费支出5.66万元。主要用于</w:t>
      </w:r>
      <w:r>
        <w:rPr>
          <w:rFonts w:ascii="Times New Roman" w:hAnsi="Times New Roman" w:eastAsia="方正仿宋_GBK" w:cs="Times New Roman"/>
          <w:kern w:val="2"/>
          <w:sz w:val="32"/>
          <w:szCs w:val="32"/>
          <w:highlight w:val="none"/>
          <w:lang w:val="en-US" w:eastAsia="zh-CN" w:bidi="ar-SA"/>
        </w:rPr>
        <w:t>保障社会救助、社会事务、社会福利、养老</w:t>
      </w:r>
      <w:r>
        <w:rPr>
          <w:rFonts w:hint="eastAsia" w:eastAsia="方正仿宋_GBK" w:cs="Times New Roman"/>
          <w:kern w:val="2"/>
          <w:sz w:val="32"/>
          <w:szCs w:val="32"/>
          <w:highlight w:val="none"/>
          <w:lang w:val="en-US" w:eastAsia="zh-CN" w:bidi="ar-SA"/>
        </w:rPr>
        <w:t>等业务工作开展和</w:t>
      </w:r>
      <w:r>
        <w:rPr>
          <w:rFonts w:ascii="Times New Roman" w:hAnsi="Times New Roman" w:eastAsia="方正仿宋_GBK" w:cs="Times New Roman"/>
          <w:kern w:val="2"/>
          <w:sz w:val="32"/>
          <w:szCs w:val="32"/>
          <w:highlight w:val="none"/>
          <w:lang w:val="en-US" w:eastAsia="zh-CN" w:bidi="ar-SA"/>
        </w:rPr>
        <w:t>森林草原防灭火督导</w:t>
      </w:r>
      <w:r>
        <w:rPr>
          <w:rFonts w:hint="eastAsia" w:eastAsia="方正仿宋_GBK" w:cs="Times New Roman"/>
          <w:kern w:val="2"/>
          <w:sz w:val="32"/>
          <w:szCs w:val="32"/>
          <w:highlight w:val="none"/>
          <w:lang w:val="en-US" w:eastAsia="zh-CN" w:bidi="ar-SA"/>
        </w:rPr>
        <w:t>、</w:t>
      </w:r>
      <w:r>
        <w:rPr>
          <w:rFonts w:ascii="Times New Roman" w:hAnsi="Times New Roman" w:eastAsia="方正仿宋_GBK" w:cs="Times New Roman"/>
          <w:kern w:val="2"/>
          <w:sz w:val="32"/>
          <w:szCs w:val="32"/>
          <w:highlight w:val="none"/>
          <w:lang w:val="en-US" w:eastAsia="zh-CN" w:bidi="ar-SA"/>
        </w:rPr>
        <w:t>安全检查</w:t>
      </w:r>
      <w:r>
        <w:rPr>
          <w:rFonts w:hint="eastAsia" w:eastAsia="方正仿宋_GBK" w:cs="Times New Roman"/>
          <w:kern w:val="2"/>
          <w:sz w:val="32"/>
          <w:szCs w:val="32"/>
          <w:highlight w:val="none"/>
          <w:lang w:val="en-US" w:eastAsia="zh-CN" w:bidi="ar-SA"/>
        </w:rPr>
        <w:t>、</w:t>
      </w:r>
      <w:r>
        <w:rPr>
          <w:rFonts w:ascii="Times New Roman" w:hAnsi="Times New Roman" w:eastAsia="方正仿宋_GBK" w:cs="Times New Roman"/>
          <w:kern w:val="2"/>
          <w:sz w:val="32"/>
          <w:szCs w:val="32"/>
          <w:highlight w:val="none"/>
          <w:lang w:val="en-US" w:eastAsia="zh-CN" w:bidi="ar-SA"/>
        </w:rPr>
        <w:t>工作调研等所需的公务用车燃料费、维修费、过路过桥费、保险费等支出。</w:t>
      </w:r>
    </w:p>
    <w:p w14:paraId="0DA5CB38">
      <w:pPr>
        <w:spacing w:line="56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1.32万</w:t>
      </w:r>
      <w:r>
        <w:rPr>
          <w:rFonts w:hint="eastAsia" w:eastAsia="仿宋_GB2312" w:cs="仿宋_GB2312"/>
          <w:b/>
          <w:bCs/>
          <w:sz w:val="32"/>
          <w:szCs w:val="32"/>
        </w:rPr>
        <w:t>元</w:t>
      </w:r>
      <w:r>
        <w:rPr>
          <w:rFonts w:hint="eastAsia" w:eastAsia="仿宋_GB2312" w:cs="仿宋_GB2312"/>
          <w:b/>
          <w:bCs/>
          <w:sz w:val="32"/>
          <w:szCs w:val="32"/>
          <w:highlight w:val="none"/>
        </w:rPr>
        <w:t>，完成预算</w:t>
      </w:r>
      <w:r>
        <w:rPr>
          <w:rFonts w:hint="eastAsia" w:eastAsia="仿宋_GB2312" w:cs="仿宋_GB2312"/>
          <w:b/>
          <w:bCs/>
          <w:sz w:val="32"/>
          <w:szCs w:val="32"/>
          <w:highlight w:val="none"/>
          <w:lang w:val="en-US" w:eastAsia="zh-CN"/>
        </w:rPr>
        <w:t>100</w:t>
      </w:r>
      <w:r>
        <w:rPr>
          <w:rFonts w:hint="eastAsia" w:eastAsia="仿宋_GB2312" w:cs="仿宋_GB2312"/>
          <w:b/>
          <w:bCs/>
          <w:sz w:val="32"/>
          <w:szCs w:val="32"/>
          <w:highlight w:val="none"/>
        </w:rPr>
        <w:t>%。</w:t>
      </w:r>
      <w:r>
        <w:rPr>
          <w:rFonts w:hint="eastAsia" w:ascii="Times New Roman" w:hAnsi="Times New Roman" w:eastAsia="方正仿宋_GBK" w:cs="Times New Roman"/>
          <w:kern w:val="2"/>
          <w:sz w:val="32"/>
          <w:szCs w:val="32"/>
          <w:highlight w:val="none"/>
          <w:lang w:val="en-US" w:eastAsia="zh-CN" w:bidi="ar-SA"/>
        </w:rPr>
        <w:t>公务接待费支出决算比2023年度增加0.55万元，增长72.1%。主要原因是部分2023年费用在2024年报销及来攀人员增加，接待人次增加。其中：国内公务接待支出1.32万元，主要用于</w:t>
      </w:r>
      <w:r>
        <w:rPr>
          <w:rFonts w:hint="eastAsia" w:eastAsia="方正仿宋_GBK" w:cs="Times New Roman"/>
          <w:kern w:val="2"/>
          <w:sz w:val="32"/>
          <w:szCs w:val="32"/>
          <w:highlight w:val="none"/>
          <w:lang w:val="en-US" w:eastAsia="zh-CN" w:bidi="ar-SA"/>
        </w:rPr>
        <w:t>上级部门</w:t>
      </w:r>
      <w:r>
        <w:rPr>
          <w:rFonts w:ascii="Times New Roman" w:hAnsi="Times New Roman" w:eastAsia="方正仿宋_GBK" w:cs="Times New Roman"/>
          <w:kern w:val="2"/>
          <w:sz w:val="32"/>
          <w:szCs w:val="32"/>
          <w:highlight w:val="none"/>
          <w:lang w:val="en-US" w:eastAsia="zh-CN" w:bidi="ar-SA"/>
        </w:rPr>
        <w:t>来我局开展调研、业务工作往来开支的</w:t>
      </w:r>
      <w:r>
        <w:rPr>
          <w:rFonts w:hint="eastAsia" w:ascii="Times New Roman" w:hAnsi="Times New Roman" w:eastAsia="方正仿宋_GBK" w:cs="Times New Roman"/>
          <w:kern w:val="2"/>
          <w:sz w:val="32"/>
          <w:szCs w:val="32"/>
          <w:highlight w:val="none"/>
          <w:lang w:val="en-US" w:eastAsia="zh-CN" w:bidi="ar-SA"/>
        </w:rPr>
        <w:t>用餐费。国内公务接待11批次</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79人次（不包括陪同人员），共计支出1.32万元。外事接待支出0万元。外事接待0批次，0人次（不包括陪同人员），共计支出0万元。</w:t>
      </w:r>
      <w:bookmarkStart w:id="34" w:name="_Toc15377218"/>
      <w:bookmarkStart w:id="35" w:name="_Toc15396610"/>
    </w:p>
    <w:p w14:paraId="675B15E2">
      <w:pPr>
        <w:pageBreakBefore w:val="0"/>
        <w:widowControl/>
        <w:kinsoku/>
        <w:wordWrap/>
        <w:overflowPunct/>
        <w:topLinePunct w:val="0"/>
        <w:autoSpaceDE/>
        <w:autoSpaceDN/>
        <w:bidi w:val="0"/>
        <w:adjustRightInd w:val="0"/>
        <w:snapToGrid w:val="0"/>
        <w:spacing w:line="560" w:lineRule="exact"/>
        <w:ind w:firstLine="640" w:firstLineChars="200"/>
        <w:contextualSpacing/>
        <w:rPr>
          <w:rFonts w:hint="eastAsia" w:ascii="Times New Roman" w:hAnsi="Times New Roman" w:eastAsia="方正黑体_GBK" w:cs="Times New Roman"/>
          <w:color w:val="000000"/>
          <w:kern w:val="0"/>
          <w:sz w:val="32"/>
          <w:szCs w:val="32"/>
          <w:shd w:val="clear" w:color="auto" w:fill="FFFFFF"/>
          <w:lang w:val="en-US" w:eastAsia="zh-CN" w:bidi="ar-SA"/>
        </w:rPr>
      </w:pPr>
      <w:r>
        <w:rPr>
          <w:rFonts w:hint="eastAsia" w:ascii="Times New Roman" w:hAnsi="Times New Roman" w:eastAsia="方正黑体_GBK" w:cs="Times New Roman"/>
          <w:color w:val="000000"/>
          <w:kern w:val="0"/>
          <w:sz w:val="32"/>
          <w:szCs w:val="32"/>
          <w:shd w:val="clear" w:color="auto" w:fill="FFFFFF"/>
          <w:lang w:val="en-US" w:eastAsia="zh-CN" w:bidi="ar-SA"/>
        </w:rPr>
        <w:t>八、政府性基金预算支出决算情况说明</w:t>
      </w:r>
      <w:bookmarkEnd w:id="34"/>
      <w:bookmarkEnd w:id="35"/>
    </w:p>
    <w:p w14:paraId="2DA8832A">
      <w:pPr>
        <w:spacing w:line="560" w:lineRule="exact"/>
        <w:ind w:firstLine="640"/>
        <w:rPr>
          <w:rFonts w:hint="eastAsia" w:eastAsia="方正仿宋_GBK" w:cs="仿宋_GB2312"/>
          <w:sz w:val="32"/>
          <w:szCs w:val="32"/>
          <w:lang w:eastAsia="zh-CN"/>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2024年度政府性基金预算财政拨款支出284.73万元，占本年支出合计的22.38%</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与2023年度270.96万元相比，政府性基金预算财政拨款支出增加13.77万元</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增长5.08 %。主要变动原因是项目资金</w:t>
      </w:r>
      <w:r>
        <w:rPr>
          <w:rFonts w:hint="eastAsia" w:eastAsia="方正仿宋_GBK" w:cs="Times New Roman"/>
          <w:kern w:val="2"/>
          <w:sz w:val="32"/>
          <w:szCs w:val="32"/>
          <w:highlight w:val="none"/>
          <w:lang w:val="en-US" w:eastAsia="zh-CN" w:bidi="ar-SA"/>
        </w:rPr>
        <w:t>增加。</w:t>
      </w:r>
    </w:p>
    <w:p w14:paraId="0785516C">
      <w:pPr>
        <w:pageBreakBefore w:val="0"/>
        <w:widowControl/>
        <w:kinsoku/>
        <w:wordWrap/>
        <w:overflowPunct/>
        <w:topLinePunct w:val="0"/>
        <w:autoSpaceDE/>
        <w:autoSpaceDN/>
        <w:bidi w:val="0"/>
        <w:adjustRightInd w:val="0"/>
        <w:snapToGrid w:val="0"/>
        <w:spacing w:line="560" w:lineRule="exact"/>
        <w:ind w:firstLine="640" w:firstLineChars="200"/>
        <w:contextualSpacing/>
        <w:rPr>
          <w:rFonts w:hint="eastAsia" w:ascii="Times New Roman" w:hAnsi="Times New Roman" w:eastAsia="方正黑体_GBK" w:cs="Times New Roman"/>
          <w:color w:val="000000"/>
          <w:kern w:val="0"/>
          <w:sz w:val="32"/>
          <w:szCs w:val="32"/>
          <w:shd w:val="clear" w:color="auto" w:fill="FFFFFF"/>
          <w:lang w:val="en-US" w:eastAsia="zh-CN" w:bidi="ar-SA"/>
        </w:rPr>
      </w:pPr>
      <w:bookmarkStart w:id="36" w:name="_Toc15396611"/>
      <w:bookmarkStart w:id="37" w:name="_Toc15377219"/>
      <w:r>
        <w:rPr>
          <w:rFonts w:hint="eastAsia" w:ascii="Times New Roman" w:hAnsi="Times New Roman" w:eastAsia="方正黑体_GBK" w:cs="Times New Roman"/>
          <w:color w:val="000000"/>
          <w:kern w:val="0"/>
          <w:sz w:val="32"/>
          <w:szCs w:val="32"/>
          <w:shd w:val="clear" w:color="auto" w:fill="FFFFFF"/>
          <w:lang w:val="en-US" w:eastAsia="zh-CN" w:bidi="ar-SA"/>
        </w:rPr>
        <w:t>九、国有资本经营预算支出决算情况说明</w:t>
      </w:r>
      <w:bookmarkEnd w:id="36"/>
      <w:bookmarkEnd w:id="37"/>
    </w:p>
    <w:p w14:paraId="74F03EE1">
      <w:pPr>
        <w:spacing w:line="560" w:lineRule="exact"/>
        <w:ind w:firstLine="640"/>
        <w:rPr>
          <w:rFonts w:eastAsia="仿宋_GB2312" w:cs="仿宋_GB2312"/>
          <w:sz w:val="32"/>
          <w:szCs w:val="32"/>
        </w:rPr>
      </w:pPr>
      <w:r>
        <w:rPr>
          <w:rFonts w:hint="eastAsia" w:eastAsia="方正仿宋_GBK" w:cs="Times New Roman"/>
          <w:kern w:val="2"/>
          <w:sz w:val="32"/>
          <w:szCs w:val="32"/>
          <w:highlight w:val="none"/>
          <w:lang w:val="en-US" w:eastAsia="zh-CN" w:bidi="ar-SA"/>
        </w:rPr>
        <w:t>市民政局</w:t>
      </w:r>
      <w:r>
        <w:rPr>
          <w:rFonts w:hint="eastAsia" w:ascii="Times New Roman" w:hAnsi="Times New Roman" w:eastAsia="方正仿宋_GBK" w:cs="Times New Roman"/>
          <w:kern w:val="2"/>
          <w:sz w:val="32"/>
          <w:szCs w:val="32"/>
          <w:highlight w:val="none"/>
          <w:lang w:val="en-US" w:eastAsia="zh-CN" w:bidi="ar-SA"/>
        </w:rPr>
        <w:t>2024年度国有资本经营预算财政拨款支出0万元，占本年支出合计的0%。与2023年度相比，国有资本经营预算财政拨款支出与上年持平。</w:t>
      </w:r>
    </w:p>
    <w:p w14:paraId="24B22A12">
      <w:pPr>
        <w:pageBreakBefore w:val="0"/>
        <w:widowControl/>
        <w:kinsoku/>
        <w:wordWrap/>
        <w:overflowPunct/>
        <w:topLinePunct w:val="0"/>
        <w:autoSpaceDE/>
        <w:autoSpaceDN/>
        <w:bidi w:val="0"/>
        <w:adjustRightInd w:val="0"/>
        <w:snapToGrid w:val="0"/>
        <w:spacing w:line="560" w:lineRule="exact"/>
        <w:ind w:firstLine="640" w:firstLineChars="200"/>
        <w:contextualSpacing/>
        <w:rPr>
          <w:rFonts w:eastAsia="方正黑体_GBK"/>
          <w:color w:val="000000"/>
          <w:kern w:val="0"/>
          <w:sz w:val="32"/>
          <w:szCs w:val="32"/>
          <w:shd w:val="clear" w:color="auto" w:fill="FFFFFF"/>
          <w:lang w:val="en-US" w:eastAsia="zh-CN" w:bidi="ar-SA"/>
        </w:rPr>
      </w:pPr>
      <w:bookmarkStart w:id="38" w:name="_Toc15377221"/>
      <w:bookmarkStart w:id="39" w:name="_Toc15396612"/>
      <w:r>
        <w:rPr>
          <w:rFonts w:hint="eastAsia" w:eastAsia="方正黑体_GBK"/>
          <w:color w:val="000000"/>
          <w:kern w:val="0"/>
          <w:sz w:val="32"/>
          <w:szCs w:val="32"/>
          <w:shd w:val="clear" w:color="auto" w:fill="FFFFFF"/>
          <w:lang w:val="en-US" w:eastAsia="zh-CN" w:bidi="ar-SA"/>
        </w:rPr>
        <w:t>十、其他重要事项的情况说明</w:t>
      </w:r>
      <w:bookmarkEnd w:id="38"/>
      <w:bookmarkEnd w:id="39"/>
    </w:p>
    <w:p w14:paraId="1FBF8B69">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zh-CN" w:eastAsia="zh-CN" w:bidi="ar-SA"/>
        </w:rPr>
      </w:pPr>
      <w:bookmarkStart w:id="40" w:name="_Toc15377222"/>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zh-CN" w:eastAsia="zh-CN" w:bidi="ar-SA"/>
        </w:rPr>
        <w:t>（一）机关运行经费支出情况</w:t>
      </w:r>
      <w:bookmarkEnd w:id="40"/>
    </w:p>
    <w:p w14:paraId="75D3CBDF">
      <w:pPr>
        <w:spacing w:line="560" w:lineRule="exact"/>
        <w:ind w:firstLine="640"/>
        <w:rPr>
          <w:rFonts w:eastAsia="仿宋_GB2312" w:cs="仿宋_GB2312"/>
          <w:sz w:val="32"/>
          <w:szCs w:val="32"/>
        </w:rPr>
      </w:pPr>
      <w:r>
        <w:rPr>
          <w:rFonts w:hint="eastAsia" w:ascii="Times New Roman" w:hAnsi="Times New Roman" w:eastAsia="方正仿宋_GBK" w:cs="Times New Roman"/>
          <w:kern w:val="2"/>
          <w:sz w:val="32"/>
          <w:szCs w:val="32"/>
          <w:highlight w:val="none"/>
          <w:lang w:val="en-US" w:eastAsia="zh-CN" w:bidi="ar-SA"/>
        </w:rPr>
        <w:t>2024年度，四川省攀枝花市民政局（本级）机关运行经费支出133.84万元，比2023年度增加37.43万元，</w:t>
      </w:r>
      <w:r>
        <w:rPr>
          <w:rFonts w:hint="eastAsia" w:eastAsia="方正仿宋_GBK" w:cs="Times New Roman"/>
          <w:kern w:val="2"/>
          <w:sz w:val="32"/>
          <w:szCs w:val="32"/>
          <w:highlight w:val="none"/>
          <w:lang w:val="en-US" w:eastAsia="zh-CN" w:bidi="ar-SA"/>
        </w:rPr>
        <w:t>增加</w:t>
      </w:r>
      <w:r>
        <w:rPr>
          <w:rFonts w:hint="eastAsia" w:ascii="Times New Roman" w:hAnsi="Times New Roman" w:eastAsia="方正仿宋_GBK" w:cs="Times New Roman"/>
          <w:kern w:val="2"/>
          <w:sz w:val="32"/>
          <w:szCs w:val="32"/>
          <w:highlight w:val="none"/>
          <w:lang w:val="en-US" w:eastAsia="zh-CN" w:bidi="ar-SA"/>
        </w:rPr>
        <w:t>38.82%</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主要原因是机构合并</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人员经费增加。</w:t>
      </w:r>
    </w:p>
    <w:p w14:paraId="15923780">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en-US" w:eastAsia="zh-CN" w:bidi="ar-SA"/>
        </w:rPr>
      </w:pPr>
      <w:bookmarkStart w:id="41" w:name="_Toc15377223"/>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en-US" w:eastAsia="zh-CN" w:bidi="ar-SA"/>
        </w:rPr>
        <w:t>（二）政府采购支出情况</w:t>
      </w:r>
      <w:bookmarkEnd w:id="41"/>
    </w:p>
    <w:p w14:paraId="576C9890">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2024年度，四川省攀枝花市民政局（本级）政府采购支出总额213</w:t>
      </w:r>
      <w:r>
        <w:rPr>
          <w:rFonts w:hint="eastAsia" w:eastAsia="方正仿宋_GBK" w:cs="Times New Roman"/>
          <w:kern w:val="2"/>
          <w:sz w:val="32"/>
          <w:szCs w:val="32"/>
          <w:highlight w:val="none"/>
          <w:lang w:val="en-US" w:eastAsia="zh-CN" w:bidi="ar-SA"/>
        </w:rPr>
        <w:t>.15</w:t>
      </w:r>
      <w:r>
        <w:rPr>
          <w:rFonts w:hint="eastAsia" w:ascii="Times New Roman" w:hAnsi="Times New Roman" w:eastAsia="方正仿宋_GBK" w:cs="Times New Roman"/>
          <w:kern w:val="2"/>
          <w:sz w:val="32"/>
          <w:szCs w:val="32"/>
          <w:highlight w:val="none"/>
          <w:lang w:val="en-US" w:eastAsia="zh-CN" w:bidi="ar-SA"/>
        </w:rPr>
        <w:t>万元，其中：政府采购货物支出0万元、政府采购工程支出0万元、政府采购服务支出213</w:t>
      </w:r>
      <w:r>
        <w:rPr>
          <w:rFonts w:hint="eastAsia" w:eastAsia="方正仿宋_GBK" w:cs="Times New Roman"/>
          <w:kern w:val="2"/>
          <w:sz w:val="32"/>
          <w:szCs w:val="32"/>
          <w:highlight w:val="none"/>
          <w:lang w:val="en-US" w:eastAsia="zh-CN" w:bidi="ar-SA"/>
        </w:rPr>
        <w:t>.15</w:t>
      </w:r>
      <w:r>
        <w:rPr>
          <w:rFonts w:hint="eastAsia" w:ascii="Times New Roman" w:hAnsi="Times New Roman" w:eastAsia="方正仿宋_GBK" w:cs="Times New Roman"/>
          <w:kern w:val="2"/>
          <w:sz w:val="32"/>
          <w:szCs w:val="32"/>
          <w:highlight w:val="none"/>
          <w:lang w:val="en-US" w:eastAsia="zh-CN" w:bidi="ar-SA"/>
        </w:rPr>
        <w:t>万元。主要用于康辅工程</w:t>
      </w:r>
      <w:r>
        <w:rPr>
          <w:rFonts w:hint="eastAsia"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kern w:val="2"/>
          <w:sz w:val="32"/>
          <w:szCs w:val="32"/>
          <w:highlight w:val="none"/>
          <w:lang w:val="en-US" w:eastAsia="zh-CN" w:bidi="ar-SA"/>
        </w:rPr>
        <w:t>和公务车维修</w:t>
      </w:r>
      <w:r>
        <w:rPr>
          <w:rFonts w:hint="eastAsia" w:eastAsia="方正仿宋_GBK" w:cs="Times New Roman"/>
          <w:kern w:val="2"/>
          <w:sz w:val="32"/>
          <w:szCs w:val="32"/>
          <w:highlight w:val="none"/>
          <w:lang w:val="en-US" w:eastAsia="zh-CN" w:bidi="ar-SA"/>
        </w:rPr>
        <w:t>及</w:t>
      </w:r>
      <w:r>
        <w:rPr>
          <w:rFonts w:hint="eastAsia" w:ascii="Times New Roman" w:hAnsi="Times New Roman" w:eastAsia="方正仿宋_GBK" w:cs="Times New Roman"/>
          <w:kern w:val="2"/>
          <w:sz w:val="32"/>
          <w:szCs w:val="32"/>
          <w:highlight w:val="none"/>
          <w:lang w:val="en-US" w:eastAsia="zh-CN" w:bidi="ar-SA"/>
        </w:rPr>
        <w:t>油料费。授予中小企业合同金额212.61万元，占政府采购支出总额的99.75%，其中：授予小微企业合同金额0.54万元，占政府采购支出总额的0.25%。</w:t>
      </w:r>
    </w:p>
    <w:p w14:paraId="09B8CBC3">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en-US" w:eastAsia="zh-CN" w:bidi="ar-SA"/>
        </w:rPr>
      </w:pPr>
      <w:bookmarkStart w:id="42" w:name="_Toc15377224"/>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en-US" w:eastAsia="zh-CN" w:bidi="ar-SA"/>
        </w:rPr>
        <w:t>（三）国有资产占有使用情况</w:t>
      </w:r>
      <w:bookmarkEnd w:id="42"/>
    </w:p>
    <w:p w14:paraId="04C556A5">
      <w:pPr>
        <w:spacing w:line="560" w:lineRule="exact"/>
        <w:ind w:firstLine="640"/>
        <w:rPr>
          <w:rFonts w:eastAsia="仿宋_GB2312" w:cs="仿宋_GB2312"/>
          <w:sz w:val="32"/>
          <w:szCs w:val="32"/>
        </w:rPr>
      </w:pPr>
      <w:r>
        <w:rPr>
          <w:rFonts w:hint="eastAsia" w:ascii="Times New Roman" w:hAnsi="Times New Roman" w:eastAsia="方正仿宋_GBK" w:cs="Times New Roman"/>
          <w:kern w:val="2"/>
          <w:sz w:val="32"/>
          <w:szCs w:val="32"/>
          <w:highlight w:val="none"/>
          <w:lang w:val="en-US" w:eastAsia="zh-CN" w:bidi="ar-SA"/>
        </w:rPr>
        <w:t>截至2024年12月31日，四川省攀枝花市民政局（本级）共有车辆2辆，其中：主要负责人用车0辆、机要通信用车0辆、应急保障用车2辆、其他用车0辆，单价100万元（含）以上设备（不含车辆）0台（套）。</w:t>
      </w:r>
    </w:p>
    <w:p w14:paraId="6586279D">
      <w:pPr>
        <w:pageBreakBefore w:val="0"/>
        <w:widowControl w:val="0"/>
        <w:kinsoku/>
        <w:wordWrap/>
        <w:overflowPunct/>
        <w:topLinePunct w:val="0"/>
        <w:autoSpaceDE/>
        <w:autoSpaceDN/>
        <w:bidi w:val="0"/>
        <w:snapToGrid w:val="0"/>
        <w:spacing w:line="560" w:lineRule="exact"/>
        <w:ind w:firstLine="0" w:firstLineChars="0"/>
        <w:rPr>
          <w:rFonts w:hint="eastAsia" w:ascii="方正楷体_GBK" w:hAnsi="Times New Roman" w:eastAsia="方正楷体_GBK" w:cs="方正楷体_GBK"/>
          <w:b/>
          <w:bCs/>
          <w:color w:val="auto"/>
          <w:kern w:val="2"/>
          <w:sz w:val="32"/>
          <w:szCs w:val="32"/>
          <w:shd w:val="clear" w:color="auto" w:fill="auto"/>
          <w:lang w:val="en-US" w:eastAsia="zh-CN" w:bidi="ar-SA"/>
        </w:rPr>
      </w:pPr>
      <w:r>
        <w:rPr>
          <w:rFonts w:hint="eastAsia" w:ascii="方正楷体_GBK" w:eastAsia="方正楷体_GBK" w:cs="方正楷体_GBK"/>
          <w:b/>
          <w:bCs/>
          <w:kern w:val="2"/>
          <w:sz w:val="32"/>
          <w:szCs w:val="32"/>
          <w:shd w:val="clear"/>
          <w:lang w:val="en-US" w:eastAsia="zh-CN" w:bidi="ar-SA"/>
        </w:rPr>
        <w:t xml:space="preserve">    </w:t>
      </w:r>
      <w:r>
        <w:rPr>
          <w:rFonts w:hint="eastAsia" w:ascii="方正楷体_GBK" w:hAnsi="Times New Roman" w:eastAsia="方正楷体_GBK" w:cs="方正楷体_GBK"/>
          <w:b/>
          <w:bCs/>
          <w:color w:val="auto"/>
          <w:kern w:val="2"/>
          <w:sz w:val="32"/>
          <w:szCs w:val="32"/>
          <w:shd w:val="clear" w:color="auto" w:fill="auto"/>
          <w:lang w:val="en-US" w:eastAsia="zh-CN" w:bidi="ar-SA"/>
        </w:rPr>
        <w:t>（四）预算绩效管理情况</w:t>
      </w:r>
    </w:p>
    <w:p w14:paraId="3039F493">
      <w:pPr>
        <w:spacing w:line="560" w:lineRule="exact"/>
        <w:ind w:firstLine="64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根据预算绩效管理要求，四川省攀枝花市民政局在2024年度预算编制阶段，对</w:t>
      </w:r>
      <w:r>
        <w:rPr>
          <w:rFonts w:hint="eastAsia" w:eastAsia="方正仿宋_GBK" w:cs="Times New Roman"/>
          <w:kern w:val="2"/>
          <w:sz w:val="32"/>
          <w:szCs w:val="32"/>
          <w:highlight w:val="none"/>
          <w:lang w:val="en-US" w:eastAsia="zh-CN" w:bidi="ar-SA"/>
        </w:rPr>
        <w:t>会理康复院麻风病人生活补助、2024年走访慰问和困难群众临时生活补助、慈善福利事业发展经费</w:t>
      </w:r>
      <w:r>
        <w:rPr>
          <w:rFonts w:hint="eastAsia" w:ascii="Times New Roman" w:hAnsi="Times New Roman" w:eastAsia="方正仿宋_GBK" w:cs="Times New Roman"/>
          <w:kern w:val="2"/>
          <w:sz w:val="32"/>
          <w:szCs w:val="32"/>
          <w:highlight w:val="none"/>
          <w:lang w:val="en-US" w:eastAsia="zh-CN" w:bidi="ar-SA"/>
        </w:rPr>
        <w:t>3个项目编制了绩效目标，预算执行过程中，选取21个项目开展绩效监控。</w:t>
      </w:r>
    </w:p>
    <w:p w14:paraId="3191920A">
      <w:pPr>
        <w:widowControl w:val="0"/>
        <w:spacing w:line="600" w:lineRule="exact"/>
        <w:jc w:val="both"/>
        <w:rPr>
          <w:rFonts w:hint="eastAsia"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组织对2024年度一般公共预算、政府性基金预算等全面开展绩效自评，形成</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2024年困难群众救助资金绩效自评报告</w:t>
      </w:r>
      <w:r>
        <w:rPr>
          <w:rFonts w:hint="eastAsia" w:eastAsia="方正仿宋_GBK" w:cs="Times New Roman"/>
          <w:kern w:val="2"/>
          <w:sz w:val="32"/>
          <w:szCs w:val="32"/>
          <w:highlight w:val="none"/>
          <w:lang w:val="en-US" w:eastAsia="zh-CN" w:bidi="ar-SA"/>
        </w:rPr>
        <w:t>》《2024年</w:t>
      </w:r>
      <w:r>
        <w:rPr>
          <w:rFonts w:hint="eastAsia" w:ascii="Times New Roman" w:hAnsi="Times New Roman" w:eastAsia="方正仿宋_GBK" w:cs="Times New Roman"/>
          <w:bCs w:val="0"/>
          <w:color w:val="000000"/>
          <w:sz w:val="32"/>
          <w:szCs w:val="32"/>
          <w:highlight w:val="none"/>
          <w:lang w:val="en-US"/>
        </w:rPr>
        <w:t>困难群众一次性生活补助</w:t>
      </w:r>
      <w:r>
        <w:rPr>
          <w:rFonts w:hint="eastAsia" w:eastAsia="方正仿宋_GBK" w:cs="Times New Roman"/>
          <w:bCs w:val="0"/>
          <w:color w:val="000000"/>
          <w:sz w:val="32"/>
          <w:szCs w:val="32"/>
          <w:highlight w:val="none"/>
          <w:lang w:val="en-US"/>
        </w:rPr>
        <w:t>支出</w:t>
      </w:r>
      <w:r>
        <w:rPr>
          <w:rFonts w:hint="eastAsia" w:ascii="Times New Roman" w:hAnsi="Times New Roman" w:eastAsia="方正仿宋_GBK" w:cs="Times New Roman"/>
          <w:kern w:val="2"/>
          <w:sz w:val="32"/>
          <w:szCs w:val="32"/>
          <w:highlight w:val="none"/>
          <w:lang w:val="en-US" w:eastAsia="zh-CN" w:bidi="ar-SA"/>
        </w:rPr>
        <w:t>绩效自评报告</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专项预算项目支出绩效自评报告</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eastAsia" w:ascii="方正仿宋_GBK" w:hAnsi="方正仿宋_GBK" w:eastAsia="方正仿宋_GBK" w:cs="方正仿宋_GBK"/>
          <w:color w:val="auto"/>
          <w:kern w:val="2"/>
          <w:sz w:val="32"/>
          <w:szCs w:val="32"/>
          <w:lang w:val="zh-CN" w:eastAsia="zh-CN" w:bidi="ar-SA"/>
        </w:rPr>
        <w:t>康辅工程</w:t>
      </w:r>
      <w:r>
        <w:rPr>
          <w:rFonts w:ascii="Times New Roman" w:hAnsi="Times New Roman" w:eastAsia="仿宋_GB2312" w:cs="Times New Roman"/>
          <w:color w:val="auto"/>
          <w:kern w:val="2"/>
          <w:sz w:val="32"/>
          <w:szCs w:val="32"/>
          <w:lang w:val="zh-CN" w:eastAsia="zh-CN" w:bidi="ar-SA"/>
        </w:rPr>
        <w:t>）</w:t>
      </w:r>
      <w:r>
        <w:rPr>
          <w:rFonts w:hint="eastAsia" w:ascii="Times New Roman" w:hAnsi="Times New Roman" w:eastAsia="方正仿宋_GBK" w:cs="Times New Roman"/>
          <w:kern w:val="2"/>
          <w:sz w:val="32"/>
          <w:szCs w:val="32"/>
          <w:highlight w:val="none"/>
          <w:lang w:val="en-US" w:eastAsia="zh-CN" w:bidi="ar-SA"/>
        </w:rPr>
        <w:t>等专项预算项目绩效自评报告</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其中，康复辅助器具社区租赁试点部门整体（含部门预算项目）绩效自评得分为97分，绩效自评综述：该项目按照合同执行，项目稳步推进中，建设完毕后具备展示、租赁、清洗、消杀、维修、咨询服务等功能及6个常设租赁服务点建设</w:t>
      </w:r>
      <w:r>
        <w:rPr>
          <w:rFonts w:hint="eastAsia"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其中3个为社区自助型康复辅助器具租赁点，每个面积不少于20平方米；另外3个为室外自助型康复辅助器具租赁小屋，每个面积不少于25平方米</w:t>
      </w:r>
      <w:r>
        <w:rPr>
          <w:rFonts w:hint="eastAsia" w:eastAsia="方正仿宋_GBK" w:cs="Times New Roman"/>
          <w:kern w:val="2"/>
          <w:sz w:val="32"/>
          <w:szCs w:val="32"/>
          <w:highlight w:val="none"/>
          <w:lang w:val="en-US" w:eastAsia="zh-CN" w:bidi="ar-SA"/>
        </w:rPr>
        <w:t>。</w:t>
      </w:r>
    </w:p>
    <w:p w14:paraId="402D964A">
      <w:pPr>
        <w:pageBreakBefore w:val="0"/>
        <w:widowControl w:val="0"/>
        <w:suppressAutoHyphens/>
        <w:kinsoku/>
        <w:wordWrap/>
        <w:overflowPunct/>
        <w:bidi w:val="0"/>
        <w:spacing w:line="600" w:lineRule="exact"/>
        <w:jc w:val="center"/>
        <w:outlineLvl w:val="0"/>
        <w:rPr>
          <w:rStyle w:val="21"/>
          <w:rFonts w:hint="eastAsia" w:ascii="方正小标宋_GBK" w:hAnsi="方正小标宋_GBK" w:eastAsia="方正小标宋_GBK" w:cs="方正小标宋_GBK"/>
          <w:b/>
        </w:rPr>
      </w:pPr>
      <w:bookmarkStart w:id="43" w:name="_Toc15396613"/>
      <w:bookmarkStart w:id="44" w:name="_Toc15377225"/>
    </w:p>
    <w:p w14:paraId="0317FBDA">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7CE82622">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67788479">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6F64AF04">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54EC693B">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1311F31B">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438EE4DE">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05A63C4F">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23E562B5">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p>
    <w:p w14:paraId="1E815485">
      <w:pPr>
        <w:pageBreakBefore w:val="0"/>
        <w:widowControl w:val="0"/>
        <w:suppressAutoHyphens/>
        <w:kinsoku/>
        <w:wordWrap/>
        <w:overflowPunct/>
        <w:bidi w:val="0"/>
        <w:spacing w:line="700" w:lineRule="exact"/>
        <w:jc w:val="center"/>
        <w:outlineLvl w:val="0"/>
        <w:rPr>
          <w:rStyle w:val="21"/>
          <w:rFonts w:hint="eastAsia" w:ascii="方正小标宋_GBK" w:hAnsi="方正小标宋_GBK" w:eastAsia="方正小标宋_GBK" w:cs="方正小标宋_GBK"/>
          <w:b/>
        </w:rPr>
      </w:pPr>
      <w:r>
        <w:rPr>
          <w:rStyle w:val="21"/>
          <w:rFonts w:hint="eastAsia" w:ascii="方正小标宋_GBK" w:hAnsi="方正小标宋_GBK" w:eastAsia="方正小标宋_GBK" w:cs="方正小标宋_GBK"/>
          <w:b/>
        </w:rPr>
        <w:t>第三部分  名词解释</w:t>
      </w:r>
      <w:bookmarkEnd w:id="43"/>
      <w:bookmarkEnd w:id="44"/>
    </w:p>
    <w:p w14:paraId="42CB6BAA">
      <w:pPr>
        <w:spacing w:line="600" w:lineRule="exact"/>
        <w:jc w:val="left"/>
        <w:rPr>
          <w:b/>
          <w:sz w:val="44"/>
          <w:szCs w:val="44"/>
        </w:rPr>
      </w:pPr>
    </w:p>
    <w:p w14:paraId="0ADC9C10">
      <w:pPr>
        <w:spacing w:line="560" w:lineRule="exact"/>
        <w:ind w:firstLine="641"/>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1.财政拨款收入：指单位从同级财政部门取得的财政预算资金。</w:t>
      </w:r>
    </w:p>
    <w:p w14:paraId="0BA80C6B">
      <w:pPr>
        <w:spacing w:line="560" w:lineRule="exact"/>
        <w:ind w:firstLine="641"/>
        <w:rPr>
          <w:rFonts w:hint="default" w:ascii="Times New Roman" w:hAnsi="Times New Roman" w:eastAsia="方正仿宋_GBK" w:cs="Times New Roman"/>
          <w:kern w:val="2"/>
          <w:sz w:val="32"/>
          <w:szCs w:val="32"/>
          <w:highlight w:val="none"/>
          <w:lang w:val="en-US" w:eastAsia="zh-CN" w:bidi="ar-SA"/>
        </w:rPr>
      </w:pPr>
      <w:bookmarkStart w:id="45" w:name="_Toc15377226"/>
      <w:bookmarkStart w:id="46" w:name="_Toc15396618"/>
      <w:r>
        <w:rPr>
          <w:rFonts w:hint="eastAsia"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社会保障和就业（类）行政事业单位养老支出（款）机关事业单位基本养老保险缴费支出（项）</w:t>
      </w:r>
      <w:r>
        <w:rPr>
          <w:rFonts w:hint="default" w:ascii="Times New Roman" w:hAnsi="Times New Roman" w:eastAsia="方正仿宋_GBK" w:cs="Times New Roman"/>
          <w:kern w:val="2"/>
          <w:sz w:val="32"/>
          <w:szCs w:val="32"/>
          <w:highlight w:val="none"/>
          <w:lang w:val="en-US" w:eastAsia="zh-CN" w:bidi="ar-SA"/>
        </w:rPr>
        <w:t>：反映机关事业单位实施养老保险制度由单位缴纳的基本保险费支出。</w:t>
      </w:r>
    </w:p>
    <w:p w14:paraId="2CF1A7A0">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3</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社会保障和就业（类）社会福利（款）社会福利事业单位（项）：</w:t>
      </w:r>
      <w:r>
        <w:rPr>
          <w:rFonts w:hint="default" w:ascii="Times New Roman" w:hAnsi="Times New Roman" w:eastAsia="方正仿宋_GBK" w:cs="Times New Roman"/>
          <w:kern w:val="2"/>
          <w:sz w:val="32"/>
          <w:szCs w:val="32"/>
          <w:highlight w:val="none"/>
          <w:lang w:val="en-US" w:eastAsia="zh-CN" w:bidi="ar-SA"/>
        </w:rPr>
        <w:t>反映民政部门举办的社会福利事业单位的支出，以及对集体社会福利事业单位的补助费。</w:t>
      </w:r>
    </w:p>
    <w:p w14:paraId="256996DD">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4</w:t>
      </w:r>
      <w:r>
        <w:rPr>
          <w:rFonts w:hint="eastAsia" w:ascii="Times New Roman" w:hAnsi="Times New Roman" w:eastAsia="方正仿宋_GBK" w:cs="Times New Roman"/>
          <w:kern w:val="2"/>
          <w:sz w:val="32"/>
          <w:szCs w:val="32"/>
          <w:highlight w:val="none"/>
          <w:lang w:val="en-US" w:eastAsia="zh-CN" w:bidi="ar-SA"/>
        </w:rPr>
        <w:t>.社会保障和就业（类）社会福利（款）养老服务（项）：反映财政在养老服务方面的补助支出，包括支持居家养老服务、社区养老服务和机构养老服务的支出，对养老服务机构的运营、建设补助支出等，不包括对</w:t>
      </w:r>
      <w:r>
        <w:rPr>
          <w:rFonts w:hint="default" w:ascii="Times New Roman" w:hAnsi="Times New Roman" w:eastAsia="方正仿宋_GBK" w:cs="Times New Roman"/>
          <w:kern w:val="2"/>
          <w:sz w:val="32"/>
          <w:szCs w:val="32"/>
          <w:highlight w:val="none"/>
          <w:lang w:val="en-US" w:eastAsia="zh-CN" w:bidi="ar-SA"/>
        </w:rPr>
        <w:t>社会福利事业单位</w:t>
      </w:r>
      <w:r>
        <w:rPr>
          <w:rFonts w:hint="eastAsia" w:ascii="Times New Roman" w:hAnsi="Times New Roman" w:eastAsia="方正仿宋_GBK" w:cs="Times New Roman"/>
          <w:kern w:val="2"/>
          <w:sz w:val="32"/>
          <w:szCs w:val="32"/>
          <w:highlight w:val="none"/>
          <w:lang w:val="en-US" w:eastAsia="zh-CN" w:bidi="ar-SA"/>
        </w:rPr>
        <w:t>的补助支出。</w:t>
      </w:r>
    </w:p>
    <w:p w14:paraId="36484163">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5</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社会保障和就业（类）其他社会保障和就业支出（款）其他社会保障和就业支出（项）</w:t>
      </w:r>
      <w:r>
        <w:rPr>
          <w:rFonts w:hint="default" w:ascii="Times New Roman" w:hAnsi="Times New Roman" w:eastAsia="方正仿宋_GBK" w:cs="Times New Roman"/>
          <w:kern w:val="2"/>
          <w:sz w:val="32"/>
          <w:szCs w:val="32"/>
          <w:highlight w:val="none"/>
          <w:lang w:val="en-US" w:eastAsia="zh-CN" w:bidi="ar-SA"/>
        </w:rPr>
        <w:t>：反映除上述项目以外其他用于社会保障和就业方面的支出。</w:t>
      </w:r>
    </w:p>
    <w:p w14:paraId="4FDB7C79">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6</w:t>
      </w:r>
      <w:r>
        <w:rPr>
          <w:rFonts w:hint="eastAsia" w:ascii="Times New Roman" w:hAnsi="Times New Roman" w:eastAsia="方正仿宋_GBK" w:cs="Times New Roman"/>
          <w:kern w:val="2"/>
          <w:sz w:val="32"/>
          <w:szCs w:val="32"/>
          <w:highlight w:val="none"/>
          <w:lang w:val="en-US" w:eastAsia="zh-CN" w:bidi="ar-SA"/>
        </w:rPr>
        <w:t>.卫生健康支出（类）行政事业单位医疗（款） 事业单位医疗（项）：反映财政部门安排的事业单位基本医疗保险缴费经费，未参加医疗保险的事业单位的公费医疗经费，按国家规定享受离休人员待遇医疗经费。</w:t>
      </w:r>
    </w:p>
    <w:p w14:paraId="3DB13A6B">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7</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卫生健康支出（类）行政事业单位医疗（款） 公务员医疗补助（项）：反映财政部门安排的公务员医疗补助经费。</w:t>
      </w:r>
    </w:p>
    <w:p w14:paraId="782DA0FF">
      <w:pPr>
        <w:spacing w:line="560" w:lineRule="exact"/>
        <w:ind w:firstLine="641"/>
        <w:rPr>
          <w:rFonts w:hint="eastAsia"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8</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卫生健康支出（类）行政事业单位医疗（款） 其他行政事业单位医疗支出（项）：反映除上述项目以外的其他用于行政</w:t>
      </w:r>
      <w:r>
        <w:rPr>
          <w:rFonts w:hint="default" w:ascii="Times New Roman" w:hAnsi="Times New Roman" w:eastAsia="方正仿宋_GBK" w:cs="Times New Roman"/>
          <w:kern w:val="2"/>
          <w:sz w:val="32"/>
          <w:szCs w:val="32"/>
          <w:highlight w:val="none"/>
          <w:lang w:val="en-US" w:eastAsia="zh-CN" w:bidi="ar-SA"/>
        </w:rPr>
        <w:t>事业单位医疗</w:t>
      </w:r>
      <w:r>
        <w:rPr>
          <w:rFonts w:hint="eastAsia" w:ascii="Times New Roman" w:hAnsi="Times New Roman" w:eastAsia="方正仿宋_GBK" w:cs="Times New Roman"/>
          <w:kern w:val="2"/>
          <w:sz w:val="32"/>
          <w:szCs w:val="32"/>
          <w:highlight w:val="none"/>
          <w:lang w:val="en-US" w:eastAsia="zh-CN" w:bidi="ar-SA"/>
        </w:rPr>
        <w:t>方面的支出。</w:t>
      </w:r>
    </w:p>
    <w:p w14:paraId="58E66011">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eastAsia="方正仿宋_GBK" w:cs="Times New Roman"/>
          <w:kern w:val="2"/>
          <w:sz w:val="32"/>
          <w:szCs w:val="32"/>
          <w:highlight w:val="none"/>
          <w:lang w:val="en-US" w:eastAsia="zh-CN" w:bidi="ar-SA"/>
        </w:rPr>
        <w:t>9</w:t>
      </w:r>
      <w:r>
        <w:rPr>
          <w:rFonts w:hint="default" w:ascii="Times New Roman" w:hAnsi="Times New Roman" w:eastAsia="方正仿宋_GBK" w:cs="Times New Roman"/>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住房保障支出（类）住房改革支出（款）住房公积金（项）：</w:t>
      </w:r>
      <w:r>
        <w:rPr>
          <w:rFonts w:hint="default" w:ascii="Times New Roman" w:hAnsi="Times New Roman" w:eastAsia="方正仿宋_GBK" w:cs="Times New Roman"/>
          <w:kern w:val="2"/>
          <w:sz w:val="32"/>
          <w:szCs w:val="32"/>
          <w:highlight w:val="none"/>
          <w:lang w:val="en-US" w:eastAsia="zh-CN" w:bidi="ar-SA"/>
        </w:rPr>
        <w:t>反映行政事业单位按人力资源和社</w:t>
      </w:r>
      <w:r>
        <w:rPr>
          <w:rFonts w:hint="eastAsia" w:ascii="Times New Roman" w:hAnsi="Times New Roman" w:eastAsia="方正仿宋_GBK" w:cs="Times New Roman"/>
          <w:kern w:val="2"/>
          <w:sz w:val="32"/>
          <w:szCs w:val="32"/>
          <w:highlight w:val="none"/>
          <w:lang w:val="en-US" w:eastAsia="zh-CN" w:bidi="ar-SA"/>
        </w:rPr>
        <w:t>会</w:t>
      </w:r>
      <w:r>
        <w:rPr>
          <w:rFonts w:hint="default" w:ascii="Times New Roman" w:hAnsi="Times New Roman" w:eastAsia="方正仿宋_GBK" w:cs="Times New Roman"/>
          <w:kern w:val="2"/>
          <w:sz w:val="32"/>
          <w:szCs w:val="32"/>
          <w:highlight w:val="none"/>
          <w:lang w:val="en-US" w:eastAsia="zh-CN" w:bidi="ar-SA"/>
        </w:rPr>
        <w:t>保障部、财政部规定的基本工资和津贴补贴以及规定比例为职工缴纳的住房公积金。</w:t>
      </w:r>
    </w:p>
    <w:p w14:paraId="6E22AB3E">
      <w:pPr>
        <w:spacing w:line="560" w:lineRule="exact"/>
        <w:ind w:firstLine="641"/>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eastAsia="方正仿宋_GBK" w:cs="Times New Roman"/>
          <w:kern w:val="2"/>
          <w:sz w:val="32"/>
          <w:szCs w:val="32"/>
          <w:highlight w:val="none"/>
          <w:lang w:val="en-US" w:eastAsia="zh-CN" w:bidi="ar-SA"/>
        </w:rPr>
        <w:t>0</w:t>
      </w:r>
      <w:r>
        <w:rPr>
          <w:rFonts w:hint="default" w:ascii="Times New Roman" w:hAnsi="Times New Roman" w:eastAsia="方正仿宋_GBK" w:cs="Times New Roman"/>
          <w:kern w:val="2"/>
          <w:sz w:val="32"/>
          <w:szCs w:val="32"/>
          <w:highlight w:val="none"/>
          <w:lang w:val="en-US" w:eastAsia="zh-CN" w:bidi="ar-SA"/>
        </w:rPr>
        <w:t>.基本支出：指为保障机构正常运转、完成日常工作任务而发生的人员支出和公用支出。</w:t>
      </w:r>
    </w:p>
    <w:p w14:paraId="29A579AD">
      <w:pPr>
        <w:spacing w:line="560" w:lineRule="exact"/>
        <w:ind w:firstLine="641"/>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.项目支出</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指在基本支出之外为完成特定行政任务和事业发展目标所发生的支出。</w:t>
      </w:r>
    </w:p>
    <w:p w14:paraId="505384DF">
      <w:pPr>
        <w:spacing w:line="560" w:lineRule="exact"/>
        <w:ind w:firstLine="641"/>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eastAsia="方正仿宋_GBK" w:cs="Times New Roman"/>
          <w:kern w:val="2"/>
          <w:sz w:val="32"/>
          <w:szCs w:val="32"/>
          <w:highlight w:val="none"/>
          <w:lang w:val="en-US" w:eastAsia="zh-CN" w:bidi="ar-SA"/>
        </w:rPr>
        <w:t>2</w:t>
      </w:r>
      <w:r>
        <w:rPr>
          <w:rFonts w:hint="eastAsia" w:ascii="Times New Roman" w:hAnsi="Times New Roman" w:eastAsia="方正仿宋_GBK" w:cs="Times New Roman"/>
          <w:kern w:val="2"/>
          <w:sz w:val="32"/>
          <w:szCs w:val="32"/>
          <w:highlight w:val="none"/>
          <w:lang w:val="en-US" w:eastAsia="zh-CN" w:bidi="ar-SA"/>
        </w:rPr>
        <w:t>.“三公”经费：指单位用财政拨款安排的因公出国（境）费、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14:paraId="2FA281BE">
      <w:pPr>
        <w:spacing w:line="560" w:lineRule="exact"/>
        <w:ind w:firstLine="641"/>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eastAsia" w:eastAsia="方正仿宋_GBK" w:cs="Times New Roman"/>
          <w:kern w:val="2"/>
          <w:sz w:val="32"/>
          <w:szCs w:val="32"/>
          <w:highlight w:val="none"/>
          <w:lang w:val="en-US" w:eastAsia="zh-CN" w:bidi="ar-SA"/>
        </w:rPr>
        <w:t>3</w:t>
      </w:r>
      <w:r>
        <w:rPr>
          <w:rFonts w:hint="eastAsia" w:ascii="Times New Roman" w:hAnsi="Times New Roman" w:eastAsia="方正仿宋_GBK" w:cs="Times New Roman"/>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02CECD">
      <w:pPr>
        <w:widowControl w:val="0"/>
        <w:spacing w:line="700" w:lineRule="exact"/>
        <w:jc w:val="both"/>
        <w:outlineLvl w:val="0"/>
        <w:rPr>
          <w:rStyle w:val="21"/>
          <w:rFonts w:hint="eastAsia" w:ascii="方正小标宋_GBK" w:hAnsi="方正小标宋_GBK" w:eastAsia="方正小标宋_GBK" w:cs="方正小标宋_GBK"/>
          <w:b/>
          <w:sz w:val="44"/>
          <w:szCs w:val="44"/>
        </w:rPr>
      </w:pPr>
    </w:p>
    <w:p w14:paraId="75E280D1">
      <w:pPr>
        <w:widowControl w:val="0"/>
        <w:spacing w:line="700" w:lineRule="exact"/>
        <w:jc w:val="center"/>
        <w:outlineLvl w:val="0"/>
        <w:rPr>
          <w:rStyle w:val="21"/>
          <w:rFonts w:hint="eastAsia" w:ascii="方正小标宋_GBK" w:hAnsi="方正小标宋_GBK" w:eastAsia="方正小标宋_GBK" w:cs="方正小标宋_GBK"/>
          <w:b/>
        </w:rPr>
      </w:pPr>
      <w:r>
        <w:rPr>
          <w:rStyle w:val="21"/>
          <w:rFonts w:hint="eastAsia" w:ascii="方正小标宋_GBK" w:hAnsi="方正小标宋_GBK" w:eastAsia="方正小标宋_GBK" w:cs="方正小标宋_GBK"/>
          <w:b/>
          <w:sz w:val="44"/>
          <w:szCs w:val="44"/>
        </w:rPr>
        <w:t>第</w:t>
      </w:r>
      <w:r>
        <w:rPr>
          <w:rStyle w:val="21"/>
          <w:rFonts w:hint="eastAsia" w:ascii="方正小标宋_GBK" w:hAnsi="方正小标宋_GBK" w:eastAsia="方正小标宋_GBK" w:cs="方正小标宋_GBK"/>
          <w:b/>
          <w:sz w:val="44"/>
          <w:szCs w:val="44"/>
          <w:lang w:eastAsia="zh-CN"/>
        </w:rPr>
        <w:t>四</w:t>
      </w:r>
      <w:r>
        <w:rPr>
          <w:rStyle w:val="21"/>
          <w:rFonts w:hint="eastAsia" w:ascii="方正小标宋_GBK" w:hAnsi="方正小标宋_GBK" w:eastAsia="方正小标宋_GBK" w:cs="方正小标宋_GBK"/>
          <w:b/>
        </w:rPr>
        <w:t>部分 附表</w:t>
      </w:r>
      <w:bookmarkEnd w:id="45"/>
      <w:bookmarkEnd w:id="46"/>
      <w:bookmarkStart w:id="47" w:name="_Toc15396619"/>
    </w:p>
    <w:p w14:paraId="757A1D5D">
      <w:pPr>
        <w:pStyle w:val="15"/>
        <w:adjustRightInd w:val="0"/>
        <w:snapToGrid w:val="0"/>
        <w:spacing w:line="560" w:lineRule="exact"/>
        <w:jc w:val="left"/>
        <w:rPr>
          <w:rFonts w:eastAsia="仿宋_GB2312" w:cs="仿宋_GB2312"/>
          <w:sz w:val="32"/>
          <w:szCs w:val="32"/>
        </w:rPr>
      </w:pPr>
    </w:p>
    <w:p w14:paraId="3484F06C">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7"/>
    </w:p>
    <w:p w14:paraId="3C97A16B">
      <w:pPr>
        <w:pStyle w:val="15"/>
        <w:adjustRightInd w:val="0"/>
        <w:snapToGrid w:val="0"/>
        <w:spacing w:line="560" w:lineRule="exact"/>
        <w:jc w:val="left"/>
        <w:rPr>
          <w:rFonts w:eastAsia="仿宋_GB2312" w:cs="仿宋_GB2312"/>
          <w:sz w:val="32"/>
          <w:szCs w:val="32"/>
        </w:rPr>
      </w:pPr>
      <w:bookmarkStart w:id="48" w:name="_Toc15396620"/>
      <w:r>
        <w:rPr>
          <w:rFonts w:hint="eastAsia" w:eastAsia="仿宋_GB2312" w:cs="仿宋_GB2312"/>
          <w:sz w:val="32"/>
          <w:szCs w:val="32"/>
        </w:rPr>
        <w:t>二、收入决算表</w:t>
      </w:r>
      <w:bookmarkEnd w:id="48"/>
    </w:p>
    <w:p w14:paraId="6D43EE39">
      <w:pPr>
        <w:pStyle w:val="15"/>
        <w:adjustRightInd w:val="0"/>
        <w:snapToGrid w:val="0"/>
        <w:spacing w:line="560" w:lineRule="exact"/>
        <w:jc w:val="left"/>
        <w:rPr>
          <w:rFonts w:eastAsia="仿宋_GB2312" w:cs="仿宋_GB2312"/>
          <w:sz w:val="32"/>
          <w:szCs w:val="32"/>
        </w:rPr>
      </w:pPr>
      <w:bookmarkStart w:id="49" w:name="_Toc15396621"/>
      <w:r>
        <w:rPr>
          <w:rFonts w:hint="eastAsia" w:eastAsia="仿宋_GB2312" w:cs="仿宋_GB2312"/>
          <w:sz w:val="32"/>
          <w:szCs w:val="32"/>
        </w:rPr>
        <w:t>三、支出决算表</w:t>
      </w:r>
      <w:bookmarkEnd w:id="49"/>
    </w:p>
    <w:p w14:paraId="3B06D02A">
      <w:pPr>
        <w:pStyle w:val="15"/>
        <w:adjustRightInd w:val="0"/>
        <w:snapToGrid w:val="0"/>
        <w:spacing w:line="560" w:lineRule="exact"/>
        <w:jc w:val="left"/>
        <w:rPr>
          <w:rFonts w:eastAsia="仿宋_GB2312" w:cs="仿宋_GB2312"/>
          <w:sz w:val="32"/>
          <w:szCs w:val="32"/>
        </w:rPr>
      </w:pPr>
      <w:bookmarkStart w:id="50" w:name="_Toc15396622"/>
      <w:r>
        <w:rPr>
          <w:rFonts w:hint="eastAsia" w:eastAsia="仿宋_GB2312" w:cs="仿宋_GB2312"/>
          <w:sz w:val="32"/>
          <w:szCs w:val="32"/>
        </w:rPr>
        <w:t>四、财政拨款收入支出决算总表</w:t>
      </w:r>
      <w:bookmarkEnd w:id="50"/>
    </w:p>
    <w:p w14:paraId="579759D6">
      <w:pPr>
        <w:pStyle w:val="15"/>
        <w:adjustRightInd w:val="0"/>
        <w:snapToGrid w:val="0"/>
        <w:spacing w:line="560" w:lineRule="exact"/>
        <w:jc w:val="left"/>
        <w:rPr>
          <w:rFonts w:eastAsia="仿宋_GB2312" w:cs="仿宋_GB2312"/>
          <w:sz w:val="32"/>
          <w:szCs w:val="32"/>
        </w:rPr>
      </w:pPr>
      <w:bookmarkStart w:id="51" w:name="_Toc15396623"/>
      <w:r>
        <w:rPr>
          <w:rFonts w:hint="eastAsia" w:eastAsia="仿宋_GB2312" w:cs="仿宋_GB2312"/>
          <w:sz w:val="32"/>
          <w:szCs w:val="32"/>
        </w:rPr>
        <w:t>五、财政拨款支出决算明细表</w:t>
      </w:r>
      <w:bookmarkEnd w:id="51"/>
      <w:bookmarkStart w:id="52" w:name="_Toc15396624"/>
    </w:p>
    <w:p w14:paraId="2C004D0B">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2"/>
    </w:p>
    <w:p w14:paraId="2FDE7BE3">
      <w:pPr>
        <w:pStyle w:val="15"/>
        <w:adjustRightInd w:val="0"/>
        <w:snapToGrid w:val="0"/>
        <w:spacing w:line="560" w:lineRule="exact"/>
        <w:jc w:val="left"/>
        <w:rPr>
          <w:rFonts w:eastAsia="仿宋_GB2312" w:cs="仿宋_GB2312"/>
          <w:sz w:val="32"/>
          <w:szCs w:val="32"/>
        </w:rPr>
      </w:pPr>
      <w:bookmarkStart w:id="53" w:name="_Toc15396625"/>
      <w:r>
        <w:rPr>
          <w:rFonts w:hint="eastAsia" w:eastAsia="仿宋_GB2312" w:cs="仿宋_GB2312"/>
          <w:sz w:val="32"/>
          <w:szCs w:val="32"/>
        </w:rPr>
        <w:t>七、一般公共预算财政拨款支出决算明细表</w:t>
      </w:r>
      <w:bookmarkEnd w:id="53"/>
    </w:p>
    <w:p w14:paraId="0FC33BC8">
      <w:pPr>
        <w:pStyle w:val="15"/>
        <w:adjustRightInd w:val="0"/>
        <w:snapToGrid w:val="0"/>
        <w:spacing w:line="560" w:lineRule="exact"/>
        <w:jc w:val="left"/>
        <w:rPr>
          <w:rFonts w:eastAsia="仿宋_GB2312" w:cs="仿宋_GB2312"/>
          <w:sz w:val="32"/>
          <w:szCs w:val="32"/>
        </w:rPr>
      </w:pPr>
      <w:bookmarkStart w:id="54" w:name="_Toc15396626"/>
      <w:r>
        <w:rPr>
          <w:rFonts w:hint="eastAsia" w:eastAsia="仿宋_GB2312" w:cs="仿宋_GB2312"/>
          <w:sz w:val="32"/>
          <w:szCs w:val="32"/>
        </w:rPr>
        <w:t>八、一般公共预算财政拨款基本支出决算表</w:t>
      </w:r>
      <w:bookmarkEnd w:id="54"/>
    </w:p>
    <w:p w14:paraId="59DEF4AB">
      <w:pPr>
        <w:pStyle w:val="15"/>
        <w:adjustRightInd w:val="0"/>
        <w:snapToGrid w:val="0"/>
        <w:spacing w:line="560" w:lineRule="exact"/>
        <w:jc w:val="left"/>
        <w:rPr>
          <w:rFonts w:eastAsia="仿宋_GB2312" w:cs="仿宋_GB2312"/>
          <w:sz w:val="32"/>
          <w:szCs w:val="32"/>
        </w:rPr>
      </w:pPr>
      <w:bookmarkStart w:id="55" w:name="_Toc15396627"/>
      <w:r>
        <w:rPr>
          <w:rFonts w:hint="eastAsia" w:eastAsia="仿宋_GB2312" w:cs="仿宋_GB2312"/>
          <w:sz w:val="32"/>
          <w:szCs w:val="32"/>
        </w:rPr>
        <w:t>九、一般公共预算财政拨款项目支出决算表</w:t>
      </w:r>
      <w:bookmarkEnd w:id="55"/>
    </w:p>
    <w:p w14:paraId="72B7CF32">
      <w:pPr>
        <w:pStyle w:val="15"/>
        <w:adjustRightInd w:val="0"/>
        <w:snapToGrid w:val="0"/>
        <w:spacing w:line="560" w:lineRule="exact"/>
        <w:jc w:val="left"/>
        <w:rPr>
          <w:rFonts w:eastAsia="仿宋_GB2312" w:cs="仿宋_GB2312"/>
          <w:sz w:val="32"/>
          <w:szCs w:val="32"/>
        </w:rPr>
      </w:pPr>
      <w:bookmarkStart w:id="56" w:name="_Toc15396628"/>
      <w:r>
        <w:rPr>
          <w:rFonts w:hint="eastAsia" w:eastAsia="仿宋_GB2312" w:cs="仿宋_GB2312"/>
          <w:sz w:val="32"/>
          <w:szCs w:val="32"/>
        </w:rPr>
        <w:t>十、</w:t>
      </w:r>
      <w:bookmarkEnd w:id="56"/>
      <w:r>
        <w:rPr>
          <w:rFonts w:hint="eastAsia" w:eastAsia="仿宋_GB2312" w:cs="仿宋_GB2312"/>
          <w:sz w:val="32"/>
          <w:szCs w:val="32"/>
        </w:rPr>
        <w:t>政府性基金预算财政拨款收入支出决算表</w:t>
      </w:r>
    </w:p>
    <w:p w14:paraId="6775A248">
      <w:pPr>
        <w:pStyle w:val="15"/>
        <w:adjustRightInd w:val="0"/>
        <w:snapToGrid w:val="0"/>
        <w:spacing w:line="560" w:lineRule="exact"/>
        <w:jc w:val="left"/>
        <w:rPr>
          <w:rFonts w:eastAsia="仿宋_GB2312" w:cs="仿宋_GB2312"/>
          <w:sz w:val="32"/>
          <w:szCs w:val="32"/>
        </w:rPr>
      </w:pPr>
      <w:bookmarkStart w:id="57" w:name="_Toc15396629"/>
      <w:r>
        <w:rPr>
          <w:rFonts w:hint="eastAsia" w:eastAsia="仿宋_GB2312" w:cs="仿宋_GB2312"/>
          <w:sz w:val="32"/>
          <w:szCs w:val="32"/>
        </w:rPr>
        <w:t>十一、</w:t>
      </w:r>
      <w:bookmarkEnd w:id="57"/>
      <w:r>
        <w:rPr>
          <w:rFonts w:hint="eastAsia" w:eastAsia="仿宋_GB2312" w:cs="仿宋_GB2312"/>
          <w:sz w:val="32"/>
          <w:szCs w:val="32"/>
        </w:rPr>
        <w:t>国有资本经营预算财政拨款收入支出决算表</w:t>
      </w:r>
    </w:p>
    <w:p w14:paraId="6F9D6C03">
      <w:pPr>
        <w:pStyle w:val="15"/>
        <w:adjustRightInd w:val="0"/>
        <w:snapToGrid w:val="0"/>
        <w:spacing w:line="560" w:lineRule="exact"/>
        <w:jc w:val="left"/>
        <w:rPr>
          <w:rFonts w:eastAsia="仿宋_GB2312" w:cs="仿宋_GB2312"/>
          <w:sz w:val="32"/>
          <w:szCs w:val="32"/>
        </w:rPr>
      </w:pPr>
      <w:bookmarkStart w:id="58" w:name="_Toc15396630"/>
      <w:r>
        <w:rPr>
          <w:rFonts w:hint="eastAsia" w:eastAsia="仿宋_GB2312" w:cs="仿宋_GB2312"/>
          <w:sz w:val="32"/>
          <w:szCs w:val="32"/>
        </w:rPr>
        <w:t>十二、</w:t>
      </w:r>
      <w:bookmarkEnd w:id="58"/>
      <w:r>
        <w:rPr>
          <w:rFonts w:hint="eastAsia" w:eastAsia="仿宋_GB2312" w:cs="仿宋_GB2312"/>
          <w:sz w:val="32"/>
          <w:szCs w:val="32"/>
        </w:rPr>
        <w:t>国有资本经营预算财政拨款支出决算表</w:t>
      </w:r>
    </w:p>
    <w:p w14:paraId="4FDEEA55">
      <w:pPr>
        <w:pStyle w:val="15"/>
        <w:adjustRightInd w:val="0"/>
        <w:snapToGrid w:val="0"/>
        <w:spacing w:line="560" w:lineRule="exact"/>
        <w:jc w:val="left"/>
        <w:rPr>
          <w:rFonts w:eastAsia="仿宋_GB2312" w:cs="仿宋_GB2312"/>
          <w:sz w:val="32"/>
          <w:szCs w:val="32"/>
        </w:rPr>
      </w:pPr>
      <w:bookmarkStart w:id="59" w:name="_Toc15396631"/>
      <w:r>
        <w:rPr>
          <w:rFonts w:hint="eastAsia" w:eastAsia="仿宋_GB2312" w:cs="仿宋_GB2312"/>
          <w:sz w:val="32"/>
          <w:szCs w:val="32"/>
        </w:rPr>
        <w:t>十三、</w:t>
      </w:r>
      <w:bookmarkEnd w:id="59"/>
      <w:r>
        <w:rPr>
          <w:rFonts w:hint="eastAsia" w:eastAsia="仿宋_GB2312" w:cs="仿宋_GB2312"/>
          <w:sz w:val="32"/>
          <w:szCs w:val="32"/>
        </w:rPr>
        <w:t>财政拨款“三公”经费支出决算表</w:t>
      </w:r>
    </w:p>
    <w:p w14:paraId="3A853A99"/>
    <w:sectPr>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B504">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36049">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536049">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533900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5F18">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5D7D3">
                          <w:pPr>
                            <w:pStyle w:val="11"/>
                            <w:keepNext w:val="0"/>
                            <w:keepLines w:val="0"/>
                            <w:pageBreakBefore w:val="0"/>
                            <w:widowControl w:val="0"/>
                            <w:kinsoku/>
                            <w:wordWrap/>
                            <w:overflowPunct/>
                            <w:topLinePunct w:val="0"/>
                            <w:autoSpaceDE/>
                            <w:autoSpaceDN/>
                            <w:bidi w:val="0"/>
                            <w:adjustRightInd/>
                            <w:snapToGrid w:val="0"/>
                            <w:ind w:right="134" w:rightChars="64" w:firstLine="179" w:firstLineChars="64"/>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D5D7D3">
                    <w:pPr>
                      <w:pStyle w:val="11"/>
                      <w:keepNext w:val="0"/>
                      <w:keepLines w:val="0"/>
                      <w:pageBreakBefore w:val="0"/>
                      <w:widowControl w:val="0"/>
                      <w:kinsoku/>
                      <w:wordWrap/>
                      <w:overflowPunct/>
                      <w:topLinePunct w:val="0"/>
                      <w:autoSpaceDE/>
                      <w:autoSpaceDN/>
                      <w:bidi w:val="0"/>
                      <w:adjustRightInd/>
                      <w:snapToGrid w:val="0"/>
                      <w:ind w:right="134" w:rightChars="64" w:firstLine="179" w:firstLineChars="64"/>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CF66">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posOffset>4428490</wp:posOffset>
              </wp:positionH>
              <wp:positionV relativeFrom="paragraph">
                <wp:posOffset>-9525</wp:posOffset>
              </wp:positionV>
              <wp:extent cx="1151890" cy="2463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51890"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30E14">
                          <w:pPr>
                            <w:pStyle w:val="1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8.7pt;margin-top:-0.75pt;height:19.4pt;width:90.7pt;mso-position-horizontal-relative:margin;z-index:251666432;mso-width-relative:page;mso-height-relative:page;" filled="f" stroked="f" coordsize="21600,21600" o:gfxdata="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zras2QAAAAkBAAAPAAAAAAAAAAEAIAAAACIAAABkcnMvZG93&#10;bnJldi54bWxQSwECFAAUAAAACACHTuJAjLxklTgCAABkBAAADgAAAAAAAAABACAAAAAoAQAAZHJz&#10;L2Uyb0RvYy54bWxQSwUGAAAAAAYABgBZAQAA0gUAAAAA&#10;">
              <v:fill on="f" focussize="0,0"/>
              <v:stroke on="f" weight="0.5pt"/>
              <v:imagedata o:title=""/>
              <o:lock v:ext="edit" aspectratio="f"/>
              <v:textbox inset="0mm,0mm,0mm,0mm">
                <w:txbxContent>
                  <w:p w14:paraId="40730E14">
                    <w:pPr>
                      <w:pStyle w:val="11"/>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6FF12">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46FF12">
                    <w:pPr>
                      <w:pStyle w:val="11"/>
                    </w:pPr>
                  </w:p>
                </w:txbxContent>
              </v:textbox>
            </v:shape>
          </w:pict>
        </mc:Fallback>
      </mc:AlternateContent>
    </w:r>
  </w:p>
  <w:p w14:paraId="6559D53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C9C4">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F6E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8FA3">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0B4E">
    <w:pPr>
      <w:pStyle w:val="12"/>
      <w:jc w:val="both"/>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9AA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19B9AA4">
                    <w:pPr>
                      <w:pStyle w:val="12"/>
                    </w:pPr>
                    <w:r>
                      <w:fldChar w:fldCharType="begin"/>
                    </w:r>
                    <w:r>
                      <w:instrText xml:space="preserve"> PAGE  \* MERGEFORMAT </w:instrText>
                    </w:r>
                    <w:r>
                      <w:fldChar w:fldCharType="separate"/>
                    </w:r>
                    <w:r>
                      <w:t>- 1 -</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555F6"/>
    <w:multiLevelType w:val="singleLevel"/>
    <w:tmpl w:val="C24555F6"/>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jdhZmVjY2JkNTc3ZTJjZjUwNzU2N2EwMDUxM2UifQ=="/>
  </w:docVars>
  <w:rsids>
    <w:rsidRoot w:val="00000000"/>
    <w:rsid w:val="028C1057"/>
    <w:rsid w:val="02F079B0"/>
    <w:rsid w:val="04AB0032"/>
    <w:rsid w:val="08206641"/>
    <w:rsid w:val="0865499C"/>
    <w:rsid w:val="0922463B"/>
    <w:rsid w:val="09300B06"/>
    <w:rsid w:val="0DA47D15"/>
    <w:rsid w:val="0E7D2A36"/>
    <w:rsid w:val="11AC0F46"/>
    <w:rsid w:val="1211524D"/>
    <w:rsid w:val="13987DB4"/>
    <w:rsid w:val="13CB7C36"/>
    <w:rsid w:val="151C4634"/>
    <w:rsid w:val="165322D8"/>
    <w:rsid w:val="18033447"/>
    <w:rsid w:val="18506ACF"/>
    <w:rsid w:val="191E3F2F"/>
    <w:rsid w:val="1BD856A8"/>
    <w:rsid w:val="1DEA52D0"/>
    <w:rsid w:val="1E6F1C79"/>
    <w:rsid w:val="20D83112"/>
    <w:rsid w:val="21611D4D"/>
    <w:rsid w:val="21713BAF"/>
    <w:rsid w:val="23895738"/>
    <w:rsid w:val="254554E2"/>
    <w:rsid w:val="258C1362"/>
    <w:rsid w:val="26E34FB2"/>
    <w:rsid w:val="27FE5634"/>
    <w:rsid w:val="28550131"/>
    <w:rsid w:val="2874680A"/>
    <w:rsid w:val="2920429C"/>
    <w:rsid w:val="2B7663F5"/>
    <w:rsid w:val="2B940F71"/>
    <w:rsid w:val="2CA84CD4"/>
    <w:rsid w:val="303B2773"/>
    <w:rsid w:val="311346E6"/>
    <w:rsid w:val="31794E91"/>
    <w:rsid w:val="328F13DA"/>
    <w:rsid w:val="36201D7F"/>
    <w:rsid w:val="37217B5C"/>
    <w:rsid w:val="37798244"/>
    <w:rsid w:val="38A10829"/>
    <w:rsid w:val="390F1C37"/>
    <w:rsid w:val="3BD57167"/>
    <w:rsid w:val="3CD70CBD"/>
    <w:rsid w:val="3DEF447E"/>
    <w:rsid w:val="3E682515"/>
    <w:rsid w:val="3EAA6689"/>
    <w:rsid w:val="3F2D1069"/>
    <w:rsid w:val="3F3F9F5C"/>
    <w:rsid w:val="3FAF1A7E"/>
    <w:rsid w:val="405014B2"/>
    <w:rsid w:val="416C231C"/>
    <w:rsid w:val="42462B6D"/>
    <w:rsid w:val="44337121"/>
    <w:rsid w:val="47354F5E"/>
    <w:rsid w:val="49B93C25"/>
    <w:rsid w:val="4D590BF1"/>
    <w:rsid w:val="506D39BB"/>
    <w:rsid w:val="50E05F3B"/>
    <w:rsid w:val="516C5A20"/>
    <w:rsid w:val="51C21AE4"/>
    <w:rsid w:val="524B3200"/>
    <w:rsid w:val="52677523"/>
    <w:rsid w:val="536A5F90"/>
    <w:rsid w:val="54813591"/>
    <w:rsid w:val="54AD082A"/>
    <w:rsid w:val="54AD6A7C"/>
    <w:rsid w:val="54E0475B"/>
    <w:rsid w:val="55990DAE"/>
    <w:rsid w:val="55AC0AE1"/>
    <w:rsid w:val="592310BA"/>
    <w:rsid w:val="599F0A7A"/>
    <w:rsid w:val="5A366BCB"/>
    <w:rsid w:val="5B6A2FD1"/>
    <w:rsid w:val="5CA638E1"/>
    <w:rsid w:val="5CC91F79"/>
    <w:rsid w:val="5D423AD9"/>
    <w:rsid w:val="60AF2DBC"/>
    <w:rsid w:val="60E52B12"/>
    <w:rsid w:val="6324615B"/>
    <w:rsid w:val="63BD210C"/>
    <w:rsid w:val="64275C13"/>
    <w:rsid w:val="64A63D3A"/>
    <w:rsid w:val="662D17CA"/>
    <w:rsid w:val="66D71736"/>
    <w:rsid w:val="68790CF7"/>
    <w:rsid w:val="6DD15131"/>
    <w:rsid w:val="6F06705D"/>
    <w:rsid w:val="71237A52"/>
    <w:rsid w:val="71CF7BDA"/>
    <w:rsid w:val="72071122"/>
    <w:rsid w:val="72BD5C84"/>
    <w:rsid w:val="72F42C94"/>
    <w:rsid w:val="74E76FE8"/>
    <w:rsid w:val="76D45B4F"/>
    <w:rsid w:val="7BE14791"/>
    <w:rsid w:val="7BEE234A"/>
    <w:rsid w:val="7E70004F"/>
    <w:rsid w:val="7FFD5F49"/>
    <w:rsid w:val="9E57CFC2"/>
    <w:rsid w:val="C6FD07B7"/>
    <w:rsid w:val="C7ADFF7C"/>
    <w:rsid w:val="CC3B8667"/>
    <w:rsid w:val="CD73D86F"/>
    <w:rsid w:val="D94F6093"/>
    <w:rsid w:val="FBFB0B62"/>
    <w:rsid w:val="FEEF4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paragraph" w:styleId="6">
    <w:name w:val="heading 4"/>
    <w:next w:val="1"/>
    <w:qFormat/>
    <w:uiPriority w:val="0"/>
    <w:pPr>
      <w:keepNext/>
      <w:keepLines/>
      <w:widowControl w:val="0"/>
      <w:spacing w:line="600" w:lineRule="exact"/>
      <w:jc w:val="both"/>
      <w:outlineLvl w:val="3"/>
    </w:pPr>
    <w:rPr>
      <w:rFonts w:ascii="Arial" w:hAnsi="Arial" w:eastAsia="仿宋_GB2312" w:cs="Times New Roman"/>
      <w:b/>
      <w:bCs/>
      <w:kern w:val="2"/>
      <w:sz w:val="28"/>
      <w:szCs w:val="28"/>
      <w:lang w:val="en-US" w:eastAsia="zh-CN" w:bidi="ar-SA"/>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hAnsi="仿宋_GB2312"/>
      <w:szCs w:val="32"/>
    </w:rPr>
  </w:style>
  <w:style w:type="paragraph" w:styleId="8">
    <w:name w:val="Body Text First Indent 2"/>
    <w:basedOn w:val="7"/>
    <w:qFormat/>
    <w:uiPriority w:val="0"/>
    <w:pPr>
      <w:ind w:firstLine="200" w:firstLineChars="200"/>
    </w:p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4">
    <w:name w:val="footnote text"/>
    <w:basedOn w:val="1"/>
    <w:next w:val="8"/>
    <w:qFormat/>
    <w:uiPriority w:val="0"/>
    <w:pPr>
      <w:snapToGrid w:val="0"/>
      <w:jc w:val="left"/>
    </w:pPr>
    <w:rPr>
      <w:sz w:val="18"/>
      <w:szCs w:val="18"/>
    </w:rPr>
  </w:style>
  <w:style w:type="paragraph" w:styleId="15">
    <w:name w:val="toc 2"/>
    <w:basedOn w:val="1"/>
    <w:next w:val="1"/>
    <w:qFormat/>
    <w:uiPriority w:val="0"/>
    <w:pPr>
      <w:tabs>
        <w:tab w:val="right" w:leader="dot" w:pos="8296"/>
      </w:tabs>
      <w:ind w:left="20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customStyle="1" w:styleId="21">
    <w:name w:val="heading 1 Char"/>
    <w:basedOn w:val="18"/>
    <w:link w:val="3"/>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8"/>
    <w:link w:val="4"/>
    <w:qFormat/>
    <w:uiPriority w:val="0"/>
    <w:rPr>
      <w:rFonts w:ascii="Cambria" w:hAnsi="Times New Roman" w:eastAsia="宋体" w:cs="Times New Roman"/>
      <w:b/>
      <w:bCs/>
      <w:kern w:val="2"/>
      <w:sz w:val="32"/>
      <w:szCs w:val="32"/>
      <w:lang w:val="en-US" w:eastAsia="zh-CN" w:bidi="ar-SA"/>
    </w:rPr>
  </w:style>
  <w:style w:type="paragraph" w:customStyle="1" w:styleId="2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8"/>
    <w:qFormat/>
    <w:uiPriority w:val="0"/>
    <w:rPr>
      <w:rFonts w:ascii="Times New Roman" w:hAnsi="Times New Roman"/>
      <w:sz w:val="18"/>
      <w:szCs w:val="18"/>
    </w:rPr>
  </w:style>
  <w:style w:type="character" w:customStyle="1" w:styleId="25">
    <w:name w:val="Footer Char"/>
    <w:basedOn w:val="18"/>
    <w:qFormat/>
    <w:uiPriority w:val="0"/>
    <w:rPr>
      <w:rFonts w:ascii="Times New Roman" w:hAnsi="Times New Roman"/>
      <w:sz w:val="18"/>
      <w:szCs w:val="18"/>
    </w:rPr>
  </w:style>
  <w:style w:type="character" w:customStyle="1" w:styleId="26">
    <w:name w:val="Body Text Char"/>
    <w:basedOn w:val="18"/>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0"/>
    <w:pPr>
      <w:ind w:firstLine="200" w:firstLineChars="200"/>
    </w:pPr>
  </w:style>
  <w:style w:type="paragraph" w:customStyle="1" w:styleId="29">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0">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1">
    <w:name w:val="四号正文"/>
    <w:basedOn w:val="1"/>
    <w:qFormat/>
    <w:uiPriority w:val="0"/>
    <w:pPr>
      <w:spacing w:line="360" w:lineRule="auto"/>
    </w:pPr>
    <w:rPr>
      <w:rFonts w:ascii="??" w:hAnsi="??"/>
      <w:color w:val="000000"/>
      <w:kern w:val="0"/>
      <w:sz w:val="28"/>
      <w:szCs w:val="21"/>
      <w:lang w:val="zh-CN"/>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3"/>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3">
    <w:name w:val="正文-公1"/>
    <w:basedOn w:val="32"/>
    <w:next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chart" Target="charts/chart2.xml"/><Relationship Id="rId12" Type="http://schemas.openxmlformats.org/officeDocument/2006/relationships/image" Target="media/image1.pn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5991;&#26723;&#30424;\2025&#24180;\2024&#24180;&#20915;&#31639;\&#20844;&#24320;\&#24066;&#23616;\2024&#24180;&#20915;&#31639;&#20844;&#24320;&#26609;&#29366;&#22270;5010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wserver\Desktop\2024&#24180;&#20915;&#31639;&#20844;&#24320;&#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5991;&#26723;&#30424;\2025&#24180;\2024&#24180;&#20915;&#31639;\&#20844;&#24320;\&#24066;&#23616;\2024&#24180;&#20915;&#31639;&#20844;&#24320;&#26609;&#29366;&#22270;5010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5991;&#26723;&#30424;\2025&#24180;\2024&#24180;&#20915;&#31639;\&#20844;&#24320;\&#24066;&#23616;\2024&#24180;&#20915;&#31639;&#20844;&#24320;&#26609;&#29366;&#22270;501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收入、支出决算总计变动情况图（单位：万元）</a:t>
            </a:r>
            <a:endParaRPr lang="zh-CN" altLang="en-US"/>
          </a:p>
        </c:rich>
      </c:tx>
      <c:layout>
        <c:manualLayout>
          <c:xMode val="edge"/>
          <c:yMode val="edge"/>
          <c:x val="0.094017094017094"/>
          <c:y val="0.0520833333333333"/>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'[2024年决算公开柱状图501001.xlsx]1'!$A$3:$A$6</c:f>
              <c:strCache>
                <c:ptCount val="4"/>
                <c:pt idx="0">
                  <c:v>2023年收入</c:v>
                </c:pt>
                <c:pt idx="1">
                  <c:v>2023年支出</c:v>
                </c:pt>
                <c:pt idx="2">
                  <c:v>2024年收入</c:v>
                </c:pt>
                <c:pt idx="3">
                  <c:v>2024年支出</c:v>
                </c:pt>
              </c:strCache>
            </c:strRef>
          </c:cat>
          <c:val>
            <c:numRef>
              <c:f>'[2024年决算公开柱状图501001.xlsx]1'!$B$3:$B$6</c:f>
              <c:numCache>
                <c:formatCode>General</c:formatCode>
                <c:ptCount val="4"/>
                <c:pt idx="0">
                  <c:v>1415.91</c:v>
                </c:pt>
                <c:pt idx="1">
                  <c:v>1415.91</c:v>
                </c:pt>
                <c:pt idx="2">
                  <c:v>1272.16</c:v>
                </c:pt>
                <c:pt idx="3">
                  <c:v>1272.16</c:v>
                </c:pt>
              </c:numCache>
            </c:numRef>
          </c:val>
        </c:ser>
        <c:dLbls>
          <c:showLegendKey val="0"/>
          <c:showVal val="1"/>
          <c:showCatName val="0"/>
          <c:showSerName val="0"/>
          <c:showPercent val="0"/>
          <c:showBubbleSize val="0"/>
        </c:dLbls>
        <c:gapWidth val="219"/>
        <c:overlap val="-27"/>
        <c:axId val="221479680"/>
        <c:axId val="221481984"/>
      </c:barChart>
      <c:catAx>
        <c:axId val="2214796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481984"/>
        <c:crosses val="autoZero"/>
        <c:auto val="1"/>
        <c:lblAlgn val="ctr"/>
        <c:lblOffset val="100"/>
        <c:noMultiLvlLbl val="0"/>
      </c:catAx>
      <c:valAx>
        <c:axId val="221481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479680"/>
        <c:crosses val="autoZero"/>
        <c:crossBetween val="between"/>
      </c:valAx>
      <c:spPr>
        <a:noFill/>
        <a:ln>
          <a:noFill/>
        </a:ln>
        <a:effectLst/>
      </c:spPr>
    </c:plotArea>
    <c:plotVisOnly val="1"/>
    <c:dispBlanksAs val="gap"/>
    <c:showDLblsOverMax val="0"/>
    <c:extLst>
      <c:ext uri="{0b15fc19-7d7d-44ad-8c2d-2c3a37ce22c3}">
        <chartProps xmlns="https://web.wps.cn/et/2018/main" chartId="{232f910a-c7dd-4ca0-bf00-95e425660049}"/>
      </c:ext>
    </c:extLst>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2024年支出决算结构图（单位：万元）</a:t>
            </a:r>
          </a:p>
        </c:rich>
      </c:tx>
      <c:layout>
        <c:manualLayout>
          <c:xMode val="edge"/>
          <c:yMode val="edge"/>
          <c:x val="0.161111111111111"/>
          <c:y val="0.00651041666666667"/>
        </c:manualLayout>
      </c:layout>
      <c:overlay val="0"/>
      <c:spPr>
        <a:noFill/>
        <a:ln>
          <a:noFill/>
        </a:ln>
        <a:effectLst/>
      </c:spPr>
    </c:title>
    <c:autoTitleDeleted val="0"/>
    <c:plotArea>
      <c:layout/>
      <c:pieChart>
        <c:varyColors val="1"/>
        <c:ser>
          <c:idx val="0"/>
          <c:order val="0"/>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Lbls>
            <c:dLbl>
              <c:idx val="0"/>
              <c:layout>
                <c:manualLayout>
                  <c:x val="0.102420856610801"/>
                  <c:y val="-0.0065104166666666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基本支出, 953.64</a:t>
                    </a:r>
                    <a:r>
                      <a:rPr lang="en-US" altLang="zh-CN"/>
                      <a:t>  74.96%</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535381750465549"/>
                  <c:y val="-0.00325520833333333"/>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项目支出, 318.5</a:t>
                    </a:r>
                    <a:r>
                      <a:rPr lang="en-US" altLang="zh-CN"/>
                      <a:t>2 25.04%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'3'!$A$2:$A$3</c:f>
              <c:strCache>
                <c:ptCount val="2"/>
                <c:pt idx="0">
                  <c:v>基本支出</c:v>
                </c:pt>
                <c:pt idx="1">
                  <c:v>项目支出</c:v>
                </c:pt>
              </c:strCache>
            </c:strRef>
          </c:cat>
          <c:val>
            <c:numRef>
              <c:f>'3'!$B$2:$B$3</c:f>
              <c:numCache>
                <c:formatCode>General</c:formatCode>
                <c:ptCount val="2"/>
                <c:pt idx="0">
                  <c:v>953.64</c:v>
                </c:pt>
                <c:pt idx="1">
                  <c:v>318.53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766d6fa9-fd69-41f7-aab5-22018ffd33f4}"/>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一般公共预算财政拨款支出决算结构（单位：万元）</a:t>
            </a:r>
          </a:p>
        </c:rich>
      </c:tx>
      <c:layout>
        <c:manualLayout>
          <c:xMode val="edge"/>
          <c:yMode val="edge"/>
          <c:x val="0.0665944123314065"/>
          <c:y val="0.0114810562571757"/>
        </c:manualLayout>
      </c:layout>
      <c:overlay val="0"/>
      <c:spPr>
        <a:noFill/>
        <a:ln>
          <a:noFill/>
        </a:ln>
        <a:effectLst/>
      </c:spPr>
    </c:title>
    <c:autoTitleDeleted val="0"/>
    <c:plotArea>
      <c:layout/>
      <c:pieChart>
        <c:varyColors val="1"/>
        <c:ser>
          <c:idx val="1"/>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229382614013482"/>
                  <c:y val="0.075561822531200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34585741811175"/>
                      <c:h val="0.134519709146575"/>
                    </c:manualLayout>
                  </c15:layout>
                </c:ext>
              </c:extLst>
            </c:dLbl>
            <c:dLbl>
              <c:idx val="2"/>
              <c:layout>
                <c:manualLayout>
                  <c:x val="-0.113167891873913"/>
                  <c:y val="0.075900975260381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41572185658685"/>
                  <c:y val="0.11342929309961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'[2024年决算公开柱状图501001.xlsx]6'!$A$1:$A$4</c:f>
              <c:strCache>
                <c:ptCount val="4"/>
                <c:pt idx="0">
                  <c:v>一般公共服务支出</c:v>
                </c:pt>
                <c:pt idx="1">
                  <c:v>社会保障和就业支出</c:v>
                </c:pt>
                <c:pt idx="2">
                  <c:v>卫生健康支出</c:v>
                </c:pt>
                <c:pt idx="3">
                  <c:v>住房保障支出</c:v>
                </c:pt>
              </c:strCache>
            </c:strRef>
          </c:cat>
          <c:val>
            <c:numRef>
              <c:f>'[2024年决算公开柱状图501001.xlsx]6'!$B$1:$B$4</c:f>
              <c:numCache>
                <c:formatCode>General</c:formatCode>
                <c:ptCount val="4"/>
                <c:pt idx="0">
                  <c:v>3.75</c:v>
                </c:pt>
                <c:pt idx="1">
                  <c:v>441.01</c:v>
                </c:pt>
                <c:pt idx="2">
                  <c:v>20.68</c:v>
                </c:pt>
                <c:pt idx="3">
                  <c:v>24.98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c12b0b0f-6e1a-400c-ba97-a842574f5c24}"/>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“三公”经费财政拨款支出结构</a:t>
            </a:r>
            <a:endParaRPr lang="zh-CN"/>
          </a:p>
          <a:p>
            <a:pPr>
              <a:defRPr lang="zh-CN" sz="1800" b="1" i="0" u="none" strike="noStrike" kern="1200" baseline="0">
                <a:solidFill>
                  <a:schemeClr val="tx1"/>
                </a:solidFill>
                <a:latin typeface="+mn-lt"/>
                <a:ea typeface="+mn-ea"/>
                <a:cs typeface="+mn-cs"/>
              </a:defRPr>
            </a:pPr>
            <a:r>
              <a:rPr lang="zh-CN"/>
              <a:t>（单位：万元）</a:t>
            </a:r>
            <a:endParaRPr lang="zh-CN"/>
          </a:p>
        </c:rich>
      </c:tx>
      <c:layout>
        <c:manualLayout>
          <c:xMode val="edge"/>
          <c:yMode val="edge"/>
          <c:x val="0.182196339434276"/>
          <c:y val="0.0484851295748377"/>
        </c:manualLayout>
      </c:layout>
      <c:overlay val="0"/>
    </c:title>
    <c:autoTitleDeleted val="0"/>
    <c:plotArea>
      <c:layout>
        <c:manualLayout>
          <c:layoutTarget val="inner"/>
          <c:xMode val="edge"/>
          <c:yMode val="edge"/>
          <c:x val="0.00499168053244592"/>
          <c:y val="0.302929460145007"/>
          <c:w val="0.945054945054945"/>
          <c:h val="0.690072639225182"/>
        </c:manualLayout>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5.66</a:t>
                    </a:r>
                    <a:endParaRPr lang="en-US" altLang="zh-CN"/>
                  </a:p>
                  <a:p>
                    <a:pPr defTabSz="914400">
                      <a:defRPr lang="zh-CN" sz="1000" b="0" i="0" u="none" strike="noStrike" kern="1200" baseline="0">
                        <a:solidFill>
                          <a:schemeClr val="tx1"/>
                        </a:solidFill>
                        <a:latin typeface="+mn-lt"/>
                        <a:ea typeface="+mn-ea"/>
                        <a:cs typeface="+mn-cs"/>
                      </a:defRPr>
                    </a:pPr>
                    <a:r>
                      <a:t>81%</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1.32   </a:t>
                    </a:r>
                    <a:endParaRPr lang="en-US" altLang="zh-CN"/>
                  </a:p>
                  <a:p>
                    <a:pPr defTabSz="914400">
                      <a:defRPr lang="zh-CN" sz="1000" b="0" i="0" u="none" strike="noStrike" kern="1200" baseline="0">
                        <a:solidFill>
                          <a:schemeClr val="tx1"/>
                        </a:solidFill>
                        <a:latin typeface="+mn-lt"/>
                        <a:ea typeface="+mn-ea"/>
                        <a:cs typeface="+mn-cs"/>
                      </a:defRPr>
                    </a:pPr>
                    <a:r>
                      <a:t>19%</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'[2024年决算公开柱状图501001.xlsx]7'!$A$1:$A$2</c:f>
              <c:strCache>
                <c:ptCount val="2"/>
                <c:pt idx="0" c:formatCode="0%">
                  <c:v>公务用车购置及运行维护费支出）</c:v>
                </c:pt>
                <c:pt idx="1">
                  <c:v>公务接待费支出</c:v>
                </c:pt>
              </c:strCache>
            </c:strRef>
          </c:cat>
          <c:val>
            <c:numRef>
              <c:f>'[2024年决算公开柱状图501001.xlsx]7'!$B$1:$B$2</c:f>
              <c:numCache>
                <c:formatCode>General</c:formatCode>
                <c:ptCount val="2"/>
                <c:pt idx="0">
                  <c:v>5.66</c:v>
                </c:pt>
                <c:pt idx="1">
                  <c:v>1.32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6041880542769"/>
          <c:y val="0.260532530680833"/>
          <c:w val="0.3406303324356"/>
          <c:h val="0.1662029023231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956f3c5-103c-41d5-838c-31c88d2c556c}"/>
      </c:ext>
    </c:extLst>
  </c:chart>
  <c:spPr>
    <a:ln w="9525" cap="flat" cmpd="sng" algn="ctr">
      <a:gradFill>
        <a:gsLst>
          <a:gs pos="80350">
            <a:srgbClr val="D5DFF2"/>
          </a:gs>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0">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21</Pages>
  <Words>6046</Words>
  <Characters>6635</Characters>
  <Lines>0</Lines>
  <Paragraphs>227</Paragraphs>
  <TotalTime>348</TotalTime>
  <ScaleCrop>false</ScaleCrop>
  <LinksUpToDate>false</LinksUpToDate>
  <CharactersWithSpaces>6758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2025-09-03T09:08:00Z</dcterms:created>
  <dc:creator>曹颖</dc:creator>
  <cp:lastModifiedBy>罗琳</cp:lastModifiedBy>
  <cp:lastPrinted>2025-08-08T17:34:00Z</cp:lastPrinted>
  <dcterms:modified xsi:type="dcterms:W3CDTF">2025-09-17T00:43:33Z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2533DA3072DF41CFB92336404E4AAABE_13</vt:lpwstr>
  </property>
  <property fmtid="{D5CDD505-2E9C-101B-9397-08002B2CF9AE}" pid="4" name="KSOTemplateDocerSaveRecord">
    <vt:lpwstr>eyJoZGlkIjoiOWY2ZDliODJkYTYxYWUyNTY0NjYxMjQ5YTEwOGU4N2QiLCJ1c2VySWQiOiI1NTIxNjQ2OTkifQ==</vt:lpwstr>
  </property>
</Properties>
</file>