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96475"/>
      <w:bookmarkStart w:id="1" w:name="_Toc15396597"/>
      <w:bookmarkStart w:id="2" w:name="_Toc15377425"/>
      <w:bookmarkStart w:id="3" w:name="_Toc15377193"/>
      <w:bookmarkStart w:id="4" w:name="_Toc15378441"/>
      <w:bookmarkStart w:id="5" w:name="_Toc15306267"/>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keepNext w:val="0"/>
        <w:keepLines w:val="0"/>
        <w:pageBreakBefore w:val="0"/>
        <w:widowControl w:val="0"/>
        <w:suppressAutoHyphens/>
        <w:kinsoku/>
        <w:wordWrap/>
        <w:overflowPunct/>
        <w:topLinePunct w:val="0"/>
        <w:autoSpaceDE/>
        <w:autoSpaceDN/>
        <w:bidi w:val="0"/>
        <w:adjustRightInd/>
        <w:snapToGrid/>
        <w:spacing w:before="0" w:beforeLines="-2147483648" w:after="0" w:line="700" w:lineRule="exact"/>
        <w:jc w:val="center"/>
        <w:textAlignment w:val="auto"/>
        <w:outlineLvl w:val="9"/>
        <w:rPr>
          <w:rFonts w:hint="eastAsia" w:ascii="Times New Roman" w:hAnsi="Times New Roman" w:eastAsia="方正小标宋_GBK" w:cs="Times New Roman"/>
          <w:b/>
          <w:kern w:val="2"/>
          <w:sz w:val="44"/>
          <w:szCs w:val="44"/>
          <w:lang w:val="en-US" w:eastAsia="zh-CN"/>
        </w:rPr>
      </w:pPr>
      <w:bookmarkStart w:id="6" w:name="_Toc15377426"/>
      <w:bookmarkStart w:id="7" w:name="_Toc15377194"/>
      <w:bookmarkStart w:id="8" w:name="_Toc15396476"/>
      <w:bookmarkStart w:id="9" w:name="_Toc15396598"/>
      <w:bookmarkStart w:id="10" w:name="_Toc15378442"/>
      <w:r>
        <w:rPr>
          <w:rFonts w:hint="eastAsia" w:ascii="Times New Roman" w:hAnsi="Times New Roman" w:eastAsia="方正小标宋_GBK" w:cs="Times New Roman"/>
          <w:b/>
          <w:kern w:val="2"/>
          <w:sz w:val="44"/>
          <w:szCs w:val="44"/>
          <w:lang w:val="en-US" w:eastAsia="zh-CN"/>
        </w:rPr>
        <w:t>2024年度四川省</w:t>
      </w:r>
      <w:bookmarkEnd w:id="5"/>
      <w:bookmarkStart w:id="11" w:name="_Toc15306268"/>
      <w:r>
        <w:rPr>
          <w:rFonts w:hint="eastAsia" w:ascii="Times New Roman" w:hAnsi="Times New Roman" w:eastAsia="方正小标宋_GBK" w:cs="Times New Roman"/>
          <w:b/>
          <w:kern w:val="2"/>
          <w:sz w:val="44"/>
          <w:szCs w:val="44"/>
          <w:lang w:val="en-US" w:eastAsia="zh-CN"/>
        </w:rPr>
        <w:t>攀枝花市儿童福利院</w:t>
      </w:r>
    </w:p>
    <w:p>
      <w:pPr>
        <w:pStyle w:val="8"/>
        <w:keepNext w:val="0"/>
        <w:keepLines w:val="0"/>
        <w:pageBreakBefore w:val="0"/>
        <w:widowControl w:val="0"/>
        <w:suppressAutoHyphens/>
        <w:kinsoku/>
        <w:wordWrap/>
        <w:overflowPunct/>
        <w:topLinePunct w:val="0"/>
        <w:autoSpaceDE/>
        <w:autoSpaceDN/>
        <w:bidi w:val="0"/>
        <w:adjustRightInd/>
        <w:snapToGrid/>
        <w:spacing w:before="0" w:beforeLines="-2147483648" w:after="0" w:line="700" w:lineRule="exact"/>
        <w:jc w:val="center"/>
        <w:textAlignment w:val="auto"/>
        <w:outlineLvl w:val="9"/>
        <w:rPr>
          <w:rFonts w:hint="eastAsia" w:ascii="Times New Roman" w:hAnsi="Times New Roman" w:eastAsia="方正小标宋_GBK" w:cs="Times New Roman"/>
          <w:b/>
          <w:kern w:val="2"/>
          <w:sz w:val="44"/>
          <w:szCs w:val="44"/>
          <w:lang w:val="en-US" w:eastAsia="zh-CN"/>
        </w:rPr>
      </w:pPr>
      <w:r>
        <w:rPr>
          <w:rFonts w:hint="eastAsia" w:ascii="Times New Roman" w:hAnsi="Times New Roman" w:eastAsia="方正小标宋_GBK" w:cs="Times New Roman"/>
          <w:b/>
          <w:kern w:val="2"/>
          <w:sz w:val="44"/>
          <w:szCs w:val="44"/>
          <w:lang w:val="en-US" w:eastAsia="zh-CN"/>
        </w:rPr>
        <w:t>单位决算</w:t>
      </w:r>
      <w:bookmarkEnd w:id="6"/>
      <w:bookmarkEnd w:id="7"/>
      <w:bookmarkEnd w:id="8"/>
      <w:bookmarkEnd w:id="9"/>
      <w:bookmarkEnd w:id="10"/>
      <w:bookmarkEnd w:id="11"/>
      <w:r>
        <w:rPr>
          <w:rFonts w:hint="eastAsia" w:ascii="Times New Roman" w:hAnsi="Times New Roman" w:eastAsia="方正小标宋_GBK" w:cs="Times New Roman"/>
          <w:b/>
          <w:kern w:val="2"/>
          <w:sz w:val="44"/>
          <w:szCs w:val="44"/>
          <w:lang w:val="en-US" w:eastAsia="zh-CN"/>
        </w:rPr>
        <w:t>公开文字说明</w:t>
      </w:r>
    </w:p>
    <w:p>
      <w:pPr>
        <w:widowControl/>
        <w:jc w:val="center"/>
        <w:rPr>
          <w:rFonts w:hint="eastAsia" w:ascii="方正黑体_GBK" w:hAnsi="方正黑体_GBK" w:eastAsia="方正黑体_GBK" w:cs="方正黑体_GBK"/>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Times New Roman" w:hAnsi="Times New Roman" w:eastAsia="黑体" w:cstheme="minorBidi"/>
          <w:color w:val="auto"/>
          <w:sz w:val="28"/>
          <w:szCs w:val="28"/>
          <w:highlight w:val="none"/>
        </w:rPr>
      </w:pPr>
      <w:r>
        <w:rPr>
          <w:rFonts w:hint="eastAsia" w:ascii="方正黑体_GBK" w:hAnsi="方正黑体_GBK" w:eastAsia="方正黑体_GBK" w:cs="方正黑体_GBK"/>
          <w:color w:val="auto"/>
          <w:sz w:val="48"/>
          <w:szCs w:val="48"/>
          <w:highlight w:val="none"/>
        </w:rPr>
        <w:t>目</w:t>
      </w:r>
      <w:r>
        <w:rPr>
          <w:rFonts w:hint="eastAsia" w:ascii="方正黑体_GBK" w:hAnsi="方正黑体_GBK" w:eastAsia="方正黑体_GBK" w:cs="方正黑体_GBK"/>
          <w:color w:val="auto"/>
          <w:sz w:val="48"/>
          <w:szCs w:val="48"/>
          <w:highlight w:val="none"/>
          <w:lang w:val="en-US" w:eastAsia="zh-CN"/>
        </w:rPr>
        <w:t xml:space="preserve">  </w:t>
      </w:r>
      <w:r>
        <w:rPr>
          <w:rFonts w:hint="eastAsia" w:ascii="方正黑体_GBK" w:hAnsi="方正黑体_GBK" w:eastAsia="方正黑体_GBK" w:cs="方正黑体_GBK"/>
          <w:color w:val="auto"/>
          <w:sz w:val="48"/>
          <w:szCs w:val="48"/>
          <w:highlight w:val="none"/>
        </w:rPr>
        <w:t>录</w:t>
      </w: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16</w:t>
      </w:r>
      <w:r>
        <w:rPr>
          <w:rFonts w:hint="eastAsia" w:ascii="Times New Roman" w:hAnsi="Times New Roman" w:eastAsia="仿宋_GB2312" w:cs="仿宋_GB2312"/>
          <w:color w:val="auto"/>
          <w:sz w:val="32"/>
          <w:szCs w:val="32"/>
          <w:highlight w:val="none"/>
        </w:rPr>
        <w:t>日</w:t>
      </w:r>
    </w:p>
    <w:p>
      <w:pPr>
        <w:rPr>
          <w:rFonts w:hint="eastAsia"/>
        </w:rPr>
      </w:pPr>
    </w:p>
    <w:p>
      <w:pPr>
        <w:pageBreakBefore w:val="0"/>
        <w:widowControl w:val="0"/>
        <w:kinsoku/>
        <w:wordWrap/>
        <w:overflowPunct/>
        <w:topLinePunct w:val="0"/>
        <w:autoSpaceDE/>
        <w:autoSpaceDN/>
        <w:bidi w:val="0"/>
        <w:spacing w:line="600" w:lineRule="exact"/>
        <w:textAlignment w:val="auto"/>
        <w:rPr>
          <w:rFonts w:ascii="Times New Roman" w:hAnsi="Times New Roman"/>
          <w:color w:val="auto"/>
          <w:highlight w:val="none"/>
        </w:rPr>
      </w:pP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第一部分 单位概况--------------------------------------------------1</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rPr>
      </w:pPr>
      <w:r>
        <w:rPr>
          <w:rFonts w:hint="eastAsia" w:ascii="Times New Roman" w:hAnsi="Times New Roman" w:eastAsia="仿宋_GB2312" w:cs="Times New Roman"/>
          <w:sz w:val="32"/>
        </w:rPr>
        <w:t>一、</w:t>
      </w:r>
      <w:r>
        <w:rPr>
          <w:rFonts w:hint="eastAsia" w:eastAsia="仿宋_GB2312" w:cs="Times New Roman"/>
          <w:sz w:val="32"/>
          <w:lang w:val="en-US" w:eastAsia="zh-CN"/>
        </w:rPr>
        <w:t>单位</w:t>
      </w:r>
      <w:r>
        <w:rPr>
          <w:rFonts w:hint="eastAsia" w:ascii="Times New Roman" w:hAnsi="Times New Roman" w:eastAsia="仿宋_GB2312" w:cs="Times New Roman"/>
          <w:sz w:val="32"/>
          <w:lang w:eastAsia="zh-CN"/>
        </w:rPr>
        <w:t>职责</w:t>
      </w:r>
      <w:r>
        <w:rPr>
          <w:rFonts w:hint="eastAsia" w:eastAsia="仿宋_GB2312" w:cs="Times New Roman"/>
          <w:sz w:val="32"/>
          <w:lang w:val="en-US" w:eastAsia="zh-CN"/>
        </w:rPr>
        <w:t>----------------------------------------------------------1</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sz w:val="32"/>
        </w:rPr>
        <w:t>二、机构设置</w:t>
      </w:r>
      <w:r>
        <w:rPr>
          <w:rFonts w:hint="eastAsia" w:eastAsia="仿宋_GB2312" w:cs="Times New Roman"/>
          <w:sz w:val="32"/>
          <w:lang w:val="en-US" w:eastAsia="zh-CN"/>
        </w:rPr>
        <w:t>----------------------------------------------------------1</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第二部分 2024年度单位决算情况说明--------------------------2</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一、收入支出决算总体情况说明</w:t>
      </w:r>
      <w:r>
        <w:rPr>
          <w:rFonts w:hint="eastAsia" w:eastAsia="仿宋_GB2312" w:cs="Times New Roman"/>
          <w:sz w:val="32"/>
          <w:lang w:val="en-US" w:eastAsia="zh-CN"/>
        </w:rPr>
        <w:t>----------------------------------2</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二、收入决算情况说明</w:t>
      </w:r>
      <w:r>
        <w:rPr>
          <w:rFonts w:hint="eastAsia" w:eastAsia="仿宋_GB2312" w:cs="Times New Roman"/>
          <w:sz w:val="32"/>
          <w:lang w:val="en-US" w:eastAsia="zh-CN"/>
        </w:rPr>
        <w:t>----------------------------------------------2</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三、支出决算情况说明</w:t>
      </w:r>
      <w:r>
        <w:rPr>
          <w:rFonts w:hint="eastAsia" w:eastAsia="仿宋_GB2312" w:cs="Times New Roman"/>
          <w:sz w:val="32"/>
          <w:lang w:val="en-US" w:eastAsia="zh-CN"/>
        </w:rPr>
        <w:t>----------------------------------------------3</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四、财政拨款收入支出决算总体情况说明</w:t>
      </w:r>
      <w:r>
        <w:rPr>
          <w:rFonts w:hint="eastAsia" w:eastAsia="仿宋_GB2312" w:cs="Times New Roman"/>
          <w:sz w:val="32"/>
          <w:lang w:val="en-US" w:eastAsia="zh-CN"/>
        </w:rPr>
        <w:t>-----------------------3</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五、一般公共预算财政拨款支出决算情况说明</w:t>
      </w:r>
      <w:r>
        <w:rPr>
          <w:rFonts w:hint="eastAsia" w:eastAsia="仿宋_GB2312" w:cs="Times New Roman"/>
          <w:sz w:val="32"/>
          <w:lang w:val="en-US" w:eastAsia="zh-CN"/>
        </w:rPr>
        <w:t>----------------4</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六、一般公共预算财政拨款基本支出决算情况说明</w:t>
      </w:r>
      <w:r>
        <w:rPr>
          <w:rFonts w:hint="eastAsia" w:eastAsia="仿宋_GB2312" w:cs="Times New Roman"/>
          <w:sz w:val="32"/>
          <w:lang w:val="en-US" w:eastAsia="zh-CN"/>
        </w:rPr>
        <w:t>-----------6</w:t>
      </w:r>
      <w:r>
        <w:rPr>
          <w:rFonts w:hint="eastAsia" w:ascii="Times New Roman" w:hAnsi="Times New Roman" w:eastAsia="仿宋_GB2312" w:cs="Times New Roman"/>
          <w:sz w:val="32"/>
        </w:rPr>
        <w:t>七、财政拨款</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三公”经费支出决算情况说明</w:t>
      </w:r>
      <w:r>
        <w:rPr>
          <w:rFonts w:hint="eastAsia" w:eastAsia="仿宋_GB2312" w:cs="Times New Roman"/>
          <w:sz w:val="32"/>
          <w:lang w:val="en-US" w:eastAsia="zh-CN"/>
        </w:rPr>
        <w:t>-----------------7</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八、政府性基金预算支出决算情况说明</w:t>
      </w:r>
      <w:r>
        <w:rPr>
          <w:rFonts w:hint="eastAsia" w:eastAsia="仿宋_GB2312" w:cs="Times New Roman"/>
          <w:sz w:val="32"/>
          <w:lang w:val="en-US" w:eastAsia="zh-CN"/>
        </w:rPr>
        <w:t>-------------------------9</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九、</w:t>
      </w:r>
      <w:r>
        <w:rPr>
          <w:rFonts w:hint="eastAsia" w:ascii="Times New Roman" w:hAnsi="Times New Roman" w:eastAsia="仿宋_GB2312" w:cs="Times New Roman"/>
          <w:sz w:val="32"/>
          <w:lang w:eastAsia="zh-CN"/>
        </w:rPr>
        <w:t>国</w:t>
      </w:r>
      <w:r>
        <w:rPr>
          <w:rFonts w:hint="eastAsia" w:ascii="Times New Roman" w:hAnsi="Times New Roman" w:eastAsia="仿宋_GB2312" w:cs="Times New Roman"/>
          <w:sz w:val="32"/>
        </w:rPr>
        <w:t>有资本经营预算支出决算情况说明</w:t>
      </w:r>
      <w:r>
        <w:rPr>
          <w:rFonts w:hint="eastAsia" w:eastAsia="仿宋_GB2312" w:cs="Times New Roman"/>
          <w:sz w:val="32"/>
          <w:lang w:val="en-US" w:eastAsia="zh-CN"/>
        </w:rPr>
        <w:t>----------------------9</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eastAsia="zh-CN"/>
        </w:rPr>
        <w:t>十</w:t>
      </w:r>
      <w:r>
        <w:rPr>
          <w:rFonts w:hint="eastAsia" w:ascii="Times New Roman" w:hAnsi="Times New Roman" w:eastAsia="仿宋_GB2312" w:cs="Times New Roman"/>
          <w:sz w:val="32"/>
        </w:rPr>
        <w:t>、其他重要事项的情况说明</w:t>
      </w:r>
      <w:r>
        <w:rPr>
          <w:rFonts w:hint="eastAsia" w:eastAsia="仿宋_GB2312" w:cs="Times New Roman"/>
          <w:sz w:val="32"/>
          <w:lang w:val="en-US" w:eastAsia="zh-CN"/>
        </w:rPr>
        <w:t>-------------------------------------9</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第三部分 名词解释-------------------------------------------------12第四部分 附件-------------------------------------------------------15</w:t>
      </w:r>
    </w:p>
    <w:p>
      <w:pPr>
        <w:pStyle w:val="13"/>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第五部分 附表-------------------------------------------------------16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一、收入支出决算总表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二、收入决算表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三、支出决算表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四、财政拨款收入支出决算总表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五、财政拨款支出决算明细表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六、一般公共预算财政拨款支出决算表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七、一般公共预算财政拨款支出决算明细表</w:t>
      </w:r>
      <w:r>
        <w:rPr>
          <w:rFonts w:hint="eastAsia" w:eastAsia="仿宋_GB2312" w:cs="Times New Roman"/>
          <w:sz w:val="32"/>
          <w:lang w:val="en-US" w:eastAsia="zh-CN"/>
        </w:rPr>
        <w:t>------------------16</w:t>
      </w:r>
      <w:r>
        <w:rPr>
          <w:rFonts w:hint="eastAsia" w:ascii="Times New Roman" w:hAnsi="Times New Roman" w:eastAsia="仿宋_GB2312" w:cs="Times New Roman"/>
          <w:sz w:val="32"/>
        </w:rPr>
        <w:t>八、一般公共预算财政拨款基本支出决算</w:t>
      </w:r>
      <w:r>
        <w:rPr>
          <w:rFonts w:hint="eastAsia" w:ascii="Times New Roman" w:hAnsi="Times New Roman" w:eastAsia="仿宋_GB2312" w:cs="Times New Roman"/>
          <w:sz w:val="32"/>
          <w:lang w:eastAsia="zh-CN"/>
        </w:rPr>
        <w:t>明细</w:t>
      </w:r>
      <w:r>
        <w:rPr>
          <w:rFonts w:hint="eastAsia" w:ascii="Times New Roman" w:hAnsi="Times New Roman" w:eastAsia="仿宋_GB2312" w:cs="Times New Roman"/>
          <w:sz w:val="32"/>
        </w:rPr>
        <w:t>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九、一般公共预算财政拨款项目支出决算表</w:t>
      </w:r>
      <w:r>
        <w:rPr>
          <w:rFonts w:hint="eastAsia" w:eastAsia="仿宋_GB2312" w:cs="Times New Roman"/>
          <w:sz w:val="32"/>
          <w:lang w:val="en-US" w:eastAsia="zh-CN"/>
        </w:rPr>
        <w:t>-------------------16</w:t>
      </w:r>
      <w:r>
        <w:rPr>
          <w:rFonts w:hint="eastAsia" w:ascii="Times New Roman" w:hAnsi="Times New Roman" w:eastAsia="仿宋_GB2312" w:cs="Times New Roman"/>
          <w:sz w:val="32"/>
        </w:rPr>
        <w:t>十、政府性基金预算财政拨款收入支出决算表</w:t>
      </w:r>
      <w:r>
        <w:rPr>
          <w:rFonts w:hint="eastAsia" w:eastAsia="仿宋_GB2312" w:cs="Times New Roman"/>
          <w:sz w:val="32"/>
          <w:lang w:val="en-US" w:eastAsia="zh-CN"/>
        </w:rPr>
        <w:t>---------------16</w:t>
      </w:r>
    </w:p>
    <w:p>
      <w:pPr>
        <w:pStyle w:val="14"/>
        <w:keepNext w:val="0"/>
        <w:keepLines w:val="0"/>
        <w:pageBreakBefore w:val="0"/>
        <w:widowControl w:val="0"/>
        <w:tabs>
          <w:tab w:val="right" w:leader="dot" w:pos="8845"/>
          <w:tab w:val="clear" w:pos="8296"/>
        </w:tabs>
        <w:kinsoku/>
        <w:wordWrap/>
        <w:overflowPunct/>
        <w:topLinePunct w:val="0"/>
        <w:autoSpaceDE/>
        <w:autoSpaceDN/>
        <w:bidi w:val="0"/>
        <w:spacing w:line="600" w:lineRule="exact"/>
        <w:ind w:left="0" w:leftChars="0" w:firstLine="0" w:firstLineChars="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rPr>
        <w:t>十一、国有资本经营预算财政拨款收入支出决算表</w:t>
      </w:r>
      <w:r>
        <w:rPr>
          <w:rFonts w:hint="eastAsia" w:eastAsia="仿宋_GB2312" w:cs="Times New Roman"/>
          <w:sz w:val="32"/>
          <w:lang w:val="en-US" w:eastAsia="zh-CN"/>
        </w:rPr>
        <w:t>---------16</w:t>
      </w:r>
      <w:r>
        <w:rPr>
          <w:rFonts w:hint="eastAsia" w:ascii="Times New Roman" w:hAnsi="Times New Roman" w:eastAsia="仿宋_GB2312" w:cs="Times New Roman"/>
          <w:sz w:val="32"/>
        </w:rPr>
        <w:t>十二、</w:t>
      </w:r>
      <w:r>
        <w:rPr>
          <w:rFonts w:hint="eastAsia" w:ascii="Times New Roman" w:hAnsi="Times New Roman" w:eastAsia="仿宋_GB2312" w:cs="Times New Roman"/>
          <w:sz w:val="32"/>
          <w:lang w:val="en-US" w:eastAsia="zh-CN"/>
        </w:rPr>
        <w:t>国有资本经营预算财政拨款支出决算表</w:t>
      </w:r>
      <w:r>
        <w:rPr>
          <w:rFonts w:hint="eastAsia" w:eastAsia="仿宋_GB2312" w:cs="Times New Roman"/>
          <w:sz w:val="32"/>
          <w:lang w:val="en-US" w:eastAsia="zh-CN"/>
        </w:rPr>
        <w:t>---------------16</w:t>
      </w:r>
      <w:r>
        <w:rPr>
          <w:rFonts w:hint="eastAsia" w:ascii="Times New Roman" w:hAnsi="Times New Roman" w:eastAsia="仿宋_GB2312" w:cs="Times New Roman"/>
          <w:sz w:val="32"/>
        </w:rPr>
        <w:t>十三、财政拨款“三公”经费支出决算表</w:t>
      </w:r>
      <w:r>
        <w:rPr>
          <w:rFonts w:hint="eastAsia" w:eastAsia="仿宋_GB2312" w:cs="Times New Roman"/>
          <w:sz w:val="32"/>
          <w:lang w:val="en-US" w:eastAsia="zh-CN"/>
        </w:rPr>
        <w:t>---------------------16</w:t>
      </w:r>
    </w:p>
    <w:p>
      <w:pPr>
        <w:pStyle w:val="5"/>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b w:val="0"/>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bookmarkStart w:id="12" w:name="_Toc15396599"/>
      <w:bookmarkStart w:id="13" w:name="_Toc15377196"/>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imes New Roman" w:hAnsi="Times New Roman" w:eastAsia="方正小标宋简体" w:cs="方正小标宋简体"/>
          <w:b w:val="0"/>
          <w:color w:val="auto"/>
          <w:highlight w:val="none"/>
          <w:lang w:val="en-US" w:eastAsia="zh-CN"/>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lang w:val="en-US" w:eastAsia="zh-CN"/>
        </w:rPr>
        <w:t>概况</w:t>
      </w:r>
      <w:bookmarkEnd w:id="12"/>
      <w:bookmarkEnd w:id="13"/>
    </w:p>
    <w:p>
      <w:pPr>
        <w:widowControl/>
        <w:jc w:val="left"/>
        <w:rPr>
          <w:rFonts w:ascii="Times New Roman" w:hAnsi="Times New Roman" w:eastAsia="黑体"/>
          <w:color w:val="auto"/>
          <w:sz w:val="32"/>
          <w:szCs w:val="32"/>
          <w:highlight w:val="none"/>
        </w:rPr>
      </w:pPr>
    </w:p>
    <w:p>
      <w:pPr>
        <w:tabs>
          <w:tab w:val="left" w:pos="553"/>
        </w:tabs>
        <w:spacing w:line="600" w:lineRule="exact"/>
        <w:outlineLvl w:val="1"/>
        <w:rPr>
          <w:rFonts w:hint="eastAsia" w:ascii="Times New Roman" w:hAnsi="Times New Roman" w:eastAsia="方正黑体_GBK" w:cs="Times New Roman"/>
          <w:kern w:val="2"/>
          <w:sz w:val="32"/>
          <w:szCs w:val="32"/>
          <w:lang w:val="en-US" w:eastAsia="zh-CN" w:bidi="ar-SA"/>
        </w:rPr>
      </w:pPr>
      <w:r>
        <w:rPr>
          <w:rFonts w:hint="eastAsia" w:eastAsia="方正黑体_GBK" w:cs="Times New Roman"/>
          <w:kern w:val="2"/>
          <w:sz w:val="32"/>
          <w:szCs w:val="32"/>
          <w:lang w:val="en-US" w:eastAsia="zh-CN" w:bidi="ar-SA"/>
        </w:rPr>
        <w:t>一、单位</w:t>
      </w:r>
      <w:r>
        <w:rPr>
          <w:rFonts w:hint="eastAsia" w:ascii="Times New Roman" w:hAnsi="Times New Roman" w:eastAsia="方正黑体_GBK" w:cs="Times New Roman"/>
          <w:kern w:val="2"/>
          <w:sz w:val="32"/>
          <w:szCs w:val="32"/>
          <w:lang w:val="en-US" w:eastAsia="zh-CN" w:bidi="ar-SA"/>
        </w:rPr>
        <w:t>职责</w:t>
      </w:r>
    </w:p>
    <w:p>
      <w:pPr>
        <w:pStyle w:val="15"/>
        <w:adjustRightInd w:val="0"/>
        <w:spacing w:line="600" w:lineRule="exact"/>
        <w:ind w:firstLine="640" w:firstLineChars="20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攀枝花市儿童福利院为市民政局下属全额拨款事业单位，承担全市无依无靠、无生活来源孤儿的收养、保育护理、康复治疗、特殊教学、就业培训以及为社会残疾</w:t>
      </w:r>
      <w:r>
        <w:rPr>
          <w:rFonts w:hint="eastAsia" w:eastAsia="方正仿宋_GBK" w:cs="Times New Roman"/>
          <w:bCs/>
          <w:color w:val="000000"/>
          <w:kern w:val="2"/>
          <w:sz w:val="32"/>
          <w:szCs w:val="32"/>
          <w:lang w:val="en-US" w:eastAsia="zh-CN" w:bidi="ar-SA"/>
        </w:rPr>
        <w:t>儿童</w:t>
      </w:r>
      <w:r>
        <w:rPr>
          <w:rFonts w:hint="eastAsia" w:ascii="Times New Roman" w:hAnsi="Times New Roman" w:eastAsia="方正仿宋_GBK" w:cs="Times New Roman"/>
          <w:bCs/>
          <w:color w:val="000000"/>
          <w:kern w:val="2"/>
          <w:sz w:val="32"/>
          <w:szCs w:val="32"/>
          <w:lang w:val="en-US" w:eastAsia="zh-CN" w:bidi="ar-SA"/>
        </w:rPr>
        <w:t>提供代养、康复治疗服务等工作。</w:t>
      </w:r>
    </w:p>
    <w:p>
      <w:pPr>
        <w:tabs>
          <w:tab w:val="left" w:pos="553"/>
        </w:tabs>
        <w:spacing w:line="600" w:lineRule="exact"/>
        <w:outlineLvl w:val="1"/>
        <w:rPr>
          <w:rFonts w:hint="eastAsia" w:eastAsia="方正黑体_GBK" w:cs="Times New Roman"/>
          <w:kern w:val="2"/>
          <w:sz w:val="32"/>
          <w:szCs w:val="32"/>
          <w:lang w:val="en-US" w:eastAsia="zh-CN" w:bidi="ar-SA"/>
        </w:rPr>
      </w:pPr>
      <w:bookmarkStart w:id="14" w:name="_Toc15377200"/>
      <w:bookmarkStart w:id="15" w:name="_Toc15396601"/>
      <w:r>
        <w:rPr>
          <w:rFonts w:hint="eastAsia" w:eastAsia="方正黑体_GBK" w:cs="Times New Roman"/>
          <w:kern w:val="2"/>
          <w:sz w:val="32"/>
          <w:szCs w:val="32"/>
          <w:lang w:val="en-US" w:eastAsia="zh-CN" w:bidi="ar-SA"/>
        </w:rPr>
        <w:t>二、机构设置</w:t>
      </w:r>
      <w:bookmarkEnd w:id="14"/>
      <w:bookmarkEnd w:id="15"/>
    </w:p>
    <w:p>
      <w:pPr>
        <w:pStyle w:val="15"/>
        <w:adjustRightInd w:val="0"/>
        <w:spacing w:line="600" w:lineRule="exact"/>
        <w:ind w:firstLine="640" w:firstLineChars="20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攀枝花市儿童福利院是二级预算单位，机构目前内设办公室、儿童服务股、安全管理股3个股室。</w:t>
      </w:r>
    </w:p>
    <w:p>
      <w:pPr>
        <w:pStyle w:val="15"/>
        <w:adjustRightInd w:val="0"/>
        <w:spacing w:line="600" w:lineRule="exact"/>
        <w:ind w:firstLine="640" w:firstLineChars="20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br w:type="page"/>
      </w: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imes New Roman" w:hAnsi="Times New Roman" w:eastAsia="方正小标宋_GBK" w:cs="Times New Roman"/>
          <w:b/>
          <w:bCs w:val="0"/>
          <w:kern w:val="2"/>
          <w:sz w:val="44"/>
          <w:szCs w:val="44"/>
          <w:lang w:val="en-US" w:eastAsia="zh-CN" w:bidi="ar-SA"/>
        </w:rPr>
      </w:pPr>
      <w:bookmarkStart w:id="16" w:name="_Toc15377204"/>
      <w:bookmarkStart w:id="17" w:name="_Toc15396602"/>
      <w:r>
        <w:rPr>
          <w:rFonts w:hint="eastAsia" w:ascii="Times New Roman" w:hAnsi="Times New Roman" w:eastAsia="方正小标宋_GBK" w:cs="Times New Roman"/>
          <w:b/>
          <w:bCs w:val="0"/>
          <w:kern w:val="2"/>
          <w:sz w:val="44"/>
          <w:szCs w:val="44"/>
          <w:lang w:val="en-US" w:eastAsia="zh-CN" w:bidi="ar-SA"/>
        </w:rPr>
        <w:t>第二部分  2024年度</w:t>
      </w:r>
      <w:r>
        <w:rPr>
          <w:rFonts w:hint="eastAsia" w:eastAsia="方正小标宋_GBK" w:cs="Times New Roman"/>
          <w:b/>
          <w:bCs w:val="0"/>
          <w:kern w:val="2"/>
          <w:sz w:val="44"/>
          <w:szCs w:val="44"/>
          <w:lang w:val="en-US" w:eastAsia="zh-CN" w:bidi="ar-SA"/>
        </w:rPr>
        <w:t>单位</w:t>
      </w:r>
      <w:r>
        <w:rPr>
          <w:rFonts w:hint="eastAsia" w:ascii="Times New Roman" w:hAnsi="Times New Roman" w:eastAsia="方正小标宋_GBK" w:cs="Times New Roman"/>
          <w:b/>
          <w:bCs w:val="0"/>
          <w:kern w:val="2"/>
          <w:sz w:val="44"/>
          <w:szCs w:val="44"/>
          <w:lang w:val="en-US" w:eastAsia="zh-CN" w:bidi="ar-SA"/>
        </w:rPr>
        <w:t>决算情况说明</w:t>
      </w:r>
      <w:bookmarkEnd w:id="16"/>
      <w:bookmarkEnd w:id="17"/>
    </w:p>
    <w:p>
      <w:pPr>
        <w:rPr>
          <w:rFonts w:ascii="Times New Roman" w:hAnsi="Times New Roman"/>
          <w:color w:val="auto"/>
          <w:highlight w:val="none"/>
        </w:rPr>
      </w:pP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18" w:name="_Toc15377205"/>
      <w:bookmarkStart w:id="19" w:name="_Toc15396603"/>
      <w:r>
        <w:rPr>
          <w:rFonts w:hint="eastAsia" w:ascii="Times New Roman" w:hAnsi="Times New Roman" w:eastAsia="方正黑体_GBK" w:cs="Times New Roman"/>
          <w:kern w:val="2"/>
          <w:sz w:val="32"/>
          <w:szCs w:val="32"/>
          <w:lang w:val="en-US" w:eastAsia="zh-CN" w:bidi="ar-SA"/>
        </w:rPr>
        <w:t>一、收入支出决算总体情况说明</w:t>
      </w:r>
      <w:bookmarkEnd w:id="18"/>
      <w:bookmarkEnd w:id="1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2024年度收入、支出总计均为651.8万元。与2023年度相比，收入、支出总计各减少95.36万元，下降12.76%。主要变动原因是2024年比2023年</w:t>
      </w:r>
      <w:r>
        <w:rPr>
          <w:rFonts w:hint="eastAsia" w:eastAsia="方正仿宋_GBK" w:cs="Times New Roman"/>
          <w:bCs/>
          <w:color w:val="000000"/>
          <w:kern w:val="2"/>
          <w:sz w:val="32"/>
          <w:szCs w:val="32"/>
          <w:lang w:val="en-US" w:eastAsia="zh-CN" w:bidi="ar-SA"/>
        </w:rPr>
        <w:t>预算</w:t>
      </w:r>
      <w:r>
        <w:rPr>
          <w:rFonts w:hint="eastAsia" w:ascii="Times New Roman" w:hAnsi="Times New Roman" w:eastAsia="方正仿宋_GBK" w:cs="Times New Roman"/>
          <w:bCs/>
          <w:color w:val="000000"/>
          <w:kern w:val="2"/>
          <w:sz w:val="32"/>
          <w:szCs w:val="32"/>
          <w:lang w:val="en-US" w:eastAsia="zh-CN" w:bidi="ar-SA"/>
        </w:rPr>
        <w:t>项目</w:t>
      </w:r>
      <w:r>
        <w:rPr>
          <w:rFonts w:hint="eastAsia" w:eastAsia="方正仿宋_GBK" w:cs="Times New Roman"/>
          <w:bCs/>
          <w:color w:val="000000"/>
          <w:kern w:val="2"/>
          <w:sz w:val="32"/>
          <w:szCs w:val="32"/>
          <w:lang w:val="en-US" w:eastAsia="zh-CN" w:bidi="ar-SA"/>
        </w:rPr>
        <w:t>经费收</w:t>
      </w:r>
      <w:r>
        <w:rPr>
          <w:rFonts w:hint="eastAsia" w:ascii="Times New Roman" w:hAnsi="Times New Roman" w:eastAsia="方正仿宋_GBK" w:cs="Times New Roman"/>
          <w:bCs/>
          <w:color w:val="000000"/>
          <w:kern w:val="2"/>
          <w:sz w:val="32"/>
          <w:szCs w:val="32"/>
          <w:lang w:val="en-US" w:eastAsia="zh-CN" w:bidi="ar-SA"/>
        </w:rPr>
        <w:t>支减少。</w:t>
      </w:r>
    </w:p>
    <w:p>
      <w:pPr>
        <w:pStyle w:val="8"/>
        <w:rPr>
          <w:rFonts w:hint="eastAsia" w:ascii="Times New Roman" w:hAnsi="Times New Roman" w:eastAsia="仿宋_GB2312" w:cs="仿宋_GB2312"/>
          <w:color w:val="auto"/>
          <w:sz w:val="32"/>
          <w:szCs w:val="32"/>
          <w:highlight w:val="none"/>
          <w:lang w:eastAsia="zh-CN"/>
        </w:rPr>
      </w:pPr>
      <w:r>
        <w:rPr>
          <w:rFonts w:hint="eastAsia" w:ascii="Times New Roman"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drawing>
          <wp:inline distT="0" distB="0" distL="114300" distR="114300">
            <wp:extent cx="4774565" cy="2785110"/>
            <wp:effectExtent l="4445" t="4445" r="21590" b="10795"/>
            <wp:docPr id="1" name="图表 1" descr="7b0a202020202263686172745265734964223a20223435353633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ind w:firstLine="1280" w:firstLineChars="400"/>
        <w:jc w:val="both"/>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（图1：收入、支出决算总计变动情况图）</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20" w:name="_Toc15396604"/>
      <w:bookmarkStart w:id="21" w:name="_Toc15377206"/>
      <w:r>
        <w:rPr>
          <w:rFonts w:hint="eastAsia" w:ascii="Times New Roman" w:hAnsi="Times New Roman" w:eastAsia="方正黑体_GBK" w:cs="Times New Roman"/>
          <w:kern w:val="2"/>
          <w:sz w:val="32"/>
          <w:szCs w:val="32"/>
          <w:lang w:val="en-US" w:eastAsia="zh-CN" w:bidi="ar-SA"/>
        </w:rPr>
        <w:t>二、收入决算情况说明</w:t>
      </w:r>
      <w:bookmarkEnd w:id="20"/>
      <w:bookmarkEnd w:id="21"/>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2024年度本年收入合计651.8万元，其中：一般公共预算财政拨款收入559.85万元，占85.89%；政府性基金预算财政拨款收入91.95万元，占14.1</w:t>
      </w:r>
      <w:r>
        <w:rPr>
          <w:rFonts w:hint="eastAsia" w:eastAsia="方正仿宋_GBK" w:cs="Times New Roman"/>
          <w:bCs/>
          <w:color w:val="000000"/>
          <w:kern w:val="2"/>
          <w:sz w:val="32"/>
          <w:szCs w:val="32"/>
          <w:lang w:val="en-US" w:eastAsia="zh-CN" w:bidi="ar-SA"/>
        </w:rPr>
        <w:t>1</w:t>
      </w:r>
      <w:r>
        <w:rPr>
          <w:rFonts w:hint="eastAsia" w:ascii="Times New Roman" w:hAnsi="Times New Roman" w:eastAsia="方正仿宋_GBK" w:cs="Times New Roman"/>
          <w:bCs/>
          <w:color w:val="000000"/>
          <w:kern w:val="2"/>
          <w:sz w:val="32"/>
          <w:szCs w:val="32"/>
          <w:lang w:val="en-US" w:eastAsia="zh-CN" w:bidi="ar-SA"/>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rPr>
          <w:rFonts w:hint="eastAsia" w:ascii="Times New Roman" w:hAnsi="Times New Roman" w:eastAsia="仿宋_GB2312" w:cs="仿宋_GB2312"/>
          <w:color w:val="auto"/>
          <w:sz w:val="32"/>
          <w:szCs w:val="32"/>
          <w:highlight w:val="none"/>
          <w:lang w:eastAsia="zh-CN"/>
        </w:rPr>
      </w:pPr>
    </w:p>
    <w:p>
      <w:pPr>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drawing>
          <wp:inline distT="0" distB="0" distL="114300" distR="114300">
            <wp:extent cx="4505325" cy="2665730"/>
            <wp:effectExtent l="4445" t="4445" r="5080"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方正仿宋_GBK" w:cs="Times New Roman"/>
          <w:bCs/>
          <w:color w:val="000000"/>
          <w:kern w:val="2"/>
          <w:sz w:val="32"/>
          <w:szCs w:val="32"/>
          <w:lang w:val="en-US" w:eastAsia="zh-CN" w:bidi="ar-SA"/>
        </w:rPr>
        <w:t>（图2：收入决算结构图）</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22" w:name="_Toc15396605"/>
      <w:bookmarkStart w:id="23" w:name="_Toc15377207"/>
      <w:r>
        <w:rPr>
          <w:rFonts w:hint="eastAsia" w:ascii="Times New Roman" w:hAnsi="Times New Roman" w:eastAsia="方正黑体_GBK" w:cs="Times New Roman"/>
          <w:kern w:val="2"/>
          <w:sz w:val="32"/>
          <w:szCs w:val="32"/>
          <w:lang w:val="en-US" w:eastAsia="zh-CN" w:bidi="ar-SA"/>
        </w:rPr>
        <w:t>三、支出决算情况说明</w:t>
      </w:r>
      <w:bookmarkEnd w:id="22"/>
      <w:bookmarkEnd w:id="2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2024年度本年支出合计651.8万元，其中：基本支出450.61万元，占69.13%；项目支出201.19万元，占30.8</w:t>
      </w:r>
      <w:r>
        <w:rPr>
          <w:rFonts w:hint="eastAsia" w:eastAsia="方正仿宋_GBK" w:cs="Times New Roman"/>
          <w:bCs/>
          <w:color w:val="000000"/>
          <w:kern w:val="2"/>
          <w:sz w:val="32"/>
          <w:szCs w:val="32"/>
          <w:lang w:val="en-US" w:eastAsia="zh-CN" w:bidi="ar-SA"/>
        </w:rPr>
        <w:t>7</w:t>
      </w:r>
      <w:r>
        <w:rPr>
          <w:rFonts w:hint="eastAsia" w:ascii="Times New Roman" w:hAnsi="Times New Roman" w:eastAsia="方正仿宋_GBK" w:cs="Times New Roman"/>
          <w:bCs/>
          <w:color w:val="000000"/>
          <w:kern w:val="2"/>
          <w:sz w:val="32"/>
          <w:szCs w:val="32"/>
          <w:lang w:val="en-US" w:eastAsia="zh-CN" w:bidi="ar-SA"/>
        </w:rPr>
        <w:t>%。</w:t>
      </w:r>
    </w:p>
    <w:p>
      <w:pPr>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drawing>
          <wp:inline distT="0" distB="0" distL="114300" distR="114300">
            <wp:extent cx="4666615" cy="2512060"/>
            <wp:effectExtent l="4445" t="5080" r="15240" b="16510"/>
            <wp:docPr id="4" name="图表 4"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800" w:firstLineChars="250"/>
        <w:jc w:val="center"/>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（图3：支出决算结构图）</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24" w:name="_Toc15377208"/>
      <w:bookmarkStart w:id="25" w:name="_Toc15396606"/>
      <w:r>
        <w:rPr>
          <w:rFonts w:hint="eastAsia" w:ascii="Times New Roman" w:hAnsi="Times New Roman" w:eastAsia="方正黑体_GBK" w:cs="Times New Roman"/>
          <w:kern w:val="2"/>
          <w:sz w:val="32"/>
          <w:szCs w:val="32"/>
          <w:lang w:val="en-US" w:eastAsia="zh-CN" w:bidi="ar-SA"/>
        </w:rPr>
        <w:t>四、财政拨款收入支出决算总体情况说明</w:t>
      </w:r>
      <w:bookmarkEnd w:id="24"/>
      <w:bookmarkEnd w:id="25"/>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2024年度财政拨款收入、支出总计均为651.8万元。与2023年度相比，财政拨款收入总计、支出总计各减少91.95万元，下降12.76%。主要变动原因是2024年比2023年</w:t>
      </w:r>
      <w:r>
        <w:rPr>
          <w:rFonts w:hint="eastAsia" w:eastAsia="方正仿宋_GBK" w:cs="Times New Roman"/>
          <w:bCs/>
          <w:color w:val="000000"/>
          <w:kern w:val="2"/>
          <w:sz w:val="32"/>
          <w:szCs w:val="32"/>
          <w:lang w:val="en-US" w:eastAsia="zh-CN" w:bidi="ar-SA"/>
        </w:rPr>
        <w:t>预算</w:t>
      </w:r>
      <w:r>
        <w:rPr>
          <w:rFonts w:hint="eastAsia" w:ascii="Times New Roman" w:hAnsi="Times New Roman" w:eastAsia="方正仿宋_GBK" w:cs="Times New Roman"/>
          <w:bCs/>
          <w:color w:val="000000"/>
          <w:kern w:val="2"/>
          <w:sz w:val="32"/>
          <w:szCs w:val="32"/>
          <w:lang w:val="en-US" w:eastAsia="zh-CN" w:bidi="ar-SA"/>
        </w:rPr>
        <w:t>项目</w:t>
      </w:r>
      <w:r>
        <w:rPr>
          <w:rFonts w:hint="eastAsia" w:eastAsia="方正仿宋_GBK" w:cs="Times New Roman"/>
          <w:bCs/>
          <w:color w:val="000000"/>
          <w:kern w:val="2"/>
          <w:sz w:val="32"/>
          <w:szCs w:val="32"/>
          <w:lang w:val="en-US" w:eastAsia="zh-CN" w:bidi="ar-SA"/>
        </w:rPr>
        <w:t>经费收</w:t>
      </w:r>
      <w:r>
        <w:rPr>
          <w:rFonts w:hint="eastAsia" w:ascii="Times New Roman" w:hAnsi="Times New Roman" w:eastAsia="方正仿宋_GBK" w:cs="Times New Roman"/>
          <w:bCs/>
          <w:color w:val="000000"/>
          <w:kern w:val="2"/>
          <w:sz w:val="32"/>
          <w:szCs w:val="32"/>
          <w:lang w:val="en-US" w:eastAsia="zh-CN" w:bidi="ar-SA"/>
        </w:rPr>
        <w:t>支减少。</w:t>
      </w:r>
    </w:p>
    <w:p>
      <w:pPr>
        <w:pStyle w:val="8"/>
        <w:rPr>
          <w:rFonts w:hint="eastAsia"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 xml:space="preserve">  </w:t>
      </w:r>
      <w:r>
        <w:rPr>
          <w:rFonts w:hint="eastAsia" w:eastAsia="仿宋_GB2312" w:cs="仿宋_GB2312"/>
          <w:color w:val="auto"/>
          <w:sz w:val="32"/>
          <w:szCs w:val="32"/>
          <w:highlight w:val="none"/>
          <w:lang w:val="en-US" w:eastAsia="zh-CN"/>
        </w:rPr>
        <w:drawing>
          <wp:inline distT="0" distB="0" distL="114300" distR="114300">
            <wp:extent cx="4491990" cy="2635250"/>
            <wp:effectExtent l="4445" t="4445" r="18415" b="8255"/>
            <wp:docPr id="5" name="图表 5"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（图4：财政拨款收、支决算总计变动情况）</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26" w:name="_Toc15377209"/>
      <w:bookmarkStart w:id="27" w:name="_Toc15396607"/>
      <w:r>
        <w:rPr>
          <w:rFonts w:hint="eastAsia" w:ascii="Times New Roman" w:hAnsi="Times New Roman" w:eastAsia="方正黑体_GBK" w:cs="Times New Roman"/>
          <w:kern w:val="2"/>
          <w:sz w:val="32"/>
          <w:szCs w:val="32"/>
          <w:lang w:val="en-US" w:eastAsia="zh-CN" w:bidi="ar-SA"/>
        </w:rPr>
        <w:t>五、一般公共预算财政拨款支出决算情况说明</w:t>
      </w:r>
      <w:bookmarkEnd w:id="26"/>
      <w:bookmarkEnd w:id="27"/>
    </w:p>
    <w:p>
      <w:pPr>
        <w:pStyle w:val="8"/>
        <w:suppressAutoHyphens/>
        <w:spacing w:before="0" w:beforeLines="-2147483648" w:after="0" w:line="240" w:lineRule="auto"/>
        <w:ind w:firstLine="643" w:firstLineChars="200"/>
        <w:outlineLvl w:val="1"/>
        <w:rPr>
          <w:rFonts w:hint="eastAsia" w:ascii="Times New Roman" w:hAnsi="Times New Roman" w:eastAsia="方正楷体_GBK" w:cs="Times New Roman"/>
          <w:b w:val="0"/>
          <w:bCs/>
          <w:kern w:val="2"/>
          <w:sz w:val="32"/>
          <w:szCs w:val="32"/>
        </w:rPr>
      </w:pPr>
      <w:bookmarkStart w:id="28" w:name="_Toc15377210"/>
      <w:r>
        <w:rPr>
          <w:rFonts w:hint="eastAsia" w:ascii="Times New Roman" w:hAnsi="Times New Roman" w:eastAsia="方正楷体_GBK" w:cs="Times New Roman"/>
          <w:b/>
          <w:bCs w:val="0"/>
          <w:kern w:val="2"/>
          <w:sz w:val="32"/>
          <w:szCs w:val="32"/>
        </w:rPr>
        <w:t>（一）一般公共预算财政拨款支出决算总体情况</w:t>
      </w:r>
      <w:bookmarkEnd w:id="28"/>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2024年度一般公共预算财政拨款支出559.85万元，占本年支出合计的85.89%。与2023年度相比，一般公共预算财政拨款支出减少12.88万元，下降2.25%。主要变动原因是2024年比2023年预算项目</w:t>
      </w:r>
      <w:r>
        <w:rPr>
          <w:rFonts w:hint="eastAsia" w:eastAsia="方正仿宋_GBK" w:cs="Times New Roman"/>
          <w:bCs/>
          <w:color w:val="000000"/>
          <w:kern w:val="2"/>
          <w:sz w:val="32"/>
          <w:szCs w:val="32"/>
          <w:lang w:val="en-US" w:eastAsia="zh-CN" w:bidi="ar-SA"/>
        </w:rPr>
        <w:t>经费</w:t>
      </w:r>
      <w:r>
        <w:rPr>
          <w:rFonts w:hint="eastAsia" w:ascii="Times New Roman" w:hAnsi="Times New Roman" w:eastAsia="方正仿宋_GBK" w:cs="Times New Roman"/>
          <w:bCs/>
          <w:color w:val="000000"/>
          <w:kern w:val="2"/>
          <w:sz w:val="32"/>
          <w:szCs w:val="32"/>
          <w:lang w:val="en-US" w:eastAsia="zh-CN" w:bidi="ar-SA"/>
        </w:rPr>
        <w:t>支出减少。</w:t>
      </w:r>
    </w:p>
    <w:p>
      <w:pPr>
        <w:pStyle w:val="8"/>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4545965" cy="2632075"/>
            <wp:effectExtent l="4445" t="4445" r="21590" b="68580"/>
            <wp:docPr id="6"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（图5：一般公共预算财政拨款支出决算变动情况）</w:t>
      </w:r>
    </w:p>
    <w:p>
      <w:pPr>
        <w:pStyle w:val="8"/>
        <w:suppressAutoHyphens/>
        <w:spacing w:before="0" w:beforeLines="-2147483648" w:after="0" w:line="240" w:lineRule="auto"/>
        <w:ind w:firstLine="643" w:firstLineChars="200"/>
        <w:outlineLvl w:val="1"/>
        <w:rPr>
          <w:rFonts w:hint="eastAsia" w:ascii="Times New Roman" w:hAnsi="Times New Roman" w:eastAsia="方正楷体_GBK" w:cs="Times New Roman"/>
          <w:b/>
          <w:bCs w:val="0"/>
          <w:kern w:val="2"/>
          <w:sz w:val="32"/>
          <w:szCs w:val="32"/>
        </w:rPr>
      </w:pPr>
      <w:bookmarkStart w:id="29" w:name="_Toc15377211"/>
      <w:r>
        <w:rPr>
          <w:rFonts w:hint="eastAsia" w:ascii="Times New Roman" w:hAnsi="Times New Roman" w:eastAsia="方正楷体_GBK" w:cs="Times New Roman"/>
          <w:b/>
          <w:bCs w:val="0"/>
          <w:kern w:val="2"/>
          <w:sz w:val="32"/>
          <w:szCs w:val="32"/>
        </w:rPr>
        <w:t>（二）一般公共预算财政拨款支出决算结构情况</w:t>
      </w:r>
      <w:bookmarkEnd w:id="29"/>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2024年度一般公共预算财政拨款支出559.85万元，主要用于以下方面：社会保障和就业支出502.33万元，占89.73%；卫生健康支出25.92万元，占4.63%；住房保障支出31.60万元，占5.64%。</w:t>
      </w:r>
    </w:p>
    <w:p>
      <w:pPr>
        <w:pStyle w:val="8"/>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drawing>
          <wp:inline distT="0" distB="0" distL="114300" distR="114300">
            <wp:extent cx="5256530" cy="2988310"/>
            <wp:effectExtent l="5080" t="4445" r="15240" b="17145"/>
            <wp:docPr id="9" name="图表 9"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（图6：一般公共预算财政拨款支出决算结构）</w:t>
      </w:r>
    </w:p>
    <w:p>
      <w:pPr>
        <w:pStyle w:val="8"/>
        <w:suppressAutoHyphens/>
        <w:spacing w:before="0" w:beforeLines="-2147483648" w:after="0" w:line="240" w:lineRule="auto"/>
        <w:ind w:firstLine="643" w:firstLineChars="200"/>
        <w:outlineLvl w:val="1"/>
        <w:rPr>
          <w:rFonts w:hint="eastAsia" w:ascii="Times New Roman" w:hAnsi="Times New Roman" w:eastAsia="方正楷体_GBK" w:cs="Times New Roman"/>
          <w:b/>
          <w:bCs w:val="0"/>
          <w:kern w:val="2"/>
          <w:sz w:val="32"/>
          <w:szCs w:val="32"/>
        </w:rPr>
      </w:pPr>
      <w:bookmarkStart w:id="30" w:name="_Toc15377212"/>
      <w:r>
        <w:rPr>
          <w:rFonts w:hint="eastAsia" w:ascii="Times New Roman" w:hAnsi="Times New Roman" w:eastAsia="方正楷体_GBK" w:cs="Times New Roman"/>
          <w:b/>
          <w:bCs w:val="0"/>
          <w:kern w:val="2"/>
          <w:sz w:val="32"/>
          <w:szCs w:val="32"/>
        </w:rPr>
        <w:t>（三）一般公共预算财政拨款支出决算具体情况</w:t>
      </w:r>
      <w:bookmarkEnd w:id="30"/>
    </w:p>
    <w:p>
      <w:pPr>
        <w:spacing w:line="600" w:lineRule="exact"/>
        <w:ind w:firstLine="640"/>
        <w:rPr>
          <w:rFonts w:hint="eastAsia" w:ascii="Times New Roman" w:hAnsi="Times New Roman" w:eastAsia="方正仿宋_GBK" w:cs="Times New Roman"/>
          <w:bCs/>
          <w:color w:val="000000"/>
          <w:kern w:val="2"/>
          <w:sz w:val="32"/>
          <w:szCs w:val="32"/>
          <w:lang w:val="en-US" w:eastAsia="zh-CN" w:bidi="ar-SA"/>
        </w:rPr>
      </w:pPr>
      <w:bookmarkStart w:id="31" w:name="_Toc15378460"/>
      <w:bookmarkStart w:id="32" w:name="_Toc15377444"/>
      <w:bookmarkStart w:id="33" w:name="_Toc15377213"/>
      <w:r>
        <w:rPr>
          <w:rFonts w:hint="eastAsia" w:ascii="Times New Roman" w:hAnsi="Times New Roman" w:eastAsia="方正仿宋_GBK" w:cs="Times New Roman"/>
          <w:bCs/>
          <w:color w:val="000000"/>
          <w:kern w:val="2"/>
          <w:sz w:val="32"/>
          <w:szCs w:val="32"/>
          <w:lang w:val="en-US" w:eastAsia="zh-CN" w:bidi="ar-SA"/>
        </w:rPr>
        <w:t>2024年度一般公共预算财政拨款支出决算数为559.85</w:t>
      </w:r>
      <w:r>
        <w:rPr>
          <w:rFonts w:hint="eastAsia" w:eastAsia="方正仿宋_GBK" w:cs="Times New Roman"/>
          <w:bCs/>
          <w:color w:val="000000"/>
          <w:kern w:val="2"/>
          <w:sz w:val="32"/>
          <w:szCs w:val="32"/>
          <w:lang w:val="en-US" w:eastAsia="zh-CN" w:bidi="ar-SA"/>
        </w:rPr>
        <w:t>万元</w:t>
      </w:r>
      <w:r>
        <w:rPr>
          <w:rFonts w:hint="eastAsia" w:ascii="Times New Roman" w:hAnsi="Times New Roman" w:eastAsia="方正仿宋_GBK" w:cs="Times New Roman"/>
          <w:bCs/>
          <w:color w:val="000000"/>
          <w:kern w:val="2"/>
          <w:sz w:val="32"/>
          <w:szCs w:val="32"/>
          <w:lang w:val="en-US" w:eastAsia="zh-CN" w:bidi="ar-SA"/>
        </w:rPr>
        <w:t>，完成预算100%。其中：</w:t>
      </w:r>
      <w:bookmarkEnd w:id="31"/>
      <w:bookmarkEnd w:id="32"/>
      <w:bookmarkEnd w:id="33"/>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1.社会保障和就业（类）行政事业单位养老支出（款）事业单位离退休（项）：支出决算为26.82万元，完成预算100%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2.社会保障和就业支出（类）行政事业单位养老支出（款）机关事业单位基本养老保险缴费支出（项）：支出决算为41.80万元，完成预算100%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3.社会保障和就业支出（类）行政事业单位养老支出（款）机关事业单位职业年金缴费支出（项）：支出决算7.48万元，完成预算100%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4.社会保障和就业支出（类）人力资源和社会保障管理事务（款）其他人力资源和社会保障管理事务支出（项）</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支出决算为12万元，完成预算100%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5.社会保障和就业（类）社会福利（款）儿童福利（项）: 支出决算为412.23万元，完成预算100%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6.社会保障和就业（类）其他生活救助（款）其他城市生活救助（项）：支出决算为2万元，完成预算100%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7.卫生健康支出（类）行政事业单位医疗（款）事业单位医疗（项）：支出决算为20.77万元，完成预算100%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8.卫生健康支出（类）行政事业单位医疗（款）公务员医疗补助（项）：支出决算为2.64万元，完成预算100%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9.卫生健康（类）行政事业单位医疗（款）其他行政事业单位医疗支出（项）：支出决算为2.51万元，完成预算100%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10.住房保障支出（类）住房改革支出（款）住房公积金（项）：支出决算为31.60万元，完成预算100%</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决算数等于预算数。</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34" w:name="_Toc15396608"/>
      <w:bookmarkStart w:id="35" w:name="_Toc15377214"/>
      <w:r>
        <w:rPr>
          <w:rFonts w:hint="eastAsia" w:ascii="Times New Roman" w:hAnsi="Times New Roman" w:eastAsia="方正黑体_GBK" w:cs="Times New Roman"/>
          <w:kern w:val="2"/>
          <w:sz w:val="32"/>
          <w:szCs w:val="32"/>
          <w:lang w:val="en-US" w:eastAsia="zh-CN" w:bidi="ar-SA"/>
        </w:rPr>
        <w:t>六、一般公共预算财政拨款基本支出决算情况说明</w:t>
      </w:r>
      <w:bookmarkEnd w:id="34"/>
      <w:bookmarkEnd w:id="35"/>
      <w:r>
        <w:rPr>
          <w:rFonts w:hint="eastAsia" w:ascii="Times New Roman" w:hAnsi="Times New Roman" w:eastAsia="方正黑体_GBK" w:cs="Times New Roman"/>
          <w:kern w:val="2"/>
          <w:sz w:val="32"/>
          <w:szCs w:val="32"/>
          <w:lang w:val="en-US" w:eastAsia="zh-CN" w:bidi="ar-SA"/>
        </w:rPr>
        <w:tab/>
      </w:r>
    </w:p>
    <w:p>
      <w:pPr>
        <w:ind w:firstLine="640" w:firstLineChars="200"/>
        <w:rPr>
          <w:rFonts w:hint="eastAsia" w:ascii="Times New Roman" w:hAnsi="Times New Roman" w:eastAsia="方正仿宋简体"/>
          <w:sz w:val="32"/>
          <w:szCs w:val="32"/>
          <w:lang w:val="en-US" w:eastAsia="zh-CN"/>
        </w:rPr>
      </w:pPr>
      <w:r>
        <w:rPr>
          <w:rFonts w:hint="eastAsia" w:ascii="Times New Roman" w:hAnsi="Times New Roman" w:eastAsia="方正仿宋_GBK" w:cs="Times New Roman"/>
          <w:kern w:val="2"/>
          <w:sz w:val="32"/>
          <w:szCs w:val="32"/>
          <w:lang w:val="en-US" w:eastAsia="zh-CN" w:bidi="ar-SA"/>
        </w:rPr>
        <w:t>2024年度一般公共预算财政拨款基本支出450.61万元，其中：</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人员经费418.27万元，主要包括：基本工资、津贴补贴、奖金、绩效工资、机关事业单位基本养老保险缴费、职业年金缴费、其他社会保障缴费、其他工资福利支出、生活补助、医疗费补助、住房公积金、其他对个人和家庭的补助支出等。</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　　公用经费32.34万元，主要包括：办公费、水费、电费、邮电费、咨询费、差旅费、维修（护）费、工会经费、福利费、公务用车运行维护费、公务接待费、委托业务费、其他商品和服务支出等。</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36" w:name="_Toc15396609"/>
      <w:bookmarkStart w:id="37" w:name="_Toc15377215"/>
      <w:r>
        <w:rPr>
          <w:rFonts w:hint="eastAsia" w:ascii="Times New Roman" w:hAnsi="Times New Roman" w:eastAsia="方正黑体_GBK" w:cs="Times New Roman"/>
          <w:kern w:val="2"/>
          <w:sz w:val="32"/>
          <w:szCs w:val="32"/>
          <w:lang w:val="en-US" w:eastAsia="zh-CN" w:bidi="ar-SA"/>
        </w:rPr>
        <w:t>七、财政拨款“三公”经费支出决算情况说明</w:t>
      </w:r>
      <w:bookmarkEnd w:id="36"/>
      <w:bookmarkEnd w:id="37"/>
    </w:p>
    <w:p>
      <w:pPr>
        <w:pStyle w:val="8"/>
        <w:suppressAutoHyphens/>
        <w:spacing w:before="0" w:beforeLines="-2147483648" w:after="0" w:line="240" w:lineRule="auto"/>
        <w:ind w:firstLine="643" w:firstLineChars="200"/>
        <w:outlineLvl w:val="1"/>
        <w:rPr>
          <w:rFonts w:hint="eastAsia" w:ascii="Times New Roman" w:hAnsi="Times New Roman" w:eastAsia="方正楷体_GBK" w:cs="Times New Roman"/>
          <w:b/>
          <w:bCs w:val="0"/>
          <w:kern w:val="2"/>
          <w:sz w:val="32"/>
          <w:szCs w:val="32"/>
        </w:rPr>
      </w:pPr>
      <w:bookmarkStart w:id="38" w:name="_Toc15377216"/>
      <w:r>
        <w:rPr>
          <w:rFonts w:hint="eastAsia" w:ascii="Times New Roman" w:hAnsi="Times New Roman" w:eastAsia="方正楷体_GBK" w:cs="Times New Roman"/>
          <w:b/>
          <w:bCs w:val="0"/>
          <w:kern w:val="2"/>
          <w:sz w:val="32"/>
          <w:szCs w:val="32"/>
        </w:rPr>
        <w:t>（一）“三公”经费财政拨款支出决算总体情况说明</w:t>
      </w:r>
      <w:bookmarkEnd w:id="38"/>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2024年度“三公”经费财政拨款支出决算为1.20万元，完成预算100%，较上年度增加0.03万元，增长2.56%。决算数与预算数持平。</w:t>
      </w:r>
    </w:p>
    <w:p>
      <w:pPr>
        <w:pStyle w:val="8"/>
        <w:suppressAutoHyphens/>
        <w:spacing w:before="0" w:beforeLines="-2147483648" w:after="0" w:line="240" w:lineRule="auto"/>
        <w:ind w:firstLine="643" w:firstLineChars="200"/>
        <w:outlineLvl w:val="1"/>
        <w:rPr>
          <w:rFonts w:hint="eastAsia" w:ascii="Times New Roman" w:hAnsi="Times New Roman" w:eastAsia="方正楷体_GBK" w:cs="Times New Roman"/>
          <w:b/>
          <w:bCs w:val="0"/>
          <w:kern w:val="2"/>
          <w:sz w:val="32"/>
          <w:szCs w:val="32"/>
        </w:rPr>
      </w:pPr>
      <w:bookmarkStart w:id="39" w:name="_Toc15377217"/>
      <w:r>
        <w:rPr>
          <w:rFonts w:hint="eastAsia" w:ascii="Times New Roman" w:hAnsi="Times New Roman" w:eastAsia="方正楷体_GBK" w:cs="Times New Roman"/>
          <w:b/>
          <w:bCs w:val="0"/>
          <w:kern w:val="2"/>
          <w:sz w:val="32"/>
          <w:szCs w:val="32"/>
        </w:rPr>
        <w:t>（二）“三公”经费财政拨款支出决算具体情况说明</w:t>
      </w:r>
      <w:bookmarkEnd w:id="39"/>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2024年度“三公”经费财政拨款支出决算中，因公出国（境）费支出决算0万元，占0%；公务用车购置及运行维护费支出决算1.134万元，占94.66%；公务接待费支出决算0.064万元，占5.34%。具体情况如下：</w:t>
      </w:r>
    </w:p>
    <w:p>
      <w:pPr>
        <w:pStyle w:val="8"/>
        <w:rPr>
          <w:rFonts w:hint="eastAsia" w:ascii="仿宋_GB2312" w:hAnsi="仿宋_GB2312" w:eastAsia="仿宋_GB2312" w:cs="仿宋_GB2312"/>
          <w:color w:val="auto"/>
          <w:kern w:val="2"/>
          <w:sz w:val="32"/>
          <w:szCs w:val="32"/>
          <w:highlight w:val="none"/>
          <w:lang w:val="en-US" w:eastAsia="zh-CN" w:bidi="ar-SA"/>
        </w:rPr>
      </w:pPr>
      <w:r>
        <w:rPr>
          <w:rFonts w:hint="eastAsia"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drawing>
          <wp:inline distT="0" distB="0" distL="114300" distR="114300">
            <wp:extent cx="4361815" cy="2484120"/>
            <wp:effectExtent l="4445" t="4445" r="15240" b="6985"/>
            <wp:docPr id="11" name="图表 1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（图7：“三公”经费财政拨款支出结构）</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1.因公出国（境）经费支出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万元，完成预算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%。全年安排因公出国（境）团组0次，出国（境）0人。因公出国（境）支出决算与2023年因公出国（境）支出决算数均为0。</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2.公务用车购置及运行维护费支出1.13</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万元，完成预算100%。公务用车购置及运行维护费支出决算比2023年度减少0.04万元，下降3.42%。主要原因是节约开支</w:t>
      </w:r>
      <w:r>
        <w:rPr>
          <w:rFonts w:hint="eastAsia" w:eastAsia="方正仿宋_GBK" w:cs="Times New Roman"/>
          <w:kern w:val="2"/>
          <w:sz w:val="32"/>
          <w:szCs w:val="32"/>
          <w:lang w:val="en-US" w:eastAsia="zh-CN" w:bidi="ar-SA"/>
        </w:rPr>
        <w:t>。</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其中：公务用车购置支出0万元。全年按规定更新购置公务用车0辆，其中：轿车0辆、金额0万元，越野车0辆、金额0万元，载客汽车0辆、金额0万元。截至2024年12月31日，单位共有公务用车1辆，其中：轿车1辆、越野车0辆、载客汽车0辆。</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公务用车运行维护费支出1.13</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万元。主要用于保障单位正常运转及完成特定工作任务等所需的公务用车燃料费、维修费、过路过桥费、保险费等支出。</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3.公务接待费支出0.06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万元，完成预算100%。公务接待费支出决算比2023年度增加0.06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万元，增长100%。主要原因是2023年未产生公务接待费，2024年产生了0.06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万元公务接待费。其中：</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国内公务接待支出0.06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万元，主要用于接待省厅调研组人员。国内公务接待1批次，2人次（不包括陪同人员），共计支出0.06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万元，具体内容包括：</w:t>
      </w:r>
      <w:r>
        <w:rPr>
          <w:rFonts w:hint="eastAsia" w:eastAsia="方正仿宋_GBK" w:cs="Times New Roman"/>
          <w:kern w:val="2"/>
          <w:sz w:val="32"/>
          <w:szCs w:val="32"/>
          <w:lang w:val="en-US" w:eastAsia="zh-CN" w:bidi="ar-SA"/>
        </w:rPr>
        <w:t>接待</w:t>
      </w:r>
      <w:r>
        <w:rPr>
          <w:rFonts w:hint="eastAsia" w:ascii="Times New Roman" w:hAnsi="Times New Roman" w:eastAsia="方正仿宋_GBK" w:cs="Times New Roman"/>
          <w:kern w:val="2"/>
          <w:sz w:val="32"/>
          <w:szCs w:val="32"/>
          <w:lang w:val="en-US" w:eastAsia="zh-CN" w:bidi="ar-SA"/>
        </w:rPr>
        <w:t>省厅“明天计划”调研人员及我院陪同人员产生的餐费0.06</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万元。</w:t>
      </w:r>
    </w:p>
    <w:p>
      <w:pPr>
        <w:ind w:firstLine="640" w:firstLineChars="200"/>
        <w:rPr>
          <w:rFonts w:hint="eastAsia" w:ascii="Times New Roman" w:hAnsi="Times New Roman" w:eastAsia="方正仿宋_GBK" w:cs="Times New Roman"/>
          <w:kern w:val="2"/>
          <w:sz w:val="32"/>
          <w:szCs w:val="32"/>
          <w:lang w:val="en-US" w:eastAsia="zh-CN" w:bidi="ar-SA"/>
        </w:rPr>
      </w:pPr>
      <w:bookmarkStart w:id="40" w:name="_Toc3601"/>
      <w:bookmarkStart w:id="41" w:name="_Toc15377218"/>
      <w:bookmarkStart w:id="42" w:name="_Toc15396610"/>
      <w:r>
        <w:rPr>
          <w:rFonts w:hint="eastAsia" w:ascii="Times New Roman" w:hAnsi="Times New Roman" w:eastAsia="方正仿宋_GBK" w:cs="Times New Roman"/>
          <w:kern w:val="2"/>
          <w:sz w:val="32"/>
          <w:szCs w:val="32"/>
          <w:lang w:val="en-US" w:eastAsia="zh-CN" w:bidi="ar-SA"/>
        </w:rPr>
        <w:t>外事接待支出0万元，外事接待0批次，0人次（不包括陪同人员），共计支出0万元。</w:t>
      </w:r>
      <w:bookmarkEnd w:id="40"/>
    </w:p>
    <w:p>
      <w:pPr>
        <w:spacing w:line="600" w:lineRule="exact"/>
        <w:ind w:firstLine="640"/>
        <w:outlineLvl w:val="1"/>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八、政府性基金预算支出决算情况说明</w:t>
      </w:r>
      <w:bookmarkEnd w:id="41"/>
      <w:bookmarkEnd w:id="42"/>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2024年度政府性基金预算财政拨款支出91.95万元，占本年支出合计的14.11%。与2023年度相比，政府性基金预算财政拨款支出减少82.48万元，下降47.29%。主要变动原因是2024年比2023年政府性基金预算项目支出减少。</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bookmarkStart w:id="43" w:name="_Toc15396611"/>
      <w:bookmarkStart w:id="44" w:name="_Toc15377219"/>
      <w:r>
        <w:rPr>
          <w:rFonts w:hint="eastAsia" w:ascii="Times New Roman" w:hAnsi="Times New Roman" w:eastAsia="方正黑体_GBK" w:cs="Times New Roman"/>
          <w:kern w:val="2"/>
          <w:sz w:val="32"/>
          <w:szCs w:val="32"/>
          <w:lang w:val="en-US" w:eastAsia="zh-CN" w:bidi="ar-SA"/>
        </w:rPr>
        <w:t>九、国有资本经营预算支出决算情况说明</w:t>
      </w:r>
      <w:bookmarkEnd w:id="43"/>
      <w:bookmarkEnd w:id="44"/>
    </w:p>
    <w:p>
      <w:pPr>
        <w:spacing w:line="600" w:lineRule="exact"/>
        <w:ind w:firstLine="640" w:firstLineChars="200"/>
        <w:rPr>
          <w:rFonts w:hint="eastAsia" w:ascii="Times New Roman" w:hAnsi="Times New Roman" w:eastAsia="方正仿宋简体"/>
          <w:bCs/>
          <w:sz w:val="32"/>
          <w:szCs w:val="32"/>
          <w:lang w:val="en-US" w:eastAsia="zh-CN"/>
        </w:rPr>
      </w:pPr>
      <w:bookmarkStart w:id="45" w:name="_Toc15396612"/>
      <w:bookmarkStart w:id="46" w:name="_Toc15377221"/>
      <w:r>
        <w:rPr>
          <w:rFonts w:hint="eastAsia" w:ascii="Times New Roman" w:hAnsi="Times New Roman" w:eastAsia="方正仿宋_GBK" w:cs="Times New Roman"/>
          <w:kern w:val="2"/>
          <w:sz w:val="32"/>
          <w:szCs w:val="32"/>
          <w:lang w:val="en-US" w:eastAsia="zh-CN" w:bidi="ar-SA"/>
        </w:rPr>
        <w:t>2024年度国有资本经营预算财政拨款支出0万元。</w:t>
      </w:r>
    </w:p>
    <w:p>
      <w:pPr>
        <w:spacing w:line="600" w:lineRule="exact"/>
        <w:ind w:firstLine="640"/>
        <w:outlineLvl w:val="1"/>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十、其他重要事项的情况说明</w:t>
      </w:r>
      <w:bookmarkEnd w:id="45"/>
      <w:bookmarkEnd w:id="46"/>
    </w:p>
    <w:p>
      <w:pPr>
        <w:spacing w:line="600" w:lineRule="exact"/>
        <w:ind w:firstLine="643" w:firstLineChars="200"/>
        <w:outlineLvl w:val="2"/>
        <w:rPr>
          <w:rFonts w:hint="eastAsia" w:ascii="Times New Roman" w:hAnsi="Times New Roman" w:eastAsia="方正楷体_GBK" w:cs="Times New Roman"/>
          <w:b/>
          <w:bCs w:val="0"/>
          <w:kern w:val="2"/>
          <w:sz w:val="32"/>
          <w:szCs w:val="32"/>
          <w:lang w:val="en-US" w:eastAsia="zh-CN" w:bidi="ar-SA"/>
        </w:rPr>
      </w:pPr>
      <w:bookmarkStart w:id="47" w:name="_Toc15377222"/>
      <w:r>
        <w:rPr>
          <w:rFonts w:hint="eastAsia" w:ascii="Times New Roman" w:hAnsi="Times New Roman" w:eastAsia="方正楷体_GBK" w:cs="Times New Roman"/>
          <w:b/>
          <w:bCs w:val="0"/>
          <w:kern w:val="2"/>
          <w:sz w:val="32"/>
          <w:szCs w:val="32"/>
          <w:lang w:val="en-US" w:eastAsia="zh-CN" w:bidi="ar-SA"/>
        </w:rPr>
        <w:t>（一）机关运行经费支出情况</w:t>
      </w:r>
      <w:bookmarkEnd w:id="47"/>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2024年度，攀枝花市儿童福利院无机关运行经费支出。</w:t>
      </w:r>
    </w:p>
    <w:p>
      <w:pPr>
        <w:spacing w:line="600" w:lineRule="exact"/>
        <w:ind w:firstLine="643" w:firstLineChars="200"/>
        <w:outlineLvl w:val="2"/>
        <w:rPr>
          <w:rFonts w:hint="eastAsia" w:ascii="Times New Roman" w:hAnsi="Times New Roman" w:eastAsia="方正楷体_GBK" w:cs="Times New Roman"/>
          <w:b/>
          <w:bCs w:val="0"/>
          <w:kern w:val="2"/>
          <w:sz w:val="32"/>
          <w:szCs w:val="32"/>
          <w:lang w:val="en-US" w:eastAsia="zh-CN" w:bidi="ar-SA"/>
        </w:rPr>
      </w:pPr>
      <w:bookmarkStart w:id="48" w:name="_Toc15377223"/>
      <w:r>
        <w:rPr>
          <w:rFonts w:hint="eastAsia" w:ascii="Times New Roman" w:hAnsi="Times New Roman" w:eastAsia="方正楷体_GBK" w:cs="Times New Roman"/>
          <w:b/>
          <w:bCs w:val="0"/>
          <w:kern w:val="2"/>
          <w:sz w:val="32"/>
          <w:szCs w:val="32"/>
          <w:lang w:val="en-US" w:eastAsia="zh-CN" w:bidi="ar-SA"/>
        </w:rPr>
        <w:t>（二）政府采购支出情况</w:t>
      </w:r>
      <w:bookmarkEnd w:id="48"/>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攀枝花市儿童福利院政府采购支出总额5.5万元，其中：政府采购货物支出5.2万元、政府采购工程支出0万元、政府采购服务支出0.3万元。政府采购货物主要用于柜式空调3台，2.29万元，挂式空调9台，2.91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合计5.20万元；政府采购服务</w:t>
      </w:r>
      <w:r>
        <w:rPr>
          <w:rFonts w:hint="eastAsia" w:eastAsia="方正仿宋_GBK" w:cs="Times New Roman"/>
          <w:kern w:val="2"/>
          <w:sz w:val="32"/>
          <w:szCs w:val="32"/>
          <w:lang w:val="en-US" w:eastAsia="zh-CN" w:bidi="ar-SA"/>
        </w:rPr>
        <w:t>主要用于</w:t>
      </w:r>
      <w:r>
        <w:rPr>
          <w:rFonts w:hint="eastAsia" w:ascii="Times New Roman" w:hAnsi="Times New Roman" w:eastAsia="方正仿宋_GBK" w:cs="Times New Roman"/>
          <w:kern w:val="2"/>
          <w:sz w:val="32"/>
          <w:szCs w:val="32"/>
          <w:lang w:val="en-US" w:eastAsia="zh-CN" w:bidi="ar-SA"/>
        </w:rPr>
        <w:t>采购车辆维修和保养服务0.14万元，采购车辆加油、添加燃料服务0.16万元，合计0.30万元。授予中小企业合同金额5.5万元，占政府采购支出总额的100%，其中：授予小微企业合同金额5.34万元，占政府采购支出总额的97.09%。</w:t>
      </w:r>
    </w:p>
    <w:p>
      <w:pPr>
        <w:spacing w:line="600" w:lineRule="exact"/>
        <w:ind w:firstLine="643" w:firstLineChars="200"/>
        <w:outlineLvl w:val="2"/>
        <w:rPr>
          <w:rFonts w:hint="eastAsia" w:ascii="Times New Roman" w:hAnsi="Times New Roman" w:eastAsia="方正楷体_GBK" w:cs="Times New Roman"/>
          <w:b/>
          <w:bCs w:val="0"/>
          <w:kern w:val="2"/>
          <w:sz w:val="32"/>
          <w:szCs w:val="32"/>
          <w:lang w:val="en-US" w:eastAsia="zh-CN" w:bidi="ar-SA"/>
        </w:rPr>
      </w:pPr>
      <w:bookmarkStart w:id="49" w:name="_Toc15377224"/>
      <w:r>
        <w:rPr>
          <w:rFonts w:hint="eastAsia" w:ascii="Times New Roman" w:hAnsi="Times New Roman" w:eastAsia="方正楷体_GBK" w:cs="Times New Roman"/>
          <w:b/>
          <w:bCs w:val="0"/>
          <w:kern w:val="2"/>
          <w:sz w:val="32"/>
          <w:szCs w:val="32"/>
          <w:lang w:val="en-US" w:eastAsia="zh-CN" w:bidi="ar-SA"/>
        </w:rPr>
        <w:t>（三）国有资产占有使用情况</w:t>
      </w:r>
      <w:bookmarkEnd w:id="49"/>
    </w:p>
    <w:p>
      <w:pPr>
        <w:ind w:firstLine="640" w:firstLineChars="200"/>
        <w:rPr>
          <w:rFonts w:hint="eastAsia" w:ascii="Times New Roman" w:hAnsi="Times New Roman" w:eastAsia="方正仿宋_GBK" w:cs="Times New Roman"/>
          <w:kern w:val="2"/>
          <w:sz w:val="32"/>
          <w:szCs w:val="32"/>
          <w:lang w:val="en-US" w:eastAsia="zh-CN" w:bidi="ar-SA"/>
        </w:rPr>
      </w:pPr>
      <w:bookmarkStart w:id="72" w:name="_GoBack"/>
      <w:r>
        <w:rPr>
          <w:rFonts w:hint="eastAsia" w:ascii="Times New Roman" w:hAnsi="Times New Roman" w:eastAsia="方正仿宋_GBK" w:cs="Times New Roman"/>
          <w:kern w:val="2"/>
          <w:sz w:val="32"/>
          <w:szCs w:val="32"/>
          <w:lang w:val="en-US" w:eastAsia="zh-CN" w:bidi="ar-SA"/>
        </w:rPr>
        <w:t>截至2024年12月31日，攀枝花市儿童福利院共有车辆1辆，其中：主要领导干部用车0辆、机要通信用车0辆、应急保障用车0辆、其他用车1辆。单价50万元以上通用设备0台，单价100万元以上专用设备（不含车辆）0台。</w:t>
      </w:r>
    </w:p>
    <w:bookmarkEnd w:id="72"/>
    <w:p>
      <w:pPr>
        <w:spacing w:line="600" w:lineRule="exact"/>
        <w:ind w:firstLine="643" w:firstLineChars="200"/>
        <w:outlineLvl w:val="2"/>
        <w:rPr>
          <w:rFonts w:hint="eastAsia"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（四）预算绩效管理情况</w:t>
      </w:r>
    </w:p>
    <w:p>
      <w:pPr>
        <w:ind w:firstLine="640" w:firstLineChars="200"/>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根据预算绩效管理要求，攀枝花市儿童福利院在2024年度预算编制阶段，组织对孤儿收养费、特殊儿童群体基本生活保障、儿童福利专项支出、孤弃儿童后勤保障服务4个项目开展了预算事前绩效评估，对该4个项目编制了绩效目标，预算执行过程中，选取该4个项目开展绩效监控，组织对6个项目开展绩效自评，绩效自评表详见第四部分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3"/>
        <w:rPr>
          <w:rFonts w:hint="eastAsia" w:ascii="Times New Roman" w:hAnsi="Times New Roman" w:eastAsia="仿宋_GB2312" w:cs="仿宋_GB2312"/>
          <w:color w:val="auto"/>
          <w:kern w:val="2"/>
          <w:sz w:val="32"/>
          <w:szCs w:val="32"/>
          <w:highlight w:val="none"/>
          <w:lang w:val="en-US" w:eastAsia="zh-CN" w:bidi="ar-SA"/>
        </w:rPr>
      </w:pP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imes New Roman" w:hAnsi="Times New Roman" w:eastAsia="方正小标宋_GBK" w:cs="Times New Roman"/>
          <w:b/>
          <w:bCs w:val="0"/>
          <w:kern w:val="2"/>
          <w:sz w:val="44"/>
          <w:szCs w:val="44"/>
          <w:lang w:val="en-US" w:eastAsia="zh-CN" w:bidi="ar-SA"/>
        </w:rPr>
      </w:pPr>
      <w:bookmarkStart w:id="50" w:name="_Toc15396613"/>
      <w:bookmarkStart w:id="51" w:name="_Toc15377225"/>
      <w:r>
        <w:rPr>
          <w:rFonts w:hint="eastAsia" w:ascii="Times New Roman" w:hAnsi="Times New Roman" w:eastAsia="方正小标宋_GBK" w:cs="Times New Roman"/>
          <w:b/>
          <w:bCs w:val="0"/>
          <w:kern w:val="2"/>
          <w:sz w:val="44"/>
          <w:szCs w:val="44"/>
          <w:lang w:val="en-US" w:eastAsia="zh-CN" w:bidi="ar-SA"/>
        </w:rPr>
        <w:t>第三部分  名词解释</w:t>
      </w:r>
      <w:bookmarkEnd w:id="50"/>
      <w:bookmarkEnd w:id="51"/>
    </w:p>
    <w:p>
      <w:pPr>
        <w:spacing w:line="600" w:lineRule="exact"/>
        <w:jc w:val="left"/>
        <w:rPr>
          <w:rFonts w:ascii="Times New Roman" w:hAnsi="Times New Roman"/>
          <w:b/>
          <w:color w:val="auto"/>
          <w:sz w:val="44"/>
          <w:szCs w:val="44"/>
          <w:highlight w:val="none"/>
        </w:rPr>
      </w:pP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52" w:name="_Toc15396614"/>
      <w:bookmarkStart w:id="53" w:name="_Toc15377226"/>
      <w:r>
        <w:rPr>
          <w:rFonts w:hint="eastAsia" w:ascii="Times New Roman" w:hAnsi="Times New Roman" w:eastAsia="方正仿宋_GBK" w:cs="Times New Roman"/>
          <w:kern w:val="2"/>
          <w:sz w:val="32"/>
          <w:szCs w:val="32"/>
          <w:lang w:val="en-US" w:eastAsia="zh-CN" w:bidi="ar-SA"/>
        </w:rPr>
        <w:t>1.财政拨款收入：指单位从同级财政部门取得的财政预算资金。</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2.基本支出：指为保障机构正常运转、完成日常工作任务而发生的人员支出和公用支出。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3.项目支出：指在基本支出之外为完成特定行政任务和事业发展目标所发生的支出。  </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4.社会保障和就业（类）行政事业单位养老支出（款）事业单位离退休（项）：反映事业单位开支的离退休经费。</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5.社会保障和就业（类）行政事业单位养老支出（款）机关事业单位基本养老保险缴费支出（项）：反映机关事业单位实施养老保险制度由单位缴纳的基本保险费支出。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6.社会保障和就业（类）社会福利（款）儿童福利（项）: 反映对儿童提供福利服务方面的支出。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7.社会保障和就业（类）其他社会保障和就业支出（款）其他社会保障和就业支出（项）：反映除常用项目以外其他用于社会保障和就业方面的支出。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8.社会保障和就业支出（类）行政事业单位养老支出（款）机关事业单位职业年金缴费支出（项）：反映机关事业单位实施养老保险制度由单位实际缴纳的职业年金支出。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9.社会保障和就业支出（类）人力资源和社会保障管理事务（款）其他人力资源和社会保障管理事务支出（项）: 反映除常用项目以外其他用于人力资源和社会保障管理事务方面的支出。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10.卫生健康支出（类）行政事业单位医疗（款） 事业单位医疗（项）：反映财政部门安排的事业单位基本医疗保险缴费经费，未参加医疗保险的事业单位的公费医疗经费，按国家规定享受离休人员待遇医疗经费。</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11.卫生健康支出（类）行政事业单位医疗（款） 公务员医疗补助（项）</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反映财政部门安排的公务员医疗补助经费。</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12.卫生健康支出（类）行政事业单位医疗（款） 其他行政事业单位医疗支出（项）：反映除上述项目以外的其他用于行政事业单位医疗方面的支出。</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13.住房保障支出（类）住房改革支出（款）住房公积金（项）：反映行政事业单位按人力资源和</w:t>
      </w:r>
      <w:r>
        <w:rPr>
          <w:rFonts w:hint="eastAsia" w:ascii="Times New Roman" w:hAnsi="Times New Roman" w:eastAsia="方正仿宋_GBK" w:cs="Times New Roman"/>
          <w:kern w:val="2"/>
          <w:sz w:val="32"/>
          <w:szCs w:val="32"/>
          <w:highlight w:val="none"/>
          <w:lang w:val="en-US" w:eastAsia="zh-CN" w:bidi="ar-SA"/>
        </w:rPr>
        <w:t>社</w:t>
      </w:r>
      <w:r>
        <w:rPr>
          <w:rFonts w:hint="eastAsia" w:eastAsia="方正仿宋_GBK" w:cs="Times New Roman"/>
          <w:kern w:val="2"/>
          <w:sz w:val="32"/>
          <w:szCs w:val="32"/>
          <w:highlight w:val="none"/>
          <w:lang w:val="en-US" w:eastAsia="zh-CN" w:bidi="ar-SA"/>
        </w:rPr>
        <w:t>会</w:t>
      </w:r>
      <w:r>
        <w:rPr>
          <w:rFonts w:hint="eastAsia" w:ascii="Times New Roman" w:hAnsi="Times New Roman" w:eastAsia="方正仿宋_GBK" w:cs="Times New Roman"/>
          <w:kern w:val="2"/>
          <w:sz w:val="32"/>
          <w:szCs w:val="32"/>
          <w:highlight w:val="none"/>
          <w:lang w:val="en-US" w:eastAsia="zh-CN" w:bidi="ar-SA"/>
        </w:rPr>
        <w:t>保障部、</w:t>
      </w:r>
      <w:r>
        <w:rPr>
          <w:rFonts w:hint="eastAsia" w:ascii="Times New Roman" w:hAnsi="Times New Roman" w:eastAsia="方正仿宋_GBK" w:cs="Times New Roman"/>
          <w:kern w:val="2"/>
          <w:sz w:val="32"/>
          <w:szCs w:val="32"/>
          <w:lang w:val="en-US" w:eastAsia="zh-CN" w:bidi="ar-SA"/>
        </w:rPr>
        <w:t>财政部规定的基本工资和津贴补贴以及规定比例为职工缴纳的住房公积金。</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ascii="Times New Roman" w:hAnsi="Times New Roman" w:eastAsia="方正仿宋简体"/>
          <w:sz w:val="32"/>
          <w:szCs w:val="32"/>
        </w:rPr>
      </w:pPr>
    </w:p>
    <w:p>
      <w:pPr>
        <w:pStyle w:val="2"/>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3"/>
        <w:rPr>
          <w:rFonts w:ascii="Times New Roman" w:hAnsi="Times New Roman" w:eastAsia="方正仿宋简体"/>
          <w:sz w:val="32"/>
          <w:szCs w:val="32"/>
        </w:rPr>
      </w:pPr>
    </w:p>
    <w:p>
      <w:pPr>
        <w:pStyle w:val="27"/>
        <w:spacing w:line="600" w:lineRule="exact"/>
        <w:ind w:firstLine="640" w:firstLineChars="200"/>
        <w:rPr>
          <w:rFonts w:ascii="仿宋_GB2312" w:eastAsia="仿宋_GB2312" w:cs="黑体"/>
          <w:color w:val="auto"/>
          <w:sz w:val="32"/>
          <w:szCs w:val="32"/>
        </w:rPr>
      </w:pPr>
    </w:p>
    <w:bookmarkEnd w:id="52"/>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b/>
          <w:bCs w:val="0"/>
          <w:kern w:val="2"/>
          <w:sz w:val="44"/>
          <w:szCs w:val="44"/>
          <w:lang w:val="en-US" w:eastAsia="zh-CN" w:bidi="ar-SA"/>
        </w:rPr>
      </w:pPr>
      <w:bookmarkStart w:id="54" w:name="_Toc31441"/>
      <w:r>
        <w:rPr>
          <w:rFonts w:hint="default" w:ascii="Times New Roman" w:hAnsi="Times New Roman" w:eastAsia="方正小标宋_GBK" w:cs="Times New Roman"/>
          <w:b/>
          <w:bCs w:val="0"/>
          <w:kern w:val="2"/>
          <w:sz w:val="44"/>
          <w:szCs w:val="44"/>
          <w:lang w:val="en-US" w:eastAsia="zh-CN" w:bidi="ar-SA"/>
        </w:rPr>
        <w:t>第四部分 附件</w:t>
      </w:r>
      <w:bookmarkEnd w:id="54"/>
      <w:bookmarkStart w:id="55" w:name="_Toc16704"/>
    </w:p>
    <w:p>
      <w:pPr>
        <w:pStyle w:val="8"/>
        <w:suppressAutoHyphens/>
        <w:spacing w:before="0" w:after="0" w:line="0" w:lineRule="atLeast"/>
        <w:jc w:val="center"/>
        <w:outlineLvl w:val="0"/>
        <w:rPr>
          <w:rFonts w:hint="eastAsia" w:ascii="Times New Roman" w:hAnsi="Times New Roman" w:eastAsia="方正小标宋_GBK" w:cs="Times New Roman"/>
          <w:b/>
          <w:sz w:val="44"/>
          <w:szCs w:val="44"/>
          <w:lang w:val="en-US" w:eastAsia="zh-CN"/>
        </w:rPr>
      </w:pP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56" w:name="_Toc7998"/>
      <w:bookmarkStart w:id="57" w:name="_Toc1516"/>
      <w:r>
        <w:rPr>
          <w:rFonts w:hint="eastAsia" w:ascii="Times New Roman" w:hAnsi="Times New Roman" w:eastAsia="方正仿宋_GBK" w:cs="Times New Roman"/>
          <w:kern w:val="2"/>
          <w:sz w:val="32"/>
          <w:szCs w:val="32"/>
          <w:lang w:val="en-US" w:eastAsia="zh-CN" w:bidi="ar-SA"/>
        </w:rPr>
        <w:t>部门预算项目支出绩效自评表（2024年度）见附件3</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Times New Roman"/>
          <w:b/>
          <w:bCs w:val="0"/>
          <w:kern w:val="2"/>
          <w:sz w:val="44"/>
          <w:szCs w:val="44"/>
          <w:lang w:val="en-US" w:eastAsia="zh-CN" w:bidi="ar-SA"/>
        </w:rPr>
      </w:pPr>
      <w:r>
        <w:rPr>
          <w:rFonts w:hint="eastAsia" w:ascii="Times New Roman" w:hAnsi="Times New Roman" w:eastAsia="方正仿宋_GBK" w:cs="Times New Roman"/>
          <w:kern w:val="2"/>
          <w:sz w:val="32"/>
          <w:szCs w:val="32"/>
          <w:lang w:val="en-US" w:eastAsia="zh-CN" w:bidi="ar-SA"/>
        </w:rPr>
        <w:br w:type="page"/>
      </w:r>
      <w:bookmarkStart w:id="58" w:name="_Toc15396618"/>
      <w:r>
        <w:rPr>
          <w:rFonts w:hint="eastAsia" w:ascii="Times New Roman" w:hAnsi="Times New Roman" w:eastAsia="方正小标宋_GBK" w:cs="Times New Roman"/>
          <w:b/>
          <w:bCs w:val="0"/>
          <w:kern w:val="2"/>
          <w:sz w:val="44"/>
          <w:szCs w:val="44"/>
          <w:lang w:val="en-US" w:eastAsia="zh-CN" w:bidi="ar-SA"/>
        </w:rPr>
        <w:t>第五部分 附表</w:t>
      </w:r>
      <w:bookmarkEnd w:id="53"/>
      <w:bookmarkEnd w:id="58"/>
      <w:bookmarkStart w:id="59"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一、收入支出决算总表</w:t>
      </w:r>
      <w:bookmarkEnd w:id="59"/>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0" w:name="_Toc15396620"/>
      <w:r>
        <w:rPr>
          <w:rFonts w:hint="eastAsia" w:ascii="Times New Roman" w:hAnsi="Times New Roman" w:eastAsia="方正仿宋_GBK" w:cs="Times New Roman"/>
          <w:kern w:val="2"/>
          <w:sz w:val="32"/>
          <w:szCs w:val="32"/>
          <w:lang w:val="en-US" w:eastAsia="zh-CN" w:bidi="ar-SA"/>
        </w:rPr>
        <w:t>二、收入决算表</w:t>
      </w:r>
      <w:bookmarkEnd w:id="60"/>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1" w:name="_Toc15396621"/>
      <w:r>
        <w:rPr>
          <w:rFonts w:hint="eastAsia" w:ascii="Times New Roman" w:hAnsi="Times New Roman" w:eastAsia="方正仿宋_GBK" w:cs="Times New Roman"/>
          <w:kern w:val="2"/>
          <w:sz w:val="32"/>
          <w:szCs w:val="32"/>
          <w:lang w:val="en-US" w:eastAsia="zh-CN" w:bidi="ar-SA"/>
        </w:rPr>
        <w:t>三、支出决算表</w:t>
      </w:r>
      <w:bookmarkEnd w:id="61"/>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2" w:name="_Toc15396622"/>
      <w:r>
        <w:rPr>
          <w:rFonts w:hint="eastAsia" w:ascii="Times New Roman" w:hAnsi="Times New Roman" w:eastAsia="方正仿宋_GBK" w:cs="Times New Roman"/>
          <w:kern w:val="2"/>
          <w:sz w:val="32"/>
          <w:szCs w:val="32"/>
          <w:lang w:val="en-US" w:eastAsia="zh-CN" w:bidi="ar-SA"/>
        </w:rPr>
        <w:t>四、财政拨款收入支出决算总表</w:t>
      </w:r>
      <w:bookmarkEnd w:id="62"/>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3" w:name="_Toc15396623"/>
      <w:r>
        <w:rPr>
          <w:rFonts w:hint="eastAsia" w:ascii="Times New Roman" w:hAnsi="Times New Roman" w:eastAsia="方正仿宋_GBK" w:cs="Times New Roman"/>
          <w:kern w:val="2"/>
          <w:sz w:val="32"/>
          <w:szCs w:val="32"/>
          <w:lang w:val="en-US" w:eastAsia="zh-CN" w:bidi="ar-SA"/>
        </w:rPr>
        <w:t>五、财政拨款支出决算明细表</w:t>
      </w:r>
      <w:bookmarkEnd w:id="63"/>
      <w:bookmarkStart w:id="64" w:name="_Toc15396624"/>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六、一般公共预算财政拨款支出决算表</w:t>
      </w:r>
      <w:bookmarkEnd w:id="64"/>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5" w:name="_Toc15396625"/>
      <w:r>
        <w:rPr>
          <w:rFonts w:hint="eastAsia" w:ascii="Times New Roman" w:hAnsi="Times New Roman" w:eastAsia="方正仿宋_GBK" w:cs="Times New Roman"/>
          <w:kern w:val="2"/>
          <w:sz w:val="32"/>
          <w:szCs w:val="32"/>
          <w:lang w:val="en-US" w:eastAsia="zh-CN" w:bidi="ar-SA"/>
        </w:rPr>
        <w:t>七、一般公共预算财政拨款支出决算明细表</w:t>
      </w:r>
      <w:bookmarkEnd w:id="65"/>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6" w:name="_Toc15396626"/>
      <w:r>
        <w:rPr>
          <w:rFonts w:hint="eastAsia" w:ascii="Times New Roman" w:hAnsi="Times New Roman" w:eastAsia="方正仿宋_GBK" w:cs="Times New Roman"/>
          <w:kern w:val="2"/>
          <w:sz w:val="32"/>
          <w:szCs w:val="32"/>
          <w:lang w:val="en-US" w:eastAsia="zh-CN" w:bidi="ar-SA"/>
        </w:rPr>
        <w:t>八、一般公共预算财政拨款基本支出决算表</w:t>
      </w:r>
      <w:bookmarkEnd w:id="66"/>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7" w:name="_Toc15396627"/>
      <w:r>
        <w:rPr>
          <w:rFonts w:hint="eastAsia" w:ascii="Times New Roman" w:hAnsi="Times New Roman" w:eastAsia="方正仿宋_GBK" w:cs="Times New Roman"/>
          <w:kern w:val="2"/>
          <w:sz w:val="32"/>
          <w:szCs w:val="32"/>
          <w:lang w:val="en-US" w:eastAsia="zh-CN" w:bidi="ar-SA"/>
        </w:rPr>
        <w:t>九、一般公共预算财政拨款项目支出决算表</w:t>
      </w:r>
      <w:bookmarkEnd w:id="67"/>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8" w:name="_Toc15396628"/>
      <w:r>
        <w:rPr>
          <w:rFonts w:hint="eastAsia" w:ascii="Times New Roman" w:hAnsi="Times New Roman" w:eastAsia="方正仿宋_GBK" w:cs="Times New Roman"/>
          <w:kern w:val="2"/>
          <w:sz w:val="32"/>
          <w:szCs w:val="32"/>
          <w:lang w:val="en-US" w:eastAsia="zh-CN" w:bidi="ar-SA"/>
        </w:rPr>
        <w:t>十、</w:t>
      </w:r>
      <w:bookmarkEnd w:id="68"/>
      <w:r>
        <w:rPr>
          <w:rFonts w:hint="eastAsia" w:ascii="Times New Roman" w:hAnsi="Times New Roman" w:eastAsia="方正仿宋_GBK" w:cs="Times New Roman"/>
          <w:kern w:val="2"/>
          <w:sz w:val="32"/>
          <w:szCs w:val="32"/>
          <w:lang w:val="en-US" w:eastAsia="zh-CN" w:bidi="ar-SA"/>
        </w:rPr>
        <w:t>政府性基金预算财政拨款收入支出决算表</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69" w:name="_Toc15396629"/>
      <w:r>
        <w:rPr>
          <w:rFonts w:hint="eastAsia" w:ascii="Times New Roman" w:hAnsi="Times New Roman" w:eastAsia="方正仿宋_GBK" w:cs="Times New Roman"/>
          <w:kern w:val="2"/>
          <w:sz w:val="32"/>
          <w:szCs w:val="32"/>
          <w:lang w:val="en-US" w:eastAsia="zh-CN" w:bidi="ar-SA"/>
        </w:rPr>
        <w:t>十一、</w:t>
      </w:r>
      <w:bookmarkEnd w:id="69"/>
      <w:r>
        <w:rPr>
          <w:rFonts w:hint="eastAsia" w:ascii="Times New Roman" w:hAnsi="Times New Roman" w:eastAsia="方正仿宋_GBK" w:cs="Times New Roman"/>
          <w:kern w:val="2"/>
          <w:sz w:val="32"/>
          <w:szCs w:val="32"/>
          <w:lang w:val="en-US" w:eastAsia="zh-CN" w:bidi="ar-SA"/>
        </w:rPr>
        <w:t>国有资本经营预算财政拨款收入支出决算表</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70" w:name="_Toc15396630"/>
      <w:r>
        <w:rPr>
          <w:rFonts w:hint="eastAsia" w:ascii="Times New Roman" w:hAnsi="Times New Roman" w:eastAsia="方正仿宋_GBK" w:cs="Times New Roman"/>
          <w:kern w:val="2"/>
          <w:sz w:val="32"/>
          <w:szCs w:val="32"/>
          <w:lang w:val="en-US" w:eastAsia="zh-CN" w:bidi="ar-SA"/>
        </w:rPr>
        <w:t>十二、</w:t>
      </w:r>
      <w:bookmarkEnd w:id="70"/>
      <w:r>
        <w:rPr>
          <w:rFonts w:hint="eastAsia" w:ascii="Times New Roman" w:hAnsi="Times New Roman" w:eastAsia="方正仿宋_GBK" w:cs="Times New Roman"/>
          <w:kern w:val="2"/>
          <w:sz w:val="32"/>
          <w:szCs w:val="32"/>
          <w:lang w:val="en-US" w:eastAsia="zh-CN" w:bidi="ar-SA"/>
        </w:rPr>
        <w:t>国有资本经营预算财政拨款支出决算表</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bookmarkStart w:id="71" w:name="_Toc15396631"/>
      <w:r>
        <w:rPr>
          <w:rFonts w:hint="eastAsia" w:ascii="Times New Roman" w:hAnsi="Times New Roman" w:eastAsia="方正仿宋_GBK" w:cs="Times New Roman"/>
          <w:kern w:val="2"/>
          <w:sz w:val="32"/>
          <w:szCs w:val="32"/>
          <w:lang w:val="en-US" w:eastAsia="zh-CN" w:bidi="ar-SA"/>
        </w:rPr>
        <w:t>十三、</w:t>
      </w:r>
      <w:bookmarkEnd w:id="71"/>
      <w:r>
        <w:rPr>
          <w:rFonts w:hint="eastAsia" w:ascii="Times New Roman" w:hAnsi="Times New Roman" w:eastAsia="方正仿宋_GBK" w:cs="Times New Roman"/>
          <w:kern w:val="2"/>
          <w:sz w:val="32"/>
          <w:szCs w:val="32"/>
          <w:lang w:val="en-US" w:eastAsia="zh-CN" w:bidi="ar-SA"/>
        </w:rPr>
        <w:t>财政拨款“三公”经费支出决算表</w:t>
      </w:r>
    </w:p>
    <w:p>
      <w:pPr>
        <w:spacing w:line="600" w:lineRule="exact"/>
        <w:ind w:firstLine="640" w:firstLineChars="200"/>
        <w:outlineLvl w:val="9"/>
        <w:rPr>
          <w:rFonts w:hint="eastAsia" w:ascii="Times New Roman" w:hAnsi="Times New Roman" w:eastAsia="方正仿宋_GBK" w:cs="Times New Roman"/>
          <w:kern w:val="2"/>
          <w:sz w:val="32"/>
          <w:szCs w:val="32"/>
          <w:lang w:val="en-US" w:eastAsia="zh-CN" w:bidi="ar-SA"/>
        </w:rPr>
      </w:pP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3600" behindDoc="0" locked="0" layoutInCell="1" allowOverlap="1">
              <wp:simplePos x="0" y="0"/>
              <wp:positionH relativeFrom="margin">
                <wp:posOffset>5075555</wp:posOffset>
              </wp:positionH>
              <wp:positionV relativeFrom="paragraph">
                <wp:posOffset>-28575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9.65pt;margin-top:-2.25pt;height:144pt;width:144pt;mso-position-horizontal-relative:margin;mso-wrap-style:none;z-index:251673600;mso-width-relative:page;mso-height-relative:page;" filled="f" stroked="f" coordsize="21600,21600" o:gfxdata="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8pM0zZAAAACwEAAA8AAAAA&#10;AAAAAQAgAAAAIgAAAGRycy9kb3ducmV2LnhtbFBLAQIUABQAAAAIAIdO4kBIk72REwIAABUEAAAO&#10;AAAAAAAAAAEAIAAAACgBAABkcnMvZTJvRG9jLnhtbFBLBQYAAAAABgAGAFkBAACtBQAAAAA=&#10;">
              <v:fill on="f" focussize="0,0"/>
              <v:stroke on="f" weight="0.5pt"/>
              <v:imagedata o:title=""/>
              <o:lock v:ext="edit" aspectratio="f"/>
              <v:textbox inset="0mm,0mm,0mm,0mm" style="mso-fit-shape-to-text:t;">
                <w:txbxContent>
                  <w:p>
                    <w:pPr>
                      <w:pStyle w:val="11"/>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t xml:space="preserve"> —</w:t>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A92695"/>
    <w:rsid w:val="025B268D"/>
    <w:rsid w:val="02FEBE30"/>
    <w:rsid w:val="04916F1E"/>
    <w:rsid w:val="0590447B"/>
    <w:rsid w:val="061E35DE"/>
    <w:rsid w:val="066E0107"/>
    <w:rsid w:val="07996F6E"/>
    <w:rsid w:val="07DFD8BA"/>
    <w:rsid w:val="080C0DE8"/>
    <w:rsid w:val="09867E8F"/>
    <w:rsid w:val="0A2032A3"/>
    <w:rsid w:val="0AEF4EA0"/>
    <w:rsid w:val="0CA8290A"/>
    <w:rsid w:val="0D35B1ED"/>
    <w:rsid w:val="0E254B6B"/>
    <w:rsid w:val="0F98263C"/>
    <w:rsid w:val="101860EC"/>
    <w:rsid w:val="101F47CC"/>
    <w:rsid w:val="10C055FF"/>
    <w:rsid w:val="11694EBD"/>
    <w:rsid w:val="11772AA4"/>
    <w:rsid w:val="118107EC"/>
    <w:rsid w:val="12782FD3"/>
    <w:rsid w:val="12E24EE2"/>
    <w:rsid w:val="13D50BC4"/>
    <w:rsid w:val="14B17F78"/>
    <w:rsid w:val="165E0673"/>
    <w:rsid w:val="16B831D5"/>
    <w:rsid w:val="16BB723D"/>
    <w:rsid w:val="17E50567"/>
    <w:rsid w:val="186504BB"/>
    <w:rsid w:val="19690EF9"/>
    <w:rsid w:val="19A445FC"/>
    <w:rsid w:val="1BE8440E"/>
    <w:rsid w:val="1D155CEE"/>
    <w:rsid w:val="1D1638FE"/>
    <w:rsid w:val="1E174D18"/>
    <w:rsid w:val="1E312DEB"/>
    <w:rsid w:val="1E740ACF"/>
    <w:rsid w:val="1E9B2A6E"/>
    <w:rsid w:val="1FF35744"/>
    <w:rsid w:val="1FF6BC77"/>
    <w:rsid w:val="2186353C"/>
    <w:rsid w:val="23860B96"/>
    <w:rsid w:val="240371BF"/>
    <w:rsid w:val="244F3473"/>
    <w:rsid w:val="24C97D99"/>
    <w:rsid w:val="25A718F0"/>
    <w:rsid w:val="25BB59F6"/>
    <w:rsid w:val="260F557C"/>
    <w:rsid w:val="264C26EA"/>
    <w:rsid w:val="26970054"/>
    <w:rsid w:val="281408E2"/>
    <w:rsid w:val="29FD04D3"/>
    <w:rsid w:val="2BFF7BC6"/>
    <w:rsid w:val="2C202820"/>
    <w:rsid w:val="2C8A61B5"/>
    <w:rsid w:val="2D11079F"/>
    <w:rsid w:val="2D4A0308"/>
    <w:rsid w:val="2D990DB8"/>
    <w:rsid w:val="2DF04E50"/>
    <w:rsid w:val="2E586DFA"/>
    <w:rsid w:val="2F040D46"/>
    <w:rsid w:val="2F6B035B"/>
    <w:rsid w:val="2FAE5751"/>
    <w:rsid w:val="2FB1A395"/>
    <w:rsid w:val="2FD9A7D8"/>
    <w:rsid w:val="2FDBF714"/>
    <w:rsid w:val="30AB6865"/>
    <w:rsid w:val="319F7F4E"/>
    <w:rsid w:val="32BD1EF1"/>
    <w:rsid w:val="3304709D"/>
    <w:rsid w:val="33A773CB"/>
    <w:rsid w:val="349D6851"/>
    <w:rsid w:val="35E97036"/>
    <w:rsid w:val="36AA5135"/>
    <w:rsid w:val="36BE0DA7"/>
    <w:rsid w:val="37096BEE"/>
    <w:rsid w:val="376B6AA6"/>
    <w:rsid w:val="376D39B2"/>
    <w:rsid w:val="37E16F03"/>
    <w:rsid w:val="37F53A3B"/>
    <w:rsid w:val="385E4551"/>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6BB51AC"/>
    <w:rsid w:val="472E2675"/>
    <w:rsid w:val="47675B9F"/>
    <w:rsid w:val="486A6C7A"/>
    <w:rsid w:val="4A627F82"/>
    <w:rsid w:val="4B0E749A"/>
    <w:rsid w:val="4B2477C4"/>
    <w:rsid w:val="4B4F25DA"/>
    <w:rsid w:val="4BD952DF"/>
    <w:rsid w:val="4BE068DB"/>
    <w:rsid w:val="4D577224"/>
    <w:rsid w:val="4DBF1CEB"/>
    <w:rsid w:val="4DF0007C"/>
    <w:rsid w:val="4EAB630A"/>
    <w:rsid w:val="4ECE2238"/>
    <w:rsid w:val="4F833267"/>
    <w:rsid w:val="4FE9BD67"/>
    <w:rsid w:val="4FFB052F"/>
    <w:rsid w:val="50061C5C"/>
    <w:rsid w:val="514B51D5"/>
    <w:rsid w:val="51E7148B"/>
    <w:rsid w:val="51FA4268"/>
    <w:rsid w:val="52016301"/>
    <w:rsid w:val="52067C93"/>
    <w:rsid w:val="537E6D0A"/>
    <w:rsid w:val="53B67180"/>
    <w:rsid w:val="53F74C96"/>
    <w:rsid w:val="54D064C9"/>
    <w:rsid w:val="55170BA8"/>
    <w:rsid w:val="553218C9"/>
    <w:rsid w:val="567E1AA5"/>
    <w:rsid w:val="56E47B74"/>
    <w:rsid w:val="57175D52"/>
    <w:rsid w:val="57BD3DD4"/>
    <w:rsid w:val="59337EE7"/>
    <w:rsid w:val="59E53279"/>
    <w:rsid w:val="5AA1673B"/>
    <w:rsid w:val="5AF92295"/>
    <w:rsid w:val="5B250254"/>
    <w:rsid w:val="5BDD79E6"/>
    <w:rsid w:val="5BF561CA"/>
    <w:rsid w:val="5BFF5DFC"/>
    <w:rsid w:val="5CD71FC4"/>
    <w:rsid w:val="5D1F11B5"/>
    <w:rsid w:val="5D695134"/>
    <w:rsid w:val="5DAE1B18"/>
    <w:rsid w:val="5DE7D9E5"/>
    <w:rsid w:val="5E316037"/>
    <w:rsid w:val="5E84312A"/>
    <w:rsid w:val="5ECEC941"/>
    <w:rsid w:val="5FBF9FF3"/>
    <w:rsid w:val="5FCD4E2C"/>
    <w:rsid w:val="5FEF394A"/>
    <w:rsid w:val="5FF67715"/>
    <w:rsid w:val="61DE42F6"/>
    <w:rsid w:val="62BF3928"/>
    <w:rsid w:val="63B3701E"/>
    <w:rsid w:val="63FF5C54"/>
    <w:rsid w:val="647F5392"/>
    <w:rsid w:val="65E66580"/>
    <w:rsid w:val="664B1D71"/>
    <w:rsid w:val="664B4E8E"/>
    <w:rsid w:val="67277B67"/>
    <w:rsid w:val="67AA3209"/>
    <w:rsid w:val="698D0931"/>
    <w:rsid w:val="6A7FE5F3"/>
    <w:rsid w:val="6B053271"/>
    <w:rsid w:val="6BDD78B3"/>
    <w:rsid w:val="6C1271D3"/>
    <w:rsid w:val="6C4A05C8"/>
    <w:rsid w:val="6C8742B8"/>
    <w:rsid w:val="6DBF5E93"/>
    <w:rsid w:val="6DFF077E"/>
    <w:rsid w:val="6E6901D3"/>
    <w:rsid w:val="6E714EF0"/>
    <w:rsid w:val="6E7E3605"/>
    <w:rsid w:val="6E7FDCC7"/>
    <w:rsid w:val="6ED6A62E"/>
    <w:rsid w:val="6EE00B15"/>
    <w:rsid w:val="6F223AD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4F45F82"/>
    <w:rsid w:val="75DEEEC2"/>
    <w:rsid w:val="75E32345"/>
    <w:rsid w:val="76E3355F"/>
    <w:rsid w:val="76FF5125"/>
    <w:rsid w:val="776F6FFA"/>
    <w:rsid w:val="778769C8"/>
    <w:rsid w:val="77A75DCA"/>
    <w:rsid w:val="77DC22F5"/>
    <w:rsid w:val="783E271A"/>
    <w:rsid w:val="78616DE9"/>
    <w:rsid w:val="7865094E"/>
    <w:rsid w:val="78E875D7"/>
    <w:rsid w:val="79086DAD"/>
    <w:rsid w:val="79D7FD79"/>
    <w:rsid w:val="79EE5BA4"/>
    <w:rsid w:val="7A894339"/>
    <w:rsid w:val="7AD284E8"/>
    <w:rsid w:val="7AFF7572"/>
    <w:rsid w:val="7B6C7DFB"/>
    <w:rsid w:val="7BBFBED0"/>
    <w:rsid w:val="7BC3E394"/>
    <w:rsid w:val="7C1F3737"/>
    <w:rsid w:val="7C9F5D44"/>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84DF3"/>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rPr>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5"/>
    <w:qFormat/>
    <w:uiPriority w:val="9"/>
    <w:rPr>
      <w:rFonts w:ascii="Times New Roman" w:hAnsi="Times New Roman"/>
      <w:b/>
      <w:bCs/>
      <w:kern w:val="44"/>
      <w:sz w:val="44"/>
      <w:szCs w:val="44"/>
    </w:rPr>
  </w:style>
  <w:style w:type="character" w:customStyle="1" w:styleId="30">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10"/>
    <w:semiHidden/>
    <w:qFormat/>
    <w:uiPriority w:val="99"/>
    <w:rPr>
      <w:rFonts w:ascii="Times New Roman" w:hAnsi="Times New Roman"/>
      <w:kern w:val="2"/>
      <w:sz w:val="18"/>
      <w:szCs w:val="18"/>
    </w:rPr>
  </w:style>
  <w:style w:type="character" w:customStyle="1" w:styleId="33">
    <w:name w:val="标题 3 Char"/>
    <w:basedOn w:val="16"/>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收入支出决算总计变动情况图</a:t>
            </a:r>
          </a:p>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（单位：万元）</a:t>
            </a:r>
          </a:p>
        </c:rich>
      </c:tx>
      <c:layout>
        <c:manualLayout>
          <c:xMode val="edge"/>
          <c:yMode val="edge"/>
          <c:x val="0.347668518965934"/>
          <c:y val="0.0318742031449214"/>
        </c:manualLayout>
      </c:layout>
      <c:overlay val="0"/>
      <c:spPr>
        <a:noFill/>
        <a:ln>
          <a:noFill/>
        </a:ln>
        <a:effectLst/>
      </c:spPr>
    </c:title>
    <c:autoTitleDeleted val="0"/>
    <c:plotArea>
      <c:layout>
        <c:manualLayout>
          <c:layoutTarget val="inner"/>
          <c:xMode val="edge"/>
          <c:yMode val="edge"/>
          <c:x val="0.0448900700652331"/>
          <c:y val="0.263068423289418"/>
          <c:w val="0.928533462188935"/>
          <c:h val="0.628219294517637"/>
        </c:manualLayout>
      </c:layout>
      <c:barChart>
        <c:barDir val="col"/>
        <c:grouping val="clustered"/>
        <c:varyColors val="0"/>
        <c:ser>
          <c:idx val="0"/>
          <c:order val="0"/>
          <c:tx>
            <c:strRef>
              <c:f>Sheet1!$B$1</c:f>
              <c:strCache>
                <c:ptCount val="1"/>
                <c:pt idx="0">
                  <c:v>收入</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Sheet1!$B$2:$B$5</c:f>
              <c:numCache>
                <c:formatCode>General</c:formatCode>
                <c:ptCount val="4"/>
                <c:pt idx="0">
                  <c:v>747.16</c:v>
                </c:pt>
                <c:pt idx="1">
                  <c:v>651.8</c:v>
                </c:pt>
              </c:numCache>
            </c:numRef>
          </c:val>
        </c:ser>
        <c:ser>
          <c:idx val="1"/>
          <c:order val="1"/>
          <c:tx>
            <c:strRef>
              <c:f>Sheet1!$C$1</c:f>
              <c:strCache>
                <c:ptCount val="1"/>
                <c:pt idx="0">
                  <c:v>支出</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2">
                  <c:v>747.16</c:v>
                </c:pt>
                <c:pt idx="3">
                  <c:v>651.8</c:v>
                </c:pt>
              </c:numCache>
            </c:numRef>
          </c:val>
        </c:ser>
        <c:ser>
          <c:idx val="2"/>
          <c:order val="2"/>
          <c:tx>
            <c:strRef>
              <c:f>Sheet1!#REF!</c:f>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607560920"/>
        <c:axId val="426396615"/>
      </c:barChart>
      <c:catAx>
        <c:axId val="607560920"/>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26396615"/>
        <c:crosses val="autoZero"/>
        <c:auto val="1"/>
        <c:lblAlgn val="ctr"/>
        <c:lblOffset val="100"/>
        <c:noMultiLvlLbl val="0"/>
      </c:catAx>
      <c:valAx>
        <c:axId val="426396615"/>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07560920"/>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a:p>
            <a:pPr defTabSz="914400">
              <a:defRPr lang="zh-CN" sz="1400" b="1" i="0" u="none" strike="noStrike" kern="1200" baseline="0">
                <a:solidFill>
                  <a:schemeClr val="tx1">
                    <a:lumMod val="75000"/>
                    <a:lumOff val="25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tx>
            <c:strRef>
              <c:f>Sheet1!$B$1</c:f>
              <c:strCache>
                <c:ptCount val="1"/>
                <c:pt idx="0">
                  <c:v>销售额（万元）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一般公共预算财政拨款收入</a:t>
                    </a:r>
                    <a:r>
                      <a:rPr lang="en-US" altLang="zh-CN"/>
                      <a:t>559.85</a:t>
                    </a:r>
                    <a:r>
                      <a:rPr altLang="en-US"/>
                      <a:t>万元</a:t>
                    </a:r>
                    <a:r>
                      <a:t>占86%</a:t>
                    </a:r>
                  </a:p>
                </c:rich>
              </c:tx>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246652572233968"/>
                      <c:h val="0.26464983325393"/>
                    </c:manualLayout>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政府性基金预算拨款收入</a:t>
                    </a:r>
                    <a:r>
                      <a:rPr lang="en-US" altLang="zh-CN"/>
                      <a:t>91.95</a:t>
                    </a:r>
                    <a:r>
                      <a:rPr altLang="en-US"/>
                      <a:t>万元</a:t>
                    </a:r>
                    <a:r>
                      <a:t>占14%</a:t>
                    </a:r>
                  </a:p>
                </c:rich>
              </c:tx>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288372093023256"/>
                      <c:h val="0.242972844211529"/>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政府性基金预算拨款收入</c:v>
                </c:pt>
              </c:strCache>
            </c:strRef>
          </c:cat>
          <c:val>
            <c:numRef>
              <c:f>Sheet1!$B$2:$B$3</c:f>
              <c:numCache>
                <c:formatCode>General</c:formatCode>
                <c:ptCount val="2"/>
                <c:pt idx="0">
                  <c:v>559.85</c:v>
                </c:pt>
                <c:pt idx="1">
                  <c:v>91.95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（单位：万元）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ln>
              <a:noFill/>
            </a:ln>
          </c:spPr>
          <c:explosion val="0"/>
          <c:dPt>
            <c:idx val="0"/>
            <c:bubble3D val="0"/>
            <c:spPr>
              <a:solidFill>
                <a:schemeClr val="accent1"/>
              </a:solidFill>
              <a:ln>
                <a:noFill/>
              </a:ln>
              <a:effectLst/>
            </c:spPr>
          </c:dPt>
          <c:dPt>
            <c:idx val="1"/>
            <c:bubble3D val="0"/>
            <c:spPr>
              <a:solidFill>
                <a:schemeClr val="accent2"/>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450.61</c:v>
                </c:pt>
                <c:pt idx="1">
                  <c:v>201.19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endParaRPr lang="en-US" altLang="zh-CN"/>
          </a:p>
        </c:rich>
      </c:tx>
      <c:layout/>
      <c:overlay val="0"/>
      <c:spPr>
        <a:noFill/>
        <a:ln>
          <a:noFill/>
        </a:ln>
        <a:effectLst/>
      </c:spPr>
    </c:title>
    <c:autoTitleDeleted val="0"/>
    <c:plotArea>
      <c:layout>
        <c:manualLayout>
          <c:layoutTarget val="inner"/>
          <c:xMode val="edge"/>
          <c:yMode val="edge"/>
          <c:x val="0.024764435854071"/>
          <c:y val="0.26625584360391"/>
          <c:w val="0.946847064508335"/>
          <c:h val="0.62821929451763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Sheet1!$B$2:$B$5</c:f>
              <c:numCache>
                <c:formatCode>General</c:formatCode>
                <c:ptCount val="4"/>
                <c:pt idx="0">
                  <c:v>747.16</c:v>
                </c:pt>
                <c:pt idx="1">
                  <c:v>651.8</c:v>
                </c:pt>
              </c:numCache>
            </c:numRef>
          </c:val>
        </c:ser>
        <c:ser>
          <c:idx val="1"/>
          <c:order val="1"/>
          <c:tx>
            <c:strRef>
              <c:f>Sheet1!$C$1</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2">
                  <c:v>747.16</c:v>
                </c:pt>
                <c:pt idx="3">
                  <c:v>651.8</c:v>
                </c:pt>
              </c:numCache>
            </c:numRef>
          </c:val>
        </c:ser>
        <c:ser>
          <c:idx val="2"/>
          <c:order val="2"/>
          <c:tx>
            <c:strRef>
              <c:f>Sheet1!#REF!</c:f>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60"/>
        <c:overlap val="-32"/>
        <c:axId val="157614129"/>
        <c:axId val="166906954"/>
      </c:barChart>
      <c:catAx>
        <c:axId val="157614129"/>
        <c:scaling>
          <c:orientation val="minMax"/>
        </c:scaling>
        <c:delete val="0"/>
        <c:axPos val="b"/>
        <c:numFmt formatCode="General" sourceLinked="1"/>
        <c:majorTickMark val="out"/>
        <c:minorTickMark val="none"/>
        <c:tickLblPos val="nextTo"/>
        <c:spPr>
          <a:noFill/>
          <a:ln w="6350" cap="flat" cmpd="sng" algn="ctr">
            <a:solidFill>
              <a:schemeClr val="accent1">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66906954"/>
        <c:crosses val="autoZero"/>
        <c:auto val="1"/>
        <c:lblAlgn val="ctr"/>
        <c:lblOffset val="100"/>
        <c:noMultiLvlLbl val="0"/>
      </c:catAx>
      <c:valAx>
        <c:axId val="166906954"/>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7614129"/>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sz="90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一般公共预算财政拨款支出决算变动情况</a:t>
            </a:r>
          </a:p>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gradFill>
              <a:gsLst>
                <a:gs pos="0">
                  <a:schemeClr val="accent1"/>
                </a:gs>
                <a:gs pos="100000">
                  <a:schemeClr val="accent2"/>
                </a:gs>
              </a:gsLst>
              <a:lin ang="5400000" scaled="0"/>
            </a:gradFill>
            <a:ln>
              <a:noFill/>
            </a:ln>
            <a:effectLst/>
          </c:spPr>
          <c:invertIfNegative val="0"/>
          <c:dLbls>
            <c:delete val="1"/>
          </c:dLbls>
          <c:cat>
            <c:strRef>
              <c:f>Sheet1!$A$2:$A$3</c:f>
              <c:strCache>
                <c:ptCount val="2"/>
                <c:pt idx="0">
                  <c:v>2023年一般公共预算财政拨款支出</c:v>
                </c:pt>
                <c:pt idx="1">
                  <c:v>2024年一般公共预算财政拨款支出</c:v>
                </c:pt>
              </c:strCache>
            </c:strRef>
          </c:cat>
          <c:val>
            <c:numRef>
              <c:f>Sheet1!$B$2:$B$3</c:f>
              <c:numCache>
                <c:formatCode>General</c:formatCode>
                <c:ptCount val="2"/>
                <c:pt idx="0">
                  <c:v>572.73</c:v>
                </c:pt>
                <c:pt idx="1">
                  <c:v>559.85</c:v>
                </c:pt>
              </c:numCache>
            </c:numRef>
          </c:val>
        </c:ser>
        <c:dLbls>
          <c:showLegendKey val="0"/>
          <c:showVal val="0"/>
          <c:showCatName val="0"/>
          <c:showSerName val="0"/>
          <c:showPercent val="0"/>
          <c:showBubbleSize val="0"/>
        </c:dLbls>
        <c:gapWidth val="150"/>
        <c:overlap val="0"/>
        <c:axId val="493720625"/>
        <c:axId val="92688586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gradFill>
                    <a:gsLst>
                      <a:gs pos="0">
                        <a:schemeClr val="accent3"/>
                      </a:gs>
                      <a:gs pos="100000">
                        <a:schemeClr val="accent4"/>
                      </a:gs>
                    </a:gsLst>
                    <a:lin ang="5400000" scaled="0"/>
                  </a:gra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2023年一般公共预算财政拨款支出</c:v>
                      </c:pt>
                      <c:pt idx="1">
                        <c:v>2024年一般公共预算财政拨款支出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gradFill>
                    <a:gsLst>
                      <a:gs pos="0">
                        <a:schemeClr val="accent5"/>
                      </a:gs>
                      <a:gs pos="100000">
                        <a:schemeClr val="accent6"/>
                      </a:gs>
                    </a:gsLst>
                    <a:lin ang="5400000" scaled="0"/>
                  </a:gra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2023年一般公共预算财政拨款支出</c:v>
                      </c:pt>
                      <c:pt idx="1">
                        <c:v>2024年一般公共预算财政拨款支出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93720625"/>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26885863"/>
        <c:crosses val="autoZero"/>
        <c:auto val="1"/>
        <c:lblAlgn val="ctr"/>
        <c:lblOffset val="100"/>
        <c:noMultiLvlLbl val="0"/>
      </c:catAx>
      <c:valAx>
        <c:axId val="926885863"/>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9372062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w="6350">
          <a:solidFill>
            <a:schemeClr val="tx1">
              <a:lumMod val="50000"/>
              <a:lumOff val="50000"/>
              <a:alpha val="25000"/>
            </a:schemeClr>
          </a:solid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一般公共预算财政拨款支出决算结构（单位：万元）</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652331481034066"/>
                  <c:y val="0.14024649383765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0543609567528389"/>
                  <c:y val="0.16893327666808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28654264315052"/>
                  <c:y val="-0.16574585635359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3619231698478"/>
                      <c:h val="0.213557161070973"/>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卫生健康支出</c:v>
                </c:pt>
                <c:pt idx="1">
                  <c:v>住房保障支出</c:v>
                </c:pt>
                <c:pt idx="2">
                  <c:v>社会保障和就业支出</c:v>
                </c:pt>
              </c:strCache>
            </c:strRef>
          </c:cat>
          <c:val>
            <c:numRef>
              <c:f>Sheet1!$B$2:$B$4</c:f>
              <c:numCache>
                <c:formatCode>General</c:formatCode>
                <c:ptCount val="3"/>
                <c:pt idx="0">
                  <c:v>25.92</c:v>
                </c:pt>
                <c:pt idx="1">
                  <c:v>31.6</c:v>
                </c:pt>
                <c:pt idx="2">
                  <c:v>502.33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1"/>
          <c:order val="0"/>
          <c:tx>
            <c:strRef>
              <c:f>Sheet1!$B$1</c:f>
              <c:strCache>
                <c:ptCount val="1"/>
                <c:pt idx="0">
                  <c:v>销售额</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mn-lt"/>
                        <a:ea typeface="+mn-ea"/>
                        <a:cs typeface="+mn-cs"/>
                      </a:defRPr>
                    </a:pPr>
                    <a:r>
                      <a:t>公务用车运行维护费9</a:t>
                    </a:r>
                    <a:r>
                      <a:rPr lang="en-US" altLang="zh-CN"/>
                      <a:t>4.66</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87243295482"/>
                      <c:h val="0.292180195495113"/>
                    </c:manualLayout>
                  </c15:layout>
                </c:ext>
              </c:extLst>
            </c:dLbl>
            <c:dLbl>
              <c:idx val="1"/>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mn-lt"/>
                        <a:ea typeface="+mn-ea"/>
                        <a:cs typeface="+mn-cs"/>
                      </a:defRPr>
                    </a:pPr>
                    <a:r>
                      <a:t>公务接待费5</a:t>
                    </a:r>
                    <a:r>
                      <a:rPr lang="en-US" altLang="zh-CN"/>
                      <a:t>.34</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公务用车运行维护费</c:v>
                </c:pt>
                <c:pt idx="1">
                  <c:v>公务接待费</c:v>
                </c:pt>
              </c:strCache>
            </c:strRef>
          </c:cat>
          <c:val>
            <c:numRef>
              <c:f>Sheet1!$B$2:$B$3</c:f>
              <c:numCache>
                <c:formatCode>General</c:formatCode>
                <c:ptCount val="2"/>
                <c:pt idx="0">
                  <c:v>1.134</c:v>
                </c:pt>
                <c:pt idx="1">
                  <c:v>0.0638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4704</Words>
  <Characters>6197</Characters>
  <Lines>61</Lines>
  <Paragraphs>17</Paragraphs>
  <TotalTime>9</TotalTime>
  <ScaleCrop>false</ScaleCrop>
  <LinksUpToDate>false</LinksUpToDate>
  <CharactersWithSpaces>6251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杨超</cp:lastModifiedBy>
  <cp:lastPrinted>2025-08-06T17:34:00Z</cp:lastPrinted>
  <dcterms:modified xsi:type="dcterms:W3CDTF">2025-09-16T07:27:21Z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64E99EE90FAF45328026780759F4C719_13</vt:lpwstr>
  </property>
  <property fmtid="{D5CDD505-2E9C-101B-9397-08002B2CF9AE}" pid="4" name="KSOTemplateDocerSaveRecord">
    <vt:lpwstr>eyJoZGlkIjoiZjFiOWYzNTBlNzA3NWRlMTgwYTg1Mjk4M2IxY2VkOTQiLCJ1c2VySWQiOiIyMzM4NzE3NjIifQ==</vt:lpwstr>
  </property>
</Properties>
</file>