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96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 w:bidi="ar-SA"/>
        </w:rPr>
      </w:pPr>
      <w:bookmarkStart w:id="0" w:name="年度全市性社会组织综合审计服务询价邀请函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攀枝花市民政局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2026年度全市性社会组织综合审计服务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 w:bidi="ar-SA"/>
        </w:rPr>
        <w:t>询价公告</w:t>
      </w:r>
    </w:p>
    <w:p w14:paraId="5789180F">
      <w:pPr>
        <w:pStyle w:val="3"/>
        <w:rPr>
          <w:rFonts w:hint="default"/>
        </w:rPr>
      </w:pPr>
    </w:p>
    <w:p w14:paraId="31033FE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</w:p>
    <w:p w14:paraId="0792333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根据《中华人民共和国政府采购法》及相关规定，攀枝花市民政局拟通过询价方式采购2026年度社会组织综合审计服务，现邀请符合资质的会计师事务所参与报价。具体事项公告如下：</w:t>
      </w:r>
    </w:p>
    <w:p w14:paraId="64EA26F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一、项目基本情况</w:t>
      </w:r>
    </w:p>
    <w:p w14:paraId="2EA05172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项目名称：2026年度全市性社会组织综合审计服务</w:t>
      </w:r>
    </w:p>
    <w:p w14:paraId="04F7F1D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服务内容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。</w:t>
      </w:r>
    </w:p>
    <w:p w14:paraId="2CD9490D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（1）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市民政局主管的社会组织2026年度抽查审计、换届审计、法定代表人离任审计。</w:t>
      </w:r>
    </w:p>
    <w:p w14:paraId="39D2A048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（2）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全市性社会组织注销清算审计。</w:t>
      </w:r>
    </w:p>
    <w:p w14:paraId="719219F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项目预算上限：人民币30,000.00元（大写：叁万元整）。最终按实际委托户数乘以中标单价进行结算，结算总额不得超过预算上限。</w:t>
      </w:r>
    </w:p>
    <w:p w14:paraId="34F1438B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服务期限：自合同签订之日起1年。</w:t>
      </w:r>
    </w:p>
    <w:p w14:paraId="3E5E152F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二、供应商资格要求</w:t>
      </w:r>
    </w:p>
    <w:p w14:paraId="48B2EEB0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满足《中华人民共和国政府采购法》第二十二条规定；</w:t>
      </w:r>
    </w:p>
    <w:p w14:paraId="13B5F38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具有独立承担民事责任的能力，持有合法有效的营业执照；</w:t>
      </w:r>
    </w:p>
    <w:p w14:paraId="369949D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特定资格要求：具有财政部门核发的有效《会计师事务所执业证书》；</w:t>
      </w:r>
    </w:p>
    <w:p w14:paraId="6BC5453C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本项目不接受联合体参与，严禁转包、分包；</w:t>
      </w:r>
    </w:p>
    <w:p w14:paraId="5D401A38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参加本次采购活动前三年内，在经营活动中没有重大违法违规记录。</w:t>
      </w:r>
    </w:p>
    <w:p w14:paraId="5ABD2816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三、核心服务要求</w:t>
      </w:r>
    </w:p>
    <w:p w14:paraId="0E2AF5D6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乙方须严格依照《中华人民共和国注册会计师法》及相关审计准则出具具备法律效力的正式审计报告。</w:t>
      </w:r>
    </w:p>
    <w:p w14:paraId="109541D7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时效要求：在收到甲方委托及完整资料后，须在 10个工作日内出具正式审计文书。</w:t>
      </w:r>
    </w:p>
    <w:p w14:paraId="6B5C7379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四、报价文件递交要求</w:t>
      </w:r>
    </w:p>
    <w:p w14:paraId="01099FD6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报价文件组成：请贵单位填写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《2026年度全市性社会组织综合审计服务报价单》，报价须为含税全包价（包含人工、交通、食宿、报告制作、税费等所有费用）。报价单须由法定代表人或授权代表签字，并加盖单位公章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，密封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递交纸质原件。</w:t>
      </w:r>
    </w:p>
    <w:p w14:paraId="53656ECE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2.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递交截止时间：2026年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15:00前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。逾期送达的报价文件将不予受理。</w:t>
      </w:r>
    </w:p>
    <w:p w14:paraId="77724BFD">
      <w:pPr>
        <w:pStyle w:val="2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3.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递交地点：攀枝花市民政局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4楼409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社会组织管理科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2255D4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五、评审办法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本项目采用“最低评标价法”。在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满足全部实质性要求的前提下，单户审计报价最低者推荐为第一成交候选人；若报价相同，则优先选取近三年社会组织审计项目业绩更丰富的机构。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 w:bidi="ar-SA"/>
        </w:rPr>
        <w:t>六</w:t>
      </w:r>
      <w:r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 w:bidi="ar-SA"/>
        </w:rPr>
        <w:t>、其他说明</w:t>
      </w:r>
    </w:p>
    <w:p w14:paraId="0E36E95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81" w:firstLineChars="0"/>
        <w:textAlignment w:val="auto"/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  <w:t>（一）供应商需自行承担参选费用；</w:t>
      </w:r>
    </w:p>
    <w:p w14:paraId="4865AF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81" w:firstLineChars="0"/>
        <w:textAlignment w:val="auto"/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  <w:t>（二）采购人有权根据实际情况调整审计项目数量，最终按实际工作量结算；</w:t>
      </w:r>
    </w:p>
    <w:p w14:paraId="4023A19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81" w:firstLineChars="0"/>
        <w:textAlignment w:val="auto"/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  <w:t>（三）本公告解释权归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 w:bidi="ar-SA"/>
        </w:rPr>
        <w:t>攀枝花</w:t>
      </w:r>
      <w:r>
        <w:rPr>
          <w:rFonts w:hint="default" w:eastAsia="方正仿宋_GBK" w:cs="Times New Roman"/>
          <w:color w:val="auto"/>
          <w:sz w:val="32"/>
          <w:szCs w:val="32"/>
          <w:lang w:val="en-US" w:eastAsia="zh-CN" w:bidi="ar-SA"/>
        </w:rPr>
        <w:t>市民政局所有。</w:t>
      </w:r>
    </w:p>
    <w:p w14:paraId="7BDE2967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3F622DB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附件：2026年度全市性社会组织综合审计服务报价单</w:t>
      </w:r>
    </w:p>
    <w:p w14:paraId="1075C0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</w:p>
    <w:p w14:paraId="6664F0E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</w:p>
    <w:p w14:paraId="7F117E4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 xml:space="preserve">                           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 xml:space="preserve">  攀枝花市民政局</w:t>
      </w:r>
    </w:p>
    <w:p w14:paraId="1EFD98D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  <w:t xml:space="preserve">                                                          2026年7月29日</w:t>
      </w:r>
    </w:p>
    <w:p w14:paraId="6D140D15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1BD8477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" w:firstLineChars="15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刘雨蒙，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18090400427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</w:t>
      </w:r>
    </w:p>
    <w:bookmarkEnd w:id="0"/>
    <w:p w14:paraId="1FBB9D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D770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AD434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61F07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BABB6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437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38FE10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59E0C5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1754D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 w14:paraId="18EC8F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2FA4A4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2026年度全市性社会组织综合审计服务</w:t>
      </w:r>
    </w:p>
    <w:p w14:paraId="7BEE6C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报价单</w:t>
      </w:r>
    </w:p>
    <w:p w14:paraId="530B46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4BD24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一、核心报价</w:t>
      </w:r>
      <w:bookmarkStart w:id="1" w:name="_GoBack"/>
      <w:bookmarkEnd w:id="1"/>
    </w:p>
    <w:tbl>
      <w:tblPr>
        <w:tblStyle w:val="18"/>
        <w:tblW w:w="10575" w:type="dxa"/>
        <w:tblInd w:w="-7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5447"/>
        <w:gridCol w:w="2895"/>
      </w:tblGrid>
      <w:tr w14:paraId="6F089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8F8FA"/>
            <w:noWrap/>
            <w:vAlign w:val="center"/>
          </w:tcPr>
          <w:p w14:paraId="3BFC8425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kern w:val="0"/>
                <w:sz w:val="21"/>
                <w:szCs w:val="21"/>
                <w:u w:val="none"/>
                <w:lang w:val="en-US" w:eastAsia="zh-CN"/>
              </w:rPr>
              <w:t>报价项目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shd w:val="clear" w:color="auto" w:fill="F8F8FA"/>
            <w:noWrap/>
            <w:vAlign w:val="center"/>
          </w:tcPr>
          <w:p w14:paraId="64384613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kern w:val="0"/>
                <w:sz w:val="21"/>
                <w:szCs w:val="21"/>
                <w:u w:val="none"/>
                <w:lang w:val="en-US" w:eastAsia="zh-CN"/>
              </w:rPr>
              <w:t>报价内容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F8F8FA"/>
            <w:noWrap/>
            <w:vAlign w:val="center"/>
          </w:tcPr>
          <w:p w14:paraId="6ACDA32B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5C6678"/>
                <w:kern w:val="0"/>
                <w:sz w:val="21"/>
                <w:szCs w:val="21"/>
                <w:u w:val="none"/>
                <w:lang w:val="en-US" w:eastAsia="zh-CN"/>
              </w:rPr>
              <w:t>金额/承诺</w:t>
            </w:r>
          </w:p>
        </w:tc>
      </w:tr>
      <w:tr w14:paraId="326B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233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996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>单户审计单价</w:t>
            </w:r>
          </w:p>
        </w:tc>
        <w:tc>
          <w:tcPr>
            <w:tcW w:w="5447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8310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 xml:space="preserve">   完成一户社会组织综合审计服务的含税全包价</w:t>
            </w:r>
          </w:p>
        </w:tc>
        <w:tc>
          <w:tcPr>
            <w:tcW w:w="2895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EBFAA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>人民币：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>元/户</w:t>
            </w:r>
          </w:p>
        </w:tc>
      </w:tr>
      <w:tr w14:paraId="173E3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233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258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>总价上限承诺</w:t>
            </w:r>
          </w:p>
        </w:tc>
        <w:tc>
          <w:tcPr>
            <w:tcW w:w="5447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87A9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 xml:space="preserve">  我方承诺，全年累计结算总额不超过项目预算上限</w:t>
            </w:r>
          </w:p>
        </w:tc>
        <w:tc>
          <w:tcPr>
            <w:tcW w:w="2895" w:type="dxa"/>
            <w:tcBorders>
              <w:top w:val="single" w:color="F8F8FA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3F8F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92338"/>
                <w:kern w:val="0"/>
                <w:sz w:val="22"/>
                <w:szCs w:val="22"/>
                <w:u w:val="none"/>
                <w:lang w:val="en-US" w:eastAsia="zh-CN"/>
              </w:rPr>
              <w:t>人民币：30,000.00 元</w:t>
            </w:r>
          </w:p>
        </w:tc>
      </w:tr>
    </w:tbl>
    <w:p w14:paraId="3DEBB1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二、合规与服务承诺（实质性响应条款）</w:t>
      </w:r>
    </w:p>
    <w:p w14:paraId="38A2A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费用全包承诺：本报价为含税全包价，已包含审计人员人工费、交通费、食宿费、报告制作费、税费及利润等所有费用。除本报价单列明的单价外，采购人无需支付任何其他费用。</w:t>
      </w:r>
    </w:p>
    <w:p w14:paraId="485110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廉洁审计承诺：我方严格遵守审计纪律，严禁向被审计的社会组织收取任何费用，不得收受或索取被审计单位的任何礼品、礼金、有价证券或宴请。</w:t>
      </w:r>
    </w:p>
    <w:p w14:paraId="2AF76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人员与回避承诺：我方将为本项目配备具备相应执业资格的专业人员；参与审计的人员与被审计社会组织无利害关系，严格执行回避原则。</w:t>
      </w:r>
    </w:p>
    <w:p w14:paraId="31FD9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时效承诺：在收到贵局委托及完整资料后，承诺在10个工作日内出具正式审计报告。</w:t>
      </w:r>
    </w:p>
    <w:p w14:paraId="619452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结算终止确认：我方确认并同意，当累计结算金额达到 30,000元预算上限时，合同自动终止，不再追加委托。</w:t>
      </w:r>
    </w:p>
    <w:p w14:paraId="4D8848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三、资格与信誉声明</w:t>
      </w:r>
    </w:p>
    <w:p w14:paraId="1D6C38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无重大违法记录声明：我方郑重声明，参加本次政府采购活动前三年内，在经营活动中没有重大违法记录，未被列入“信用中国”失信被执行人名单。</w:t>
      </w:r>
    </w:p>
    <w:p w14:paraId="677E92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非联合体声明：我方声明，本项目由我单位独立参与询价，未与其他机构组成联合体，严禁转包、分包。</w:t>
      </w:r>
    </w:p>
    <w:p w14:paraId="2DD78C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同价处理材料：为响应“同价优先选取业绩丰富机构”的原则，我方已随本报价单一并提交近三年社会组织审计业绩证明材料（见附页，含合同关键页复印件并加盖公章）。</w:t>
      </w:r>
    </w:p>
    <w:p w14:paraId="40208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（附页：近三年社会组织审计业绩证明材料）</w:t>
      </w:r>
    </w:p>
    <w:p w14:paraId="3EC4F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请在此处粘贴或附后：合同首页、服务内容页、盖章页的复印件，并加盖贵所公章。</w:t>
      </w:r>
    </w:p>
    <w:sectPr>
      <w:footnotePr>
        <w:numRestart w:val="eachSect"/>
      </w:footnote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ptos">
    <w:altName w:val="Noto Sans CJK SC"/>
    <w:panose1 w:val="020B0004020000020204"/>
    <w:charset w:val="00"/>
    <w:family w:val="swiss"/>
    <w:pitch w:val="default"/>
    <w:sig w:usb0="00000000" w:usb1="00000000" w:usb2="00000000" w:usb3="00000000" w:csb0="0000019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ptos Display">
    <w:altName w:val="Noto Sans CJK SC"/>
    <w:panose1 w:val="020B0004020000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ADF70B6"/>
    <w:rsid w:val="434AFF49"/>
    <w:rsid w:val="56FF28D3"/>
    <w:rsid w:val="5BE674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="Aptos" w:hAnsi="Aptos" w:eastAsia="等线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="Aptos Display" w:hAnsi="Aptos Display" w:eastAsia="等线 Light" w:cs="宋体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2"/>
    <w:qFormat/>
    <w:uiPriority w:val="9"/>
    <w:pPr>
      <w:keepNext/>
      <w:keepLines/>
      <w:spacing w:before="240" w:after="80"/>
      <w:outlineLvl w:val="1"/>
    </w:pPr>
    <w:rPr>
      <w:rFonts w:ascii="Aptos Display" w:hAnsi="Aptos Display" w:eastAsia="等线 Light" w:cs="宋体"/>
      <w:b/>
      <w:bCs/>
      <w:color w:val="000000"/>
      <w:sz w:val="36"/>
      <w:szCs w:val="36"/>
    </w:rPr>
  </w:style>
  <w:style w:type="paragraph" w:styleId="5">
    <w:name w:val="heading 3"/>
    <w:basedOn w:val="1"/>
    <w:next w:val="3"/>
    <w:link w:val="33"/>
    <w:qFormat/>
    <w:uiPriority w:val="9"/>
    <w:pPr>
      <w:keepNext/>
      <w:keepLines/>
      <w:spacing w:before="200" w:after="80"/>
      <w:outlineLvl w:val="2"/>
    </w:pPr>
    <w:rPr>
      <w:rFonts w:ascii="Aptos Display" w:hAnsi="Aptos Display" w:eastAsia="等线 Light" w:cs="宋体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4"/>
    <w:qFormat/>
    <w:uiPriority w:val="9"/>
    <w:pPr>
      <w:keepNext/>
      <w:keepLines/>
      <w:spacing w:before="160" w:after="60"/>
      <w:outlineLvl w:val="3"/>
    </w:pPr>
    <w:rPr>
      <w:rFonts w:ascii="Aptos Display" w:hAnsi="Aptos Display" w:eastAsia="等线 Light" w:cs="宋体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5"/>
    <w:qFormat/>
    <w:uiPriority w:val="9"/>
    <w:pPr>
      <w:keepNext/>
      <w:keepLines/>
      <w:spacing w:before="160" w:after="60"/>
      <w:outlineLvl w:val="4"/>
    </w:pPr>
    <w:rPr>
      <w:rFonts w:ascii="Aptos Display" w:hAnsi="Aptos Display" w:eastAsia="等线 Light" w:cs="宋体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6"/>
    <w:qFormat/>
    <w:uiPriority w:val="9"/>
    <w:pPr>
      <w:keepNext/>
      <w:keepLines/>
      <w:spacing w:before="120" w:after="40"/>
      <w:outlineLvl w:val="5"/>
    </w:pPr>
    <w:rPr>
      <w:rFonts w:ascii="Aptos Display" w:hAnsi="Aptos Display" w:eastAsia="等线 Light" w:cs="宋体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7"/>
    <w:qFormat/>
    <w:uiPriority w:val="9"/>
    <w:pPr>
      <w:keepNext/>
      <w:keepLines/>
      <w:spacing w:before="120" w:after="40"/>
      <w:outlineLvl w:val="6"/>
    </w:pPr>
    <w:rPr>
      <w:rFonts w:ascii="Aptos Display" w:hAnsi="Aptos Display" w:eastAsia="等线 Light" w:cs="宋体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38"/>
    <w:qFormat/>
    <w:uiPriority w:val="9"/>
    <w:pPr>
      <w:keepNext/>
      <w:keepLines/>
      <w:spacing w:before="120" w:after="40"/>
      <w:outlineLvl w:val="7"/>
    </w:pPr>
    <w:rPr>
      <w:rFonts w:ascii="Aptos Display" w:hAnsi="Aptos Display" w:eastAsia="等线 Light" w:cs="宋体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39"/>
    <w:qFormat/>
    <w:uiPriority w:val="9"/>
    <w:pPr>
      <w:keepNext/>
      <w:keepLines/>
      <w:spacing w:before="120" w:after="40"/>
      <w:outlineLvl w:val="8"/>
    </w:pPr>
    <w:rPr>
      <w:rFonts w:ascii="Aptos Display" w:hAnsi="Aptos Display" w:eastAsia="等线 Light" w:cs="宋体"/>
      <w:b/>
      <w:bCs/>
      <w:color w:val="000000"/>
      <w:sz w:val="21"/>
      <w:szCs w:val="21"/>
    </w:rPr>
  </w:style>
  <w:style w:type="character" w:default="1" w:styleId="19">
    <w:name w:val="Default Paragraph Font"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="Aptos Display" w:hAnsi="Aptos Display" w:eastAsia="等线 Light" w:cs="宋体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="等线 Light" w:cs="宋体"/>
      <w:spacing w:val="15"/>
      <w:sz w:val="28"/>
      <w:szCs w:val="28"/>
    </w:rPr>
  </w:style>
  <w:style w:type="paragraph" w:styleId="17">
    <w:name w:val="footnote text"/>
    <w:basedOn w:val="1"/>
    <w:qFormat/>
    <w:uiPriority w:val="9"/>
  </w:style>
  <w:style w:type="character" w:styleId="20">
    <w:name w:val="Hyperlink"/>
    <w:basedOn w:val="21"/>
    <w:qFormat/>
    <w:uiPriority w:val="0"/>
    <w:rPr>
      <w:color w:val="156082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0" w:after="0"/>
    </w:pPr>
  </w:style>
  <w:style w:type="character" w:customStyle="1" w:styleId="25">
    <w:name w:val="Title Char_47121894-b8d3-416f-b5ba-29ea9179917d"/>
    <w:basedOn w:val="19"/>
    <w:link w:val="15"/>
    <w:qFormat/>
    <w:uiPriority w:val="10"/>
    <w:rPr>
      <w:rFonts w:ascii="Aptos Display" w:hAnsi="Aptos Display" w:eastAsia="等线 Light" w:cs="宋体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="等线 Light" w:cs="宋体"/>
      <w:color w:val="585858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_db15296a-7996-432c-9408-2777cb09eed8"/>
    <w:basedOn w:val="1"/>
    <w:qFormat/>
    <w:uiPriority w:val="0"/>
  </w:style>
  <w:style w:type="character" w:customStyle="1" w:styleId="31">
    <w:name w:val="Heading 1 Char_2102fb8b-674f-40ed-a51d-9f8ccac15d98"/>
    <w:basedOn w:val="19"/>
    <w:link w:val="2"/>
    <w:qFormat/>
    <w:uiPriority w:val="9"/>
    <w:rPr>
      <w:rFonts w:ascii="Aptos Display" w:hAnsi="Aptos Display" w:eastAsia="等线 Light" w:cs="宋体"/>
      <w:b/>
      <w:bCs/>
      <w:color w:val="000000"/>
      <w:sz w:val="44"/>
      <w:szCs w:val="44"/>
    </w:rPr>
  </w:style>
  <w:style w:type="character" w:customStyle="1" w:styleId="32">
    <w:name w:val="Heading 2 Char_1c31b921-9b3e-452a-8393-acbcdcab22c2"/>
    <w:basedOn w:val="19"/>
    <w:link w:val="4"/>
    <w:qFormat/>
    <w:uiPriority w:val="9"/>
    <w:rPr>
      <w:rFonts w:ascii="Aptos Display" w:hAnsi="Aptos Display" w:eastAsia="等线 Light" w:cs="宋体"/>
      <w:b/>
      <w:bCs/>
      <w:color w:val="000000"/>
      <w:sz w:val="36"/>
      <w:szCs w:val="36"/>
    </w:rPr>
  </w:style>
  <w:style w:type="character" w:customStyle="1" w:styleId="33">
    <w:name w:val="Heading 3 Char_e7100454-e705-4840-9c2b-2331c41be02b"/>
    <w:basedOn w:val="19"/>
    <w:link w:val="5"/>
    <w:qFormat/>
    <w:uiPriority w:val="9"/>
    <w:rPr>
      <w:rFonts w:ascii="Aptos Display" w:hAnsi="Aptos Display" w:eastAsia="等线 Light" w:cs="宋体"/>
      <w:b/>
      <w:bCs/>
      <w:color w:val="000000"/>
      <w:sz w:val="28"/>
      <w:szCs w:val="28"/>
    </w:rPr>
  </w:style>
  <w:style w:type="character" w:customStyle="1" w:styleId="34">
    <w:name w:val="Heading 4 Char_2dc82b1f-8efb-4c73-8f6c-bc86e7e3c583"/>
    <w:basedOn w:val="19"/>
    <w:link w:val="6"/>
    <w:qFormat/>
    <w:uiPriority w:val="9"/>
    <w:rPr>
      <w:rFonts w:ascii="Aptos Display" w:hAnsi="Aptos Display" w:eastAsia="等线 Light" w:cs="宋体"/>
      <w:b/>
      <w:bCs/>
      <w:color w:val="000000"/>
      <w:sz w:val="24"/>
      <w:szCs w:val="24"/>
    </w:rPr>
  </w:style>
  <w:style w:type="character" w:customStyle="1" w:styleId="35">
    <w:name w:val="Heading 5 Char_dd49fe41-6b0f-475f-a10d-6fcbeb592838"/>
    <w:basedOn w:val="19"/>
    <w:link w:val="7"/>
    <w:qFormat/>
    <w:uiPriority w:val="9"/>
    <w:rPr>
      <w:rFonts w:ascii="Aptos Display" w:hAnsi="Aptos Display" w:eastAsia="等线 Light" w:cs="宋体"/>
      <w:b/>
      <w:bCs/>
      <w:color w:val="000000"/>
      <w:sz w:val="22"/>
      <w:szCs w:val="22"/>
    </w:rPr>
  </w:style>
  <w:style w:type="character" w:customStyle="1" w:styleId="36">
    <w:name w:val="Heading 6 Char_6ad7986c-abf4-4cc6-b7f6-dad7071cdfb5"/>
    <w:basedOn w:val="19"/>
    <w:link w:val="8"/>
    <w:qFormat/>
    <w:uiPriority w:val="9"/>
    <w:rPr>
      <w:rFonts w:ascii="Aptos Display" w:hAnsi="Aptos Display" w:eastAsia="等线 Light" w:cs="宋体"/>
      <w:b/>
      <w:bCs/>
      <w:color w:val="000000"/>
      <w:sz w:val="21"/>
      <w:szCs w:val="21"/>
    </w:rPr>
  </w:style>
  <w:style w:type="character" w:customStyle="1" w:styleId="37">
    <w:name w:val="Heading 7 Char_f9453a7f-29f7-4c28-8811-9cd14ae9149f"/>
    <w:basedOn w:val="19"/>
    <w:link w:val="9"/>
    <w:qFormat/>
    <w:uiPriority w:val="9"/>
    <w:rPr>
      <w:rFonts w:ascii="Aptos Display" w:hAnsi="Aptos Display" w:eastAsia="等线 Light" w:cs="宋体"/>
      <w:b/>
      <w:bCs/>
      <w:color w:val="000000"/>
      <w:sz w:val="21"/>
      <w:szCs w:val="21"/>
    </w:rPr>
  </w:style>
  <w:style w:type="character" w:customStyle="1" w:styleId="38">
    <w:name w:val="Heading 8 Char_b8e173b1-cb6c-4465-bd75-d00954d4b45b"/>
    <w:basedOn w:val="19"/>
    <w:link w:val="10"/>
    <w:qFormat/>
    <w:uiPriority w:val="9"/>
    <w:rPr>
      <w:rFonts w:ascii="Aptos Display" w:hAnsi="Aptos Display" w:eastAsia="等线 Light" w:cs="宋体"/>
      <w:b/>
      <w:bCs/>
      <w:color w:val="000000"/>
      <w:sz w:val="21"/>
      <w:szCs w:val="21"/>
    </w:rPr>
  </w:style>
  <w:style w:type="character" w:customStyle="1" w:styleId="39">
    <w:name w:val="Heading 9 Char_b3153cf1-7bce-4797-b481-3fccbb5a8465"/>
    <w:basedOn w:val="19"/>
    <w:link w:val="11"/>
    <w:qFormat/>
    <w:uiPriority w:val="9"/>
    <w:rPr>
      <w:rFonts w:ascii="Aptos Display" w:hAnsi="Aptos Display" w:eastAsia="等线 Light" w:cs="宋体"/>
      <w:b/>
      <w:bCs/>
      <w:color w:val="000000"/>
      <w:sz w:val="21"/>
      <w:szCs w:val="21"/>
    </w:rPr>
  </w:style>
  <w:style w:type="paragraph" w:customStyle="1" w:styleId="40">
    <w:name w:val="Footnote Block Text"/>
    <w:basedOn w:val="17"/>
    <w:next w:val="17"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2">
    <w:name w:val="Layout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paragraph" w:customStyle="1" w:styleId="49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0">
    <w:name w:val="Verbatim Char"/>
    <w:basedOn w:val="21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1">
    <w:name w:val="Section Number"/>
    <w:basedOn w:val="21"/>
    <w:qFormat/>
    <w:uiPriority w:val="0"/>
  </w:style>
  <w:style w:type="paragraph" w:customStyle="1" w:styleId="52">
    <w:name w:val="TOC Heading_918066d9-1cec-4049-b670-c5b6f0cd61d3"/>
    <w:basedOn w:val="2"/>
    <w:next w:val="3"/>
    <w:qFormat/>
    <w:uiPriority w:val="39"/>
    <w:pPr>
      <w:spacing w:before="240" w:line="259" w:lineRule="auto"/>
      <w:outlineLvl w:val="9"/>
    </w:pPr>
    <w:rPr>
      <w:rFonts w:ascii="Aptos Display" w:hAnsi="Aptos Display" w:eastAsia="等线 Light" w:cs="宋体"/>
      <w:b w:val="0"/>
      <w:bCs w:val="0"/>
      <w:color w:val="0F4761"/>
    </w:rPr>
  </w:style>
  <w:style w:type="character" w:customStyle="1" w:styleId="53">
    <w:name w:val="KeywordTok"/>
    <w:basedOn w:val="50"/>
    <w:qFormat/>
    <w:uiPriority w:val="0"/>
    <w:rPr>
      <w:b/>
      <w:color w:val="007020"/>
    </w:rPr>
  </w:style>
  <w:style w:type="character" w:customStyle="1" w:styleId="54">
    <w:name w:val="DataTypeTok"/>
    <w:basedOn w:val="50"/>
    <w:qFormat/>
    <w:uiPriority w:val="0"/>
    <w:rPr>
      <w:color w:val="902000"/>
    </w:rPr>
  </w:style>
  <w:style w:type="character" w:customStyle="1" w:styleId="55">
    <w:name w:val="DecValTok"/>
    <w:basedOn w:val="50"/>
    <w:qFormat/>
    <w:uiPriority w:val="0"/>
    <w:rPr>
      <w:color w:val="40A070"/>
    </w:rPr>
  </w:style>
  <w:style w:type="character" w:customStyle="1" w:styleId="56">
    <w:name w:val="BaseNTok"/>
    <w:basedOn w:val="50"/>
    <w:qFormat/>
    <w:uiPriority w:val="0"/>
    <w:rPr>
      <w:color w:val="40A070"/>
    </w:rPr>
  </w:style>
  <w:style w:type="character" w:customStyle="1" w:styleId="57">
    <w:name w:val="FloatTok"/>
    <w:basedOn w:val="50"/>
    <w:qFormat/>
    <w:uiPriority w:val="0"/>
    <w:rPr>
      <w:color w:val="40A070"/>
    </w:rPr>
  </w:style>
  <w:style w:type="character" w:customStyle="1" w:styleId="58">
    <w:name w:val="ConstantTok"/>
    <w:basedOn w:val="50"/>
    <w:qFormat/>
    <w:uiPriority w:val="0"/>
    <w:rPr>
      <w:color w:val="880000"/>
    </w:rPr>
  </w:style>
  <w:style w:type="character" w:customStyle="1" w:styleId="59">
    <w:name w:val="CharTok"/>
    <w:basedOn w:val="50"/>
    <w:qFormat/>
    <w:uiPriority w:val="0"/>
    <w:rPr>
      <w:color w:val="4070A0"/>
    </w:rPr>
  </w:style>
  <w:style w:type="character" w:customStyle="1" w:styleId="60">
    <w:name w:val="SpecialCharTok"/>
    <w:basedOn w:val="50"/>
    <w:qFormat/>
    <w:uiPriority w:val="0"/>
    <w:rPr>
      <w:color w:val="4070A0"/>
    </w:rPr>
  </w:style>
  <w:style w:type="character" w:customStyle="1" w:styleId="61">
    <w:name w:val="StringTok"/>
    <w:basedOn w:val="50"/>
    <w:qFormat/>
    <w:uiPriority w:val="0"/>
    <w:rPr>
      <w:color w:val="4070A0"/>
    </w:rPr>
  </w:style>
  <w:style w:type="character" w:customStyle="1" w:styleId="62">
    <w:name w:val="VerbatimStringTok"/>
    <w:basedOn w:val="50"/>
    <w:qFormat/>
    <w:uiPriority w:val="0"/>
    <w:rPr>
      <w:color w:val="4070A0"/>
    </w:rPr>
  </w:style>
  <w:style w:type="character" w:customStyle="1" w:styleId="63">
    <w:name w:val="SpecialStringTok"/>
    <w:basedOn w:val="50"/>
    <w:qFormat/>
    <w:uiPriority w:val="0"/>
    <w:rPr>
      <w:color w:val="BB6688"/>
    </w:rPr>
  </w:style>
  <w:style w:type="character" w:customStyle="1" w:styleId="64">
    <w:name w:val="ImportTok"/>
    <w:basedOn w:val="50"/>
    <w:qFormat/>
    <w:uiPriority w:val="0"/>
    <w:rPr>
      <w:b/>
      <w:color w:val="008000"/>
    </w:rPr>
  </w:style>
  <w:style w:type="character" w:customStyle="1" w:styleId="65">
    <w:name w:val="CommentTok"/>
    <w:basedOn w:val="50"/>
    <w:qFormat/>
    <w:uiPriority w:val="0"/>
    <w:rPr>
      <w:i/>
      <w:color w:val="60A0B0"/>
    </w:rPr>
  </w:style>
  <w:style w:type="character" w:customStyle="1" w:styleId="66">
    <w:name w:val="DocumentationTok"/>
    <w:basedOn w:val="50"/>
    <w:qFormat/>
    <w:uiPriority w:val="0"/>
    <w:rPr>
      <w:i/>
      <w:color w:val="BA2121"/>
    </w:rPr>
  </w:style>
  <w:style w:type="character" w:customStyle="1" w:styleId="67">
    <w:name w:val="AnnotationTok"/>
    <w:basedOn w:val="50"/>
    <w:qFormat/>
    <w:uiPriority w:val="0"/>
    <w:rPr>
      <w:b/>
      <w:i/>
      <w:color w:val="60A0B0"/>
    </w:rPr>
  </w:style>
  <w:style w:type="character" w:customStyle="1" w:styleId="68">
    <w:name w:val="CommentVarTok"/>
    <w:basedOn w:val="50"/>
    <w:qFormat/>
    <w:uiPriority w:val="0"/>
    <w:rPr>
      <w:b/>
      <w:i/>
      <w:color w:val="60A0B0"/>
    </w:rPr>
  </w:style>
  <w:style w:type="character" w:customStyle="1" w:styleId="69">
    <w:name w:val="OtherTok"/>
    <w:basedOn w:val="50"/>
    <w:qFormat/>
    <w:uiPriority w:val="0"/>
    <w:rPr>
      <w:color w:val="007020"/>
    </w:rPr>
  </w:style>
  <w:style w:type="character" w:customStyle="1" w:styleId="70">
    <w:name w:val="FunctionTok"/>
    <w:basedOn w:val="50"/>
    <w:qFormat/>
    <w:uiPriority w:val="0"/>
    <w:rPr>
      <w:color w:val="06287E"/>
    </w:rPr>
  </w:style>
  <w:style w:type="character" w:customStyle="1" w:styleId="71">
    <w:name w:val="VariableTok"/>
    <w:basedOn w:val="50"/>
    <w:qFormat/>
    <w:uiPriority w:val="0"/>
    <w:rPr>
      <w:color w:val="19177C"/>
    </w:rPr>
  </w:style>
  <w:style w:type="character" w:customStyle="1" w:styleId="72">
    <w:name w:val="ControlFlowTok"/>
    <w:basedOn w:val="50"/>
    <w:qFormat/>
    <w:uiPriority w:val="0"/>
    <w:rPr>
      <w:b/>
      <w:color w:val="007020"/>
    </w:rPr>
  </w:style>
  <w:style w:type="character" w:customStyle="1" w:styleId="73">
    <w:name w:val="OperatorTok"/>
    <w:basedOn w:val="50"/>
    <w:qFormat/>
    <w:uiPriority w:val="0"/>
    <w:rPr>
      <w:color w:val="666666"/>
    </w:rPr>
  </w:style>
  <w:style w:type="character" w:customStyle="1" w:styleId="74">
    <w:name w:val="BuiltInTok"/>
    <w:basedOn w:val="50"/>
    <w:qFormat/>
    <w:uiPriority w:val="0"/>
    <w:rPr>
      <w:color w:val="008000"/>
    </w:rPr>
  </w:style>
  <w:style w:type="character" w:customStyle="1" w:styleId="75">
    <w:name w:val="ExtensionTok"/>
    <w:basedOn w:val="50"/>
    <w:qFormat/>
    <w:uiPriority w:val="0"/>
  </w:style>
  <w:style w:type="character" w:customStyle="1" w:styleId="76">
    <w:name w:val="PreprocessorTok"/>
    <w:basedOn w:val="50"/>
    <w:qFormat/>
    <w:uiPriority w:val="0"/>
    <w:rPr>
      <w:color w:val="BC7A00"/>
    </w:rPr>
  </w:style>
  <w:style w:type="character" w:customStyle="1" w:styleId="77">
    <w:name w:val="AttributeTok"/>
    <w:basedOn w:val="50"/>
    <w:qFormat/>
    <w:uiPriority w:val="0"/>
    <w:rPr>
      <w:color w:val="7D9029"/>
    </w:rPr>
  </w:style>
  <w:style w:type="character" w:customStyle="1" w:styleId="78">
    <w:name w:val="RegionMarkerTok"/>
    <w:basedOn w:val="50"/>
    <w:qFormat/>
    <w:uiPriority w:val="0"/>
  </w:style>
  <w:style w:type="character" w:customStyle="1" w:styleId="79">
    <w:name w:val="InformationTok"/>
    <w:basedOn w:val="50"/>
    <w:qFormat/>
    <w:uiPriority w:val="0"/>
    <w:rPr>
      <w:b/>
      <w:i/>
      <w:color w:val="60A0B0"/>
    </w:rPr>
  </w:style>
  <w:style w:type="character" w:customStyle="1" w:styleId="80">
    <w:name w:val="WarningTok"/>
    <w:basedOn w:val="50"/>
    <w:qFormat/>
    <w:uiPriority w:val="0"/>
    <w:rPr>
      <w:b/>
      <w:i/>
      <w:color w:val="60A0B0"/>
    </w:rPr>
  </w:style>
  <w:style w:type="character" w:customStyle="1" w:styleId="81">
    <w:name w:val="AlertTok"/>
    <w:basedOn w:val="50"/>
    <w:qFormat/>
    <w:uiPriority w:val="0"/>
    <w:rPr>
      <w:b/>
      <w:color w:val="FF0000"/>
    </w:rPr>
  </w:style>
  <w:style w:type="character" w:customStyle="1" w:styleId="82">
    <w:name w:val="ErrorTok"/>
    <w:basedOn w:val="50"/>
    <w:qFormat/>
    <w:uiPriority w:val="0"/>
    <w:rPr>
      <w:b/>
      <w:color w:val="FF0000"/>
    </w:rPr>
  </w:style>
  <w:style w:type="character" w:customStyle="1" w:styleId="83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1347</Words>
  <Characters>1424</Characters>
  <Paragraphs>56</Paragraphs>
  <TotalTime>1</TotalTime>
  <ScaleCrop>false</ScaleCrop>
  <LinksUpToDate>false</LinksUpToDate>
  <CharactersWithSpaces>1482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2026-07-29T06:22:00Z</dcterms:created>
  <dc:creator>user</dc:creator>
  <cp:lastModifiedBy>胡利娟</cp:lastModifiedBy>
  <dcterms:modified xsi:type="dcterms:W3CDTF">2026-07-29T11:47:39Z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zF2icKzxb8A3OdssXqdoV2GBdMJ/fySVxP6e2/9OH18=","ProduceID":"doc_sgs:57904a7b-3272-4dea-a873-757a1ca28958","ReservedCode2":"zF2icKzxb8A3OdssXqdoV2GBdMJ/fySVxP6e2/9OH18=","PropagateID":"doc_sgs:57904a7b-3272-4dea-a873-757a1ca28958","ContentProducer":"001191440101MA9Y9T4H7A00000"}</vt:lpwstr>
  </property>
  <property fmtid="{D5CDD505-2E9C-101B-9397-08002B2CF9AE}" pid="3" name="workspaceId">
    <vt:lpwstr>70aea183</vt:lpwstr>
  </property>
  <property fmtid="{D5CDD505-2E9C-101B-9397-08002B2CF9AE}" pid="4" name="panelId">
    <vt:i4>14</vt:i4>
  </property>
  <property fmtid="{D5CDD505-2E9C-101B-9397-08002B2CF9AE}" pid="5" name="KSOProductBuildVer">
    <vt:lpwstr>2052-12.1.2.23578</vt:lpwstr>
  </property>
  <property fmtid="{D5CDD505-2E9C-101B-9397-08002B2CF9AE}" pid="6" name="ICV">
    <vt:lpwstr>A890AC688035CFCC6518676A243530DF_42</vt:lpwstr>
  </property>
</Properties>
</file>