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D90635">
      <w:pPr>
        <w:adjustRightInd w:val="0"/>
        <w:snapToGrid w:val="0"/>
        <w:spacing w:line="400" w:lineRule="exact"/>
        <w:rPr>
          <w:rFonts w:ascii="黑体" w:hAnsi="黑体" w:eastAsia="黑体" w:cs="黑体"/>
          <w:snapToGrid w:val="0"/>
          <w:kern w:val="0"/>
          <w:sz w:val="32"/>
          <w:szCs w:val="32"/>
        </w:rPr>
      </w:pPr>
      <w:bookmarkStart w:id="0" w:name="_Toc15378441"/>
      <w:bookmarkStart w:id="1" w:name="_Toc15306267"/>
      <w:bookmarkStart w:id="2" w:name="_Toc15396597"/>
      <w:bookmarkStart w:id="3" w:name="_Toc15396475"/>
      <w:bookmarkStart w:id="4" w:name="_Toc15377193"/>
      <w:bookmarkStart w:id="5" w:name="_Toc15377425"/>
      <w:r>
        <w:rPr>
          <w:rFonts w:hint="eastAsia" w:ascii="黑体" w:hAnsi="黑体" w:eastAsia="黑体" w:cs="黑体"/>
          <w:snapToGrid w:val="0"/>
          <w:kern w:val="0"/>
          <w:sz w:val="32"/>
          <w:szCs w:val="32"/>
        </w:rPr>
        <w:t>附件2</w:t>
      </w:r>
    </w:p>
    <w:p w14:paraId="12131F88">
      <w:pPr>
        <w:pStyle w:val="5"/>
        <w:spacing w:before="93"/>
        <w:rPr>
          <w:rFonts w:ascii="Times New Roman" w:eastAsia="方正小标宋简体"/>
          <w:kern w:val="2"/>
          <w:sz w:val="72"/>
          <w:szCs w:val="72"/>
        </w:rPr>
      </w:pPr>
    </w:p>
    <w:p w14:paraId="4094A550">
      <w:pPr>
        <w:pStyle w:val="5"/>
        <w:spacing w:before="93"/>
        <w:rPr>
          <w:rFonts w:hint="eastAsia" w:ascii="Times New Roman" w:eastAsia="方正小标宋简体"/>
          <w:kern w:val="2"/>
          <w:sz w:val="72"/>
          <w:szCs w:val="72"/>
        </w:rPr>
      </w:pPr>
    </w:p>
    <w:bookmarkEnd w:id="0"/>
    <w:bookmarkEnd w:id="1"/>
    <w:bookmarkEnd w:id="2"/>
    <w:bookmarkEnd w:id="3"/>
    <w:bookmarkEnd w:id="4"/>
    <w:bookmarkEnd w:id="5"/>
    <w:p w14:paraId="08FA65DD">
      <w:pPr>
        <w:pStyle w:val="5"/>
        <w:spacing w:before="93" w:beforeLines="0"/>
        <w:jc w:val="center"/>
        <w:rPr>
          <w:rFonts w:hint="eastAsia" w:ascii="Times New Roman" w:hAnsi="Times New Roman" w:eastAsia="方正小标宋简体" w:cs="Times New Roman"/>
          <w:b/>
          <w:bCs/>
          <w:kern w:val="2"/>
          <w:sz w:val="44"/>
          <w:szCs w:val="44"/>
          <w:lang w:eastAsia="zh-CN"/>
        </w:rPr>
      </w:pPr>
      <w:r>
        <w:rPr>
          <w:rFonts w:hint="eastAsia" w:ascii="Times New Roman" w:hAnsi="Times New Roman" w:eastAsia="方正小标宋简体" w:cs="Times New Roman"/>
          <w:b/>
          <w:bCs/>
          <w:kern w:val="2"/>
          <w:sz w:val="44"/>
          <w:szCs w:val="44"/>
          <w:lang w:eastAsia="zh-CN"/>
        </w:rPr>
        <w:t>202</w:t>
      </w:r>
      <w:r>
        <w:rPr>
          <w:rFonts w:hint="eastAsia" w:ascii="Times New Roman" w:hAnsi="Times New Roman" w:eastAsia="方正小标宋简体" w:cs="Times New Roman"/>
          <w:b/>
          <w:bCs/>
          <w:kern w:val="2"/>
          <w:sz w:val="44"/>
          <w:szCs w:val="44"/>
          <w:lang w:val="en-US" w:eastAsia="zh-CN"/>
        </w:rPr>
        <w:t>5</w:t>
      </w:r>
      <w:r>
        <w:rPr>
          <w:rFonts w:hint="eastAsia" w:ascii="Times New Roman" w:hAnsi="Times New Roman" w:eastAsia="方正小标宋简体" w:cs="Times New Roman"/>
          <w:b/>
          <w:bCs/>
          <w:kern w:val="2"/>
          <w:sz w:val="44"/>
          <w:szCs w:val="44"/>
          <w:lang w:eastAsia="zh-CN"/>
        </w:rPr>
        <w:t>年度</w:t>
      </w:r>
      <w:r>
        <w:rPr>
          <w:rFonts w:hint="eastAsia" w:ascii="Times New Roman" w:hAnsi="Times New Roman" w:eastAsia="方正小标宋简体" w:cs="Times New Roman"/>
          <w:b/>
          <w:bCs/>
          <w:kern w:val="2"/>
          <w:sz w:val="44"/>
          <w:szCs w:val="44"/>
          <w:lang w:val="en-US" w:eastAsia="zh-CN"/>
        </w:rPr>
        <w:t>四川省</w:t>
      </w:r>
      <w:r>
        <w:rPr>
          <w:rFonts w:hint="eastAsia" w:ascii="Times New Roman" w:hAnsi="Times New Roman" w:eastAsia="方正小标宋简体" w:cs="Times New Roman"/>
          <w:b/>
          <w:bCs/>
          <w:kern w:val="2"/>
          <w:sz w:val="44"/>
          <w:szCs w:val="44"/>
          <w:lang w:eastAsia="zh-CN"/>
        </w:rPr>
        <w:t>攀枝花市民政局</w:t>
      </w:r>
    </w:p>
    <w:p w14:paraId="79A34CE6">
      <w:pPr>
        <w:pStyle w:val="5"/>
        <w:spacing w:before="93" w:beforeLines="0"/>
        <w:jc w:val="center"/>
        <w:rPr>
          <w:rFonts w:hint="eastAsia" w:ascii="Times New Roman" w:hAnsi="Times New Roman" w:eastAsia="方正小标宋简体" w:cs="Times New Roman"/>
          <w:b/>
          <w:bCs/>
          <w:kern w:val="2"/>
          <w:sz w:val="44"/>
          <w:szCs w:val="44"/>
          <w:lang w:eastAsia="zh-CN"/>
        </w:rPr>
      </w:pPr>
      <w:r>
        <w:rPr>
          <w:rFonts w:hint="eastAsia" w:ascii="Times New Roman" w:hAnsi="Times New Roman" w:eastAsia="方正小标宋简体" w:cs="Times New Roman"/>
          <w:b/>
          <w:bCs/>
          <w:kern w:val="2"/>
          <w:sz w:val="44"/>
          <w:szCs w:val="44"/>
          <w:lang w:eastAsia="zh-CN"/>
        </w:rPr>
        <w:t>部门决算公开文字说明</w:t>
      </w:r>
    </w:p>
    <w:p w14:paraId="7244F70D">
      <w:pPr>
        <w:pageBreakBefore w:val="0"/>
        <w:kinsoku/>
        <w:wordWrap/>
        <w:overflowPunct/>
        <w:topLinePunct w:val="0"/>
        <w:bidi w:val="0"/>
        <w:spacing w:line="600" w:lineRule="exact"/>
        <w:jc w:val="left"/>
        <w:outlineLvl w:val="0"/>
        <w:rPr>
          <w:rFonts w:eastAsia="方正小标宋简体"/>
          <w:sz w:val="72"/>
          <w:szCs w:val="72"/>
        </w:rPr>
      </w:pPr>
    </w:p>
    <w:p w14:paraId="2F629A8E">
      <w:pPr>
        <w:pStyle w:val="22"/>
        <w:pageBreakBefore w:val="0"/>
        <w:kinsoku/>
        <w:wordWrap/>
        <w:overflowPunct/>
        <w:topLinePunct w:val="0"/>
        <w:bidi w:val="0"/>
        <w:jc w:val="center"/>
        <w:rPr>
          <w:rFonts w:ascii="Times New Roman" w:hAnsi="Times New Roman"/>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fmt="numberInDash" w:start="1"/>
          <w:cols w:space="425" w:num="1"/>
          <w:titlePg/>
          <w:docGrid w:type="lines" w:linePitch="312" w:charSpace="0"/>
        </w:sectPr>
      </w:pPr>
    </w:p>
    <w:p w14:paraId="461B9AEB">
      <w:pPr>
        <w:pStyle w:val="5"/>
        <w:spacing w:before="93" w:beforeLines="0"/>
        <w:jc w:val="center"/>
        <w:rPr>
          <w:rFonts w:ascii="Times New Roman" w:hAnsi="Times New Roman" w:eastAsia="方正小标宋简体"/>
          <w:b/>
          <w:bCs/>
          <w:kern w:val="2"/>
          <w:sz w:val="44"/>
          <w:szCs w:val="44"/>
        </w:rPr>
      </w:pPr>
      <w:bookmarkStart w:id="6" w:name="_Toc15377426"/>
      <w:bookmarkStart w:id="7" w:name="_Toc15396598"/>
      <w:bookmarkStart w:id="8" w:name="_Toc15377194"/>
      <w:bookmarkStart w:id="9" w:name="_Toc15396476"/>
      <w:bookmarkStart w:id="10" w:name="_Toc15378442"/>
      <w:r>
        <w:rPr>
          <w:rFonts w:ascii="Times New Roman" w:hAnsi="Times New Roman" w:eastAsia="方正小标宋简体"/>
          <w:b/>
          <w:bCs/>
          <w:kern w:val="2"/>
          <w:sz w:val="44"/>
          <w:szCs w:val="44"/>
        </w:rPr>
        <w:t>2025年度攀枝花市</w:t>
      </w:r>
      <w:bookmarkStart w:id="11" w:name="_Toc15306268"/>
      <w:r>
        <w:rPr>
          <w:rFonts w:ascii="Times New Roman" w:hAnsi="Times New Roman" w:eastAsia="方正小标宋简体"/>
          <w:b/>
          <w:bCs/>
          <w:kern w:val="2"/>
          <w:sz w:val="44"/>
          <w:szCs w:val="44"/>
          <w:lang w:eastAsia="zh-CN"/>
        </w:rPr>
        <w:t>民政局</w:t>
      </w:r>
      <w:r>
        <w:rPr>
          <w:rFonts w:ascii="Times New Roman" w:hAnsi="Times New Roman" w:eastAsia="方正小标宋简体"/>
          <w:b/>
          <w:bCs/>
          <w:kern w:val="2"/>
          <w:sz w:val="44"/>
          <w:szCs w:val="44"/>
        </w:rPr>
        <w:t>决算</w:t>
      </w:r>
      <w:bookmarkEnd w:id="6"/>
      <w:bookmarkEnd w:id="7"/>
      <w:bookmarkEnd w:id="8"/>
      <w:bookmarkEnd w:id="9"/>
      <w:bookmarkEnd w:id="10"/>
      <w:bookmarkEnd w:id="11"/>
    </w:p>
    <w:p w14:paraId="37888864">
      <w:pPr>
        <w:widowControl/>
        <w:suppressAutoHyphens/>
        <w:jc w:val="center"/>
        <w:rPr>
          <w:rFonts w:ascii="Times New Roman" w:hAnsi="Times New Roman" w:eastAsia="方正小标宋_GBK" w:cs="Times New Roman"/>
          <w:b/>
          <w:bCs/>
          <w:sz w:val="44"/>
          <w:szCs w:val="44"/>
          <w:lang w:bidi="ar-SA"/>
        </w:rPr>
      </w:pPr>
      <w:r>
        <w:rPr>
          <w:rFonts w:hint="eastAsia" w:ascii="Times New Roman" w:hAnsi="Times New Roman" w:eastAsia="方正小标宋_GBK" w:cs="Times New Roman"/>
          <w:b/>
          <w:bCs/>
          <w:sz w:val="44"/>
          <w:szCs w:val="44"/>
          <w:lang w:bidi="ar-SA"/>
        </w:rPr>
        <w:t>目</w:t>
      </w:r>
      <w:r>
        <w:rPr>
          <w:rFonts w:hint="eastAsia" w:ascii="Times New Roman" w:hAnsi="Times New Roman" w:eastAsia="方正小标宋_GBK" w:cs="Times New Roman"/>
          <w:b/>
          <w:bCs/>
          <w:sz w:val="44"/>
          <w:szCs w:val="44"/>
          <w:lang w:val="en-US" w:eastAsia="zh-CN" w:bidi="ar-SA"/>
        </w:rPr>
        <w:t xml:space="preserve">  </w:t>
      </w:r>
      <w:r>
        <w:rPr>
          <w:rFonts w:hint="eastAsia" w:ascii="Times New Roman" w:hAnsi="Times New Roman" w:eastAsia="方正小标宋_GBK" w:cs="Times New Roman"/>
          <w:b/>
          <w:bCs/>
          <w:sz w:val="44"/>
          <w:szCs w:val="44"/>
          <w:lang w:bidi="ar-SA"/>
        </w:rPr>
        <w:t>录</w:t>
      </w:r>
    </w:p>
    <w:p w14:paraId="2BC671D5">
      <w:pPr>
        <w:pStyle w:val="13"/>
        <w:rPr>
          <w:rFonts w:eastAsia="黑体" w:cstheme="minorBidi"/>
          <w:sz w:val="28"/>
          <w:szCs w:val="28"/>
        </w:rPr>
      </w:pPr>
      <w:r>
        <w:rPr>
          <w:rFonts w:hint="eastAsia" w:ascii="Times New Roman" w:hAnsi="Times New Roman" w:eastAsia="仿宋_GB2312" w:cs="仿宋_GB2312"/>
          <w:sz w:val="32"/>
          <w:szCs w:val="32"/>
        </w:rPr>
        <w:t>公开时间：202</w:t>
      </w:r>
      <w:r>
        <w:rPr>
          <w:rFonts w:hint="eastAsia" w:ascii="Times New Roman" w:hAnsi="Times New Roman" w:eastAsia="仿宋_GB2312" w:cs="仿宋_GB2312"/>
          <w:sz w:val="32"/>
          <w:szCs w:val="32"/>
          <w:lang w:val="en-US" w:eastAsia="zh-CN"/>
        </w:rPr>
        <w:t>6</w:t>
      </w:r>
      <w:r>
        <w:rPr>
          <w:rFonts w:hint="eastAsia" w:ascii="Times New Roman" w:hAnsi="Times New Roman" w:eastAsia="仿宋_GB2312" w:cs="仿宋_GB2312"/>
          <w:sz w:val="32"/>
          <w:szCs w:val="32"/>
        </w:rPr>
        <w:t>年</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14</w:t>
      </w:r>
      <w:bookmarkStart w:id="72" w:name="_GoBack"/>
      <w:bookmarkEnd w:id="72"/>
      <w:r>
        <w:rPr>
          <w:rFonts w:hint="eastAsia" w:ascii="Times New Roman" w:hAnsi="Times New Roman" w:eastAsia="仿宋_GB2312" w:cs="仿宋_GB2312"/>
          <w:sz w:val="32"/>
          <w:szCs w:val="32"/>
        </w:rPr>
        <w:t>日</w:t>
      </w:r>
    </w:p>
    <w:p w14:paraId="17A6855A">
      <w:pPr>
        <w:pStyle w:val="13"/>
        <w:pageBreakBefore w:val="0"/>
        <w:kinsoku/>
        <w:wordWrap/>
        <w:overflowPunct/>
        <w:topLinePunct w:val="0"/>
        <w:bidi w:val="0"/>
        <w:adjustRightInd w:val="0"/>
        <w:snapToGrid w:val="0"/>
        <w:spacing w:before="0" w:line="600" w:lineRule="exact"/>
        <w:ind w:firstLine="640" w:firstLineChars="200"/>
        <w:jc w:val="left"/>
        <w:rPr>
          <w:rFonts w:hint="eastAsia" w:ascii="黑体" w:hAnsi="黑体" w:eastAsia="仿宋" w:cs="黑体"/>
          <w:sz w:val="32"/>
          <w:szCs w:val="32"/>
          <w:lang w:eastAsia="zh-CN" w:bidi="ar-SA"/>
        </w:rPr>
      </w:pPr>
      <w:r>
        <w:rPr>
          <w:rFonts w:hint="eastAsia" w:ascii="黑体" w:eastAsia="黑体" w:cs="黑体"/>
          <w:sz w:val="32"/>
          <w:szCs w:val="32"/>
          <w:lang w:bidi="ar-SA"/>
        </w:rPr>
        <w:t xml:space="preserve">第一部分 </w:t>
      </w:r>
      <w:r>
        <w:rPr>
          <w:rFonts w:hint="eastAsia" w:ascii="黑体" w:eastAsia="黑体" w:cs="黑体"/>
          <w:sz w:val="32"/>
          <w:szCs w:val="32"/>
          <w:lang w:eastAsia="zh-CN" w:bidi="ar-SA"/>
        </w:rPr>
        <w:t>部门</w:t>
      </w:r>
      <w:r>
        <w:rPr>
          <w:rFonts w:hint="eastAsia" w:ascii="黑体" w:eastAsia="黑体" w:cs="黑体"/>
          <w:sz w:val="32"/>
          <w:szCs w:val="32"/>
          <w:lang w:bidi="ar-SA"/>
        </w:rPr>
        <w:t>概况</w:t>
      </w:r>
      <w:r>
        <w:rPr>
          <w:rFonts w:hint="eastAsia" w:ascii="Times New Roman" w:hAnsi="Times New Roman" w:eastAsia="方正仿宋简体" w:cs="Times New Roman"/>
          <w:kern w:val="2"/>
          <w:sz w:val="32"/>
          <w:szCs w:val="32"/>
          <w:lang w:val="en-US" w:eastAsia="zh-CN" w:bidi="ar-SA"/>
        </w:rPr>
        <w:tab/>
      </w:r>
      <w:r>
        <w:rPr>
          <w:rFonts w:hint="eastAsia" w:ascii="Times New Roman" w:hAnsi="Times New Roman" w:eastAsia="方正仿宋简体" w:cs="Times New Roman"/>
          <w:kern w:val="2"/>
          <w:sz w:val="32"/>
          <w:szCs w:val="32"/>
          <w:lang w:val="en-US" w:eastAsia="zh-CN" w:bidi="ar-SA"/>
        </w:rPr>
        <w:t>1</w:t>
      </w:r>
    </w:p>
    <w:p w14:paraId="5E77CF39">
      <w:pPr>
        <w:pStyle w:val="13"/>
        <w:pageBreakBefore w:val="0"/>
        <w:kinsoku/>
        <w:wordWrap/>
        <w:overflowPunct/>
        <w:topLinePunct w:val="0"/>
        <w:bidi w:val="0"/>
        <w:spacing w:line="600" w:lineRule="exact"/>
        <w:jc w:val="left"/>
        <w:rPr>
          <w:rFonts w:hint="eastAsia" w:ascii="Times New Roman" w:hAnsi="Times New Roman" w:eastAsia="方正仿宋简体" w:cs="Times New Roman"/>
          <w:kern w:val="2"/>
          <w:sz w:val="32"/>
          <w:szCs w:val="32"/>
          <w:lang w:val="en-US" w:eastAsia="zh-CN" w:bidi="ar-SA"/>
        </w:rPr>
      </w:pPr>
      <w:r>
        <w:rPr>
          <w:rFonts w:hint="eastAsia" w:ascii="楷体_GB2312" w:eastAsia="楷体_GB2312" w:cs="楷体_GB2312"/>
          <w:sz w:val="32"/>
          <w:szCs w:val="32"/>
          <w:lang w:bidi="ar-SA"/>
        </w:rPr>
        <w:t xml:space="preserve">    </w:t>
      </w:r>
      <w:r>
        <w:rPr>
          <w:rFonts w:hint="eastAsia" w:ascii="Times New Roman" w:hAnsi="Times New Roman" w:eastAsia="方正仿宋简体" w:cs="Times New Roman"/>
          <w:kern w:val="2"/>
          <w:sz w:val="32"/>
          <w:szCs w:val="32"/>
          <w:lang w:val="en-US" w:eastAsia="zh-CN" w:bidi="ar-SA"/>
        </w:rPr>
        <w:t>一、部门职责</w:t>
      </w:r>
      <w:r>
        <w:rPr>
          <w:rFonts w:ascii="Times New Roman" w:hAnsi="Times New Roman" w:eastAsia="方正仿宋简体" w:cs="Times New Roman"/>
          <w:kern w:val="2"/>
          <w:sz w:val="32"/>
          <w:szCs w:val="32"/>
          <w:lang w:val="en-US" w:eastAsia="zh-CN" w:bidi="ar-SA"/>
        </w:rPr>
        <w:tab/>
      </w:r>
      <w:r>
        <w:rPr>
          <w:rFonts w:hint="eastAsia" w:ascii="Times New Roman" w:hAnsi="Times New Roman" w:eastAsia="方正仿宋简体" w:cs="Times New Roman"/>
          <w:kern w:val="2"/>
          <w:sz w:val="32"/>
          <w:szCs w:val="32"/>
          <w:lang w:val="en-US" w:eastAsia="zh-CN" w:bidi="ar-SA"/>
        </w:rPr>
        <w:t>1</w:t>
      </w:r>
    </w:p>
    <w:p w14:paraId="6342B1A5">
      <w:pPr>
        <w:pStyle w:val="13"/>
        <w:pageBreakBefore w:val="0"/>
        <w:kinsoku/>
        <w:wordWrap/>
        <w:overflowPunct/>
        <w:topLinePunct w:val="0"/>
        <w:bidi w:val="0"/>
        <w:spacing w:line="600" w:lineRule="exact"/>
        <w:jc w:val="left"/>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 xml:space="preserve">    二、机构设置</w:t>
      </w:r>
      <w:r>
        <w:rPr>
          <w:rFonts w:ascii="Times New Roman" w:hAnsi="Times New Roman" w:eastAsia="方正仿宋简体" w:cs="Times New Roman"/>
          <w:kern w:val="2"/>
          <w:sz w:val="32"/>
          <w:szCs w:val="32"/>
          <w:lang w:val="en-US" w:eastAsia="zh-CN" w:bidi="ar-SA"/>
        </w:rPr>
        <w:tab/>
      </w:r>
      <w:r>
        <w:rPr>
          <w:rFonts w:hint="eastAsia" w:ascii="Times New Roman" w:hAnsi="Times New Roman" w:eastAsia="方正仿宋简体" w:cs="Times New Roman"/>
          <w:kern w:val="2"/>
          <w:sz w:val="32"/>
          <w:szCs w:val="32"/>
          <w:lang w:val="en-US" w:eastAsia="zh-CN" w:bidi="ar-SA"/>
        </w:rPr>
        <w:t>3</w:t>
      </w:r>
    </w:p>
    <w:p w14:paraId="23B58BFD">
      <w:pPr>
        <w:pStyle w:val="13"/>
        <w:pageBreakBefore w:val="0"/>
        <w:kinsoku/>
        <w:wordWrap/>
        <w:overflowPunct/>
        <w:topLinePunct w:val="0"/>
        <w:bidi w:val="0"/>
        <w:adjustRightInd w:val="0"/>
        <w:snapToGrid w:val="0"/>
        <w:spacing w:before="0" w:line="600" w:lineRule="exact"/>
        <w:ind w:firstLine="640" w:firstLineChars="200"/>
        <w:jc w:val="left"/>
        <w:rPr>
          <w:rFonts w:hint="eastAsia" w:ascii="Times New Roman" w:hAnsi="Times New Roman" w:eastAsia="方正仿宋简体" w:cs="Times New Roman"/>
          <w:kern w:val="2"/>
          <w:sz w:val="32"/>
          <w:szCs w:val="32"/>
          <w:lang w:val="en-US" w:eastAsia="zh-CN" w:bidi="ar-SA"/>
        </w:rPr>
      </w:pPr>
      <w:r>
        <w:rPr>
          <w:rFonts w:hint="eastAsia" w:ascii="黑体" w:eastAsia="黑体" w:cs="黑体"/>
          <w:sz w:val="32"/>
          <w:szCs w:val="32"/>
          <w:lang w:val="en-US" w:eastAsia="zh-CN" w:bidi="ar-SA"/>
        </w:rPr>
        <w:t>第二部分 2025年度部门决算情况说明</w:t>
      </w:r>
      <w:r>
        <w:rPr>
          <w:rFonts w:ascii="Times New Roman" w:hAnsi="Times New Roman" w:eastAsia="方正仿宋简体" w:cs="Times New Roman"/>
          <w:kern w:val="2"/>
          <w:sz w:val="32"/>
          <w:szCs w:val="32"/>
          <w:lang w:val="en-US" w:eastAsia="zh-CN" w:bidi="ar-SA"/>
        </w:rPr>
        <w:tab/>
      </w:r>
      <w:r>
        <w:rPr>
          <w:rFonts w:hint="eastAsia" w:ascii="Times New Roman" w:hAnsi="Times New Roman" w:eastAsia="方正仿宋简体" w:cs="Times New Roman"/>
          <w:kern w:val="2"/>
          <w:sz w:val="32"/>
          <w:szCs w:val="32"/>
          <w:lang w:val="en-US" w:eastAsia="zh-CN" w:bidi="ar-SA"/>
        </w:rPr>
        <w:t>4</w:t>
      </w:r>
    </w:p>
    <w:p w14:paraId="2698482F">
      <w:pPr>
        <w:pStyle w:val="13"/>
        <w:keepNext w:val="0"/>
        <w:keepLines w:val="0"/>
        <w:pageBreakBefore w:val="0"/>
        <w:widowControl w:val="0"/>
        <w:kinsoku/>
        <w:wordWrap/>
        <w:overflowPunct/>
        <w:topLinePunct w:val="0"/>
        <w:autoSpaceDE/>
        <w:autoSpaceDN/>
        <w:bidi w:val="0"/>
        <w:spacing w:line="600" w:lineRule="exact"/>
        <w:ind w:firstLine="640" w:firstLineChars="200"/>
        <w:jc w:val="left"/>
        <w:textAlignment w:val="auto"/>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一、收入支出决算总体情况说明</w:t>
      </w:r>
      <w:r>
        <w:rPr>
          <w:rFonts w:ascii="Times New Roman" w:hAnsi="Times New Roman" w:eastAsia="方正仿宋简体" w:cs="Times New Roman"/>
          <w:kern w:val="2"/>
          <w:sz w:val="32"/>
          <w:szCs w:val="32"/>
          <w:lang w:val="en-US" w:eastAsia="zh-CN" w:bidi="ar-SA"/>
        </w:rPr>
        <w:tab/>
      </w:r>
      <w:r>
        <w:rPr>
          <w:rFonts w:hint="eastAsia" w:ascii="Times New Roman" w:hAnsi="Times New Roman" w:eastAsia="方正仿宋简体" w:cs="Times New Roman"/>
          <w:kern w:val="2"/>
          <w:sz w:val="32"/>
          <w:szCs w:val="32"/>
          <w:lang w:val="en-US" w:eastAsia="zh-CN" w:bidi="ar-SA"/>
        </w:rPr>
        <w:t>4</w:t>
      </w:r>
    </w:p>
    <w:p w14:paraId="09987DAA">
      <w:pPr>
        <w:pStyle w:val="13"/>
        <w:keepNext w:val="0"/>
        <w:keepLines w:val="0"/>
        <w:pageBreakBefore w:val="0"/>
        <w:widowControl w:val="0"/>
        <w:kinsoku/>
        <w:wordWrap/>
        <w:overflowPunct/>
        <w:topLinePunct w:val="0"/>
        <w:autoSpaceDE/>
        <w:autoSpaceDN/>
        <w:bidi w:val="0"/>
        <w:spacing w:line="600" w:lineRule="exact"/>
        <w:ind w:firstLine="640" w:firstLineChars="200"/>
        <w:jc w:val="left"/>
        <w:textAlignment w:val="auto"/>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二、收入决算情况说明</w:t>
      </w:r>
      <w:r>
        <w:rPr>
          <w:rFonts w:ascii="Times New Roman" w:hAnsi="Times New Roman" w:eastAsia="方正仿宋简体" w:cs="Times New Roman"/>
          <w:kern w:val="2"/>
          <w:sz w:val="32"/>
          <w:szCs w:val="32"/>
          <w:lang w:val="en-US" w:eastAsia="zh-CN" w:bidi="ar-SA"/>
        </w:rPr>
        <w:tab/>
      </w:r>
      <w:r>
        <w:rPr>
          <w:rFonts w:hint="eastAsia" w:ascii="Times New Roman" w:hAnsi="Times New Roman" w:eastAsia="方正仿宋简体" w:cs="Times New Roman"/>
          <w:kern w:val="2"/>
          <w:sz w:val="32"/>
          <w:szCs w:val="32"/>
          <w:lang w:val="en-US" w:eastAsia="zh-CN" w:bidi="ar-SA"/>
        </w:rPr>
        <w:t>4</w:t>
      </w:r>
    </w:p>
    <w:p w14:paraId="58432E7E">
      <w:pPr>
        <w:pStyle w:val="13"/>
        <w:keepNext w:val="0"/>
        <w:keepLines w:val="0"/>
        <w:pageBreakBefore w:val="0"/>
        <w:widowControl w:val="0"/>
        <w:suppressAutoHyphens/>
        <w:kinsoku/>
        <w:wordWrap/>
        <w:overflowPunct/>
        <w:topLinePunct w:val="0"/>
        <w:autoSpaceDE/>
        <w:autoSpaceDN/>
        <w:bidi w:val="0"/>
        <w:adjustRightInd w:val="0"/>
        <w:snapToGrid w:val="0"/>
        <w:spacing w:before="0" w:line="600" w:lineRule="exact"/>
        <w:ind w:firstLine="640" w:firstLineChars="200"/>
        <w:jc w:val="left"/>
        <w:textAlignment w:val="auto"/>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三、支出决算情况说明</w:t>
      </w:r>
      <w:r>
        <w:rPr>
          <w:rFonts w:ascii="Times New Roman" w:hAnsi="Times New Roman" w:eastAsia="方正仿宋简体" w:cs="Times New Roman"/>
          <w:kern w:val="2"/>
          <w:sz w:val="32"/>
          <w:szCs w:val="32"/>
          <w:lang w:val="en-US" w:eastAsia="zh-CN" w:bidi="ar-SA"/>
        </w:rPr>
        <w:tab/>
      </w:r>
      <w:r>
        <w:rPr>
          <w:rFonts w:hint="eastAsia" w:ascii="Times New Roman" w:hAnsi="Times New Roman" w:eastAsia="方正仿宋简体" w:cs="Times New Roman"/>
          <w:kern w:val="2"/>
          <w:sz w:val="32"/>
          <w:szCs w:val="32"/>
          <w:lang w:val="en-US" w:eastAsia="zh-CN" w:bidi="ar-SA"/>
        </w:rPr>
        <w:t>5</w:t>
      </w:r>
    </w:p>
    <w:p w14:paraId="689501BA">
      <w:pPr>
        <w:pStyle w:val="13"/>
        <w:keepNext w:val="0"/>
        <w:keepLines w:val="0"/>
        <w:pageBreakBefore w:val="0"/>
        <w:widowControl w:val="0"/>
        <w:kinsoku/>
        <w:wordWrap/>
        <w:overflowPunct/>
        <w:topLinePunct w:val="0"/>
        <w:autoSpaceDE/>
        <w:autoSpaceDN/>
        <w:bidi w:val="0"/>
        <w:spacing w:line="600" w:lineRule="exact"/>
        <w:ind w:firstLine="640" w:firstLineChars="200"/>
        <w:jc w:val="left"/>
        <w:textAlignment w:val="auto"/>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四、财政拨款收入支出决算总体情况说明</w:t>
      </w:r>
      <w:r>
        <w:rPr>
          <w:rFonts w:ascii="Times New Roman" w:hAnsi="Times New Roman" w:eastAsia="方正仿宋简体" w:cs="Times New Roman"/>
          <w:kern w:val="2"/>
          <w:sz w:val="32"/>
          <w:szCs w:val="32"/>
          <w:lang w:val="en-US" w:eastAsia="zh-CN" w:bidi="ar-SA"/>
        </w:rPr>
        <w:tab/>
      </w:r>
      <w:r>
        <w:rPr>
          <w:rFonts w:hint="eastAsia" w:ascii="Times New Roman" w:hAnsi="Times New Roman" w:eastAsia="方正仿宋简体" w:cs="Times New Roman"/>
          <w:kern w:val="2"/>
          <w:sz w:val="32"/>
          <w:szCs w:val="32"/>
          <w:lang w:val="en-US" w:eastAsia="zh-CN" w:bidi="ar-SA"/>
        </w:rPr>
        <w:t>5</w:t>
      </w:r>
    </w:p>
    <w:p w14:paraId="5E9CE945">
      <w:pPr>
        <w:pStyle w:val="13"/>
        <w:keepNext w:val="0"/>
        <w:keepLines w:val="0"/>
        <w:pageBreakBefore w:val="0"/>
        <w:widowControl w:val="0"/>
        <w:kinsoku/>
        <w:wordWrap/>
        <w:overflowPunct/>
        <w:topLinePunct w:val="0"/>
        <w:autoSpaceDE/>
        <w:autoSpaceDN/>
        <w:bidi w:val="0"/>
        <w:spacing w:line="600" w:lineRule="exact"/>
        <w:ind w:firstLine="640" w:firstLineChars="200"/>
        <w:jc w:val="left"/>
        <w:textAlignment w:val="auto"/>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五、一般公共预算财政拨款支出决算情况说明</w:t>
      </w:r>
      <w:r>
        <w:rPr>
          <w:rFonts w:ascii="Times New Roman" w:hAnsi="Times New Roman" w:eastAsia="方正仿宋简体" w:cs="Times New Roman"/>
          <w:kern w:val="2"/>
          <w:sz w:val="32"/>
          <w:szCs w:val="32"/>
          <w:lang w:val="en-US" w:eastAsia="zh-CN" w:bidi="ar-SA"/>
        </w:rPr>
        <w:tab/>
      </w:r>
      <w:r>
        <w:rPr>
          <w:rFonts w:hint="eastAsia" w:ascii="Times New Roman" w:hAnsi="Times New Roman" w:eastAsia="方正仿宋简体" w:cs="Times New Roman"/>
          <w:kern w:val="2"/>
          <w:sz w:val="32"/>
          <w:szCs w:val="32"/>
          <w:lang w:val="en-US" w:eastAsia="zh-CN" w:bidi="ar-SA"/>
        </w:rPr>
        <w:t>6</w:t>
      </w:r>
    </w:p>
    <w:p w14:paraId="48C8228C">
      <w:pPr>
        <w:pStyle w:val="13"/>
        <w:keepNext w:val="0"/>
        <w:keepLines w:val="0"/>
        <w:pageBreakBefore w:val="0"/>
        <w:widowControl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六、一般公共预算财政拨款基本支出决算情况说明</w:t>
      </w:r>
      <w:r>
        <w:rPr>
          <w:rFonts w:ascii="Times New Roman" w:hAnsi="Times New Roman" w:eastAsia="方正仿宋简体" w:cs="Times New Roman"/>
          <w:kern w:val="2"/>
          <w:sz w:val="32"/>
          <w:szCs w:val="32"/>
          <w:lang w:val="en-US" w:eastAsia="zh-CN" w:bidi="ar-SA"/>
        </w:rPr>
        <w:tab/>
      </w:r>
      <w:r>
        <w:rPr>
          <w:rFonts w:hint="eastAsia" w:ascii="Times New Roman" w:hAnsi="Times New Roman" w:eastAsia="方正仿宋简体" w:cs="Times New Roman"/>
          <w:kern w:val="2"/>
          <w:sz w:val="32"/>
          <w:szCs w:val="32"/>
          <w:lang w:val="en-US" w:eastAsia="zh-CN" w:bidi="ar-SA"/>
        </w:rPr>
        <w:t>10</w:t>
      </w:r>
    </w:p>
    <w:p w14:paraId="52FFA82D">
      <w:pPr>
        <w:pStyle w:val="13"/>
        <w:keepNext w:val="0"/>
        <w:keepLines w:val="0"/>
        <w:pageBreakBefore w:val="0"/>
        <w:widowControl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七、财政拨款“三公”经费支出决算情况说明</w:t>
      </w:r>
      <w:r>
        <w:rPr>
          <w:rFonts w:ascii="Times New Roman" w:hAnsi="Times New Roman" w:eastAsia="方正仿宋简体" w:cs="Times New Roman"/>
          <w:kern w:val="2"/>
          <w:sz w:val="32"/>
          <w:szCs w:val="32"/>
          <w:lang w:val="en-US" w:eastAsia="zh-CN" w:bidi="ar-SA"/>
        </w:rPr>
        <w:tab/>
      </w:r>
      <w:r>
        <w:rPr>
          <w:rFonts w:hint="eastAsia" w:ascii="Times New Roman" w:hAnsi="Times New Roman" w:eastAsia="方正仿宋简体" w:cs="Times New Roman"/>
          <w:kern w:val="2"/>
          <w:sz w:val="32"/>
          <w:szCs w:val="32"/>
          <w:lang w:val="en-US" w:eastAsia="zh-CN" w:bidi="ar-SA"/>
        </w:rPr>
        <w:t>10</w:t>
      </w:r>
    </w:p>
    <w:p w14:paraId="085291BD">
      <w:pPr>
        <w:pStyle w:val="13"/>
        <w:keepNext w:val="0"/>
        <w:keepLines w:val="0"/>
        <w:pageBreakBefore w:val="0"/>
        <w:widowControl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八、政府性基金预算支出决算情况说明</w:t>
      </w:r>
      <w:r>
        <w:rPr>
          <w:rFonts w:ascii="Times New Roman" w:hAnsi="Times New Roman" w:eastAsia="方正仿宋简体" w:cs="Times New Roman"/>
          <w:kern w:val="2"/>
          <w:sz w:val="32"/>
          <w:szCs w:val="32"/>
          <w:lang w:val="en-US" w:eastAsia="zh-CN" w:bidi="ar-SA"/>
        </w:rPr>
        <w:tab/>
      </w:r>
      <w:r>
        <w:rPr>
          <w:rFonts w:hint="eastAsia" w:ascii="Times New Roman" w:hAnsi="Times New Roman" w:eastAsia="方正仿宋简体" w:cs="Times New Roman"/>
          <w:kern w:val="2"/>
          <w:sz w:val="32"/>
          <w:szCs w:val="32"/>
          <w:lang w:val="en-US" w:eastAsia="zh-CN" w:bidi="ar-SA"/>
        </w:rPr>
        <w:t>12</w:t>
      </w:r>
    </w:p>
    <w:p w14:paraId="08288F86">
      <w:pPr>
        <w:pStyle w:val="13"/>
        <w:keepNext w:val="0"/>
        <w:keepLines w:val="0"/>
        <w:pageBreakBefore w:val="0"/>
        <w:widowControl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九、国有资本经营预算支出决算情况说明</w:t>
      </w:r>
      <w:r>
        <w:rPr>
          <w:rFonts w:ascii="Times New Roman" w:hAnsi="Times New Roman" w:eastAsia="方正仿宋简体" w:cs="Times New Roman"/>
          <w:kern w:val="2"/>
          <w:sz w:val="32"/>
          <w:szCs w:val="32"/>
          <w:lang w:val="en-US" w:eastAsia="zh-CN" w:bidi="ar-SA"/>
        </w:rPr>
        <w:tab/>
      </w:r>
      <w:r>
        <w:rPr>
          <w:rFonts w:hint="eastAsia" w:ascii="Times New Roman" w:hAnsi="Times New Roman" w:eastAsia="方正仿宋简体" w:cs="Times New Roman"/>
          <w:kern w:val="2"/>
          <w:sz w:val="32"/>
          <w:szCs w:val="32"/>
          <w:lang w:val="en-US" w:eastAsia="zh-CN" w:bidi="ar-SA"/>
        </w:rPr>
        <w:t>12</w:t>
      </w:r>
    </w:p>
    <w:p w14:paraId="731F8E69">
      <w:pPr>
        <w:pStyle w:val="13"/>
        <w:keepNext w:val="0"/>
        <w:keepLines w:val="0"/>
        <w:pageBreakBefore w:val="0"/>
        <w:widowControl w:val="0"/>
        <w:kinsoku/>
        <w:wordWrap/>
        <w:overflowPunct/>
        <w:topLinePunct w:val="0"/>
        <w:autoSpaceDE/>
        <w:autoSpaceDN/>
        <w:bidi w:val="0"/>
        <w:spacing w:line="600" w:lineRule="exact"/>
        <w:ind w:firstLine="640" w:firstLineChars="200"/>
        <w:jc w:val="left"/>
        <w:textAlignment w:val="auto"/>
        <w:rPr>
          <w:rFonts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十、其他重要事项的情况说明</w:t>
      </w:r>
      <w:r>
        <w:rPr>
          <w:rFonts w:ascii="Times New Roman" w:hAnsi="Times New Roman" w:eastAsia="方正仿宋简体" w:cs="Times New Roman"/>
          <w:kern w:val="2"/>
          <w:sz w:val="32"/>
          <w:szCs w:val="32"/>
          <w:lang w:val="en-US" w:eastAsia="zh-CN" w:bidi="ar-SA"/>
        </w:rPr>
        <w:tab/>
      </w:r>
      <w:r>
        <w:rPr>
          <w:rFonts w:hint="eastAsia" w:ascii="Times New Roman" w:hAnsi="Times New Roman" w:eastAsia="方正仿宋简体" w:cs="Times New Roman"/>
          <w:kern w:val="2"/>
          <w:sz w:val="32"/>
          <w:szCs w:val="32"/>
          <w:lang w:val="en-US" w:eastAsia="zh-CN" w:bidi="ar-SA"/>
        </w:rPr>
        <w:t>12</w:t>
      </w:r>
    </w:p>
    <w:p w14:paraId="2F2CC58A">
      <w:pPr>
        <w:pStyle w:val="13"/>
        <w:pageBreakBefore w:val="0"/>
        <w:kinsoku/>
        <w:wordWrap/>
        <w:overflowPunct/>
        <w:topLinePunct w:val="0"/>
        <w:bidi w:val="0"/>
        <w:adjustRightInd w:val="0"/>
        <w:snapToGrid w:val="0"/>
        <w:spacing w:before="0" w:line="600" w:lineRule="exact"/>
        <w:ind w:firstLine="640" w:firstLineChars="200"/>
        <w:jc w:val="left"/>
        <w:rPr>
          <w:rFonts w:hint="default" w:ascii="Times New Roman" w:hAnsi="Times New Roman" w:eastAsia="方正仿宋简体" w:cs="Times New Roman"/>
          <w:kern w:val="2"/>
          <w:sz w:val="32"/>
          <w:szCs w:val="32"/>
          <w:lang w:val="en-US" w:eastAsia="zh-CN" w:bidi="ar-SA"/>
        </w:rPr>
      </w:pPr>
      <w:r>
        <w:rPr>
          <w:rFonts w:hint="eastAsia" w:ascii="黑体" w:eastAsia="黑体" w:cs="黑体"/>
          <w:sz w:val="32"/>
          <w:szCs w:val="32"/>
          <w:lang w:val="en-US" w:eastAsia="zh-CN" w:bidi="ar-SA"/>
        </w:rPr>
        <w:t>第三部分</w:t>
      </w:r>
      <w:r>
        <w:rPr>
          <w:rFonts w:ascii="黑体" w:eastAsia="黑体" w:cs="黑体"/>
          <w:sz w:val="32"/>
          <w:szCs w:val="32"/>
          <w:lang w:val="en-US" w:eastAsia="zh-CN" w:bidi="ar-SA"/>
        </w:rPr>
        <w:t xml:space="preserve"> </w:t>
      </w:r>
      <w:r>
        <w:rPr>
          <w:rFonts w:hint="eastAsia" w:ascii="黑体" w:eastAsia="黑体" w:cs="黑体"/>
          <w:sz w:val="32"/>
          <w:szCs w:val="32"/>
          <w:lang w:val="en-US" w:eastAsia="zh-CN" w:bidi="ar-SA"/>
        </w:rPr>
        <w:t>名词解释</w:t>
      </w:r>
      <w:r>
        <w:rPr>
          <w:rFonts w:ascii="Times New Roman" w:hAnsi="Times New Roman" w:eastAsia="方正仿宋简体" w:cs="Times New Roman"/>
          <w:kern w:val="2"/>
          <w:sz w:val="32"/>
          <w:szCs w:val="32"/>
          <w:lang w:val="en-US" w:eastAsia="zh-CN" w:bidi="ar-SA"/>
        </w:rPr>
        <w:tab/>
      </w:r>
      <w:r>
        <w:rPr>
          <w:rFonts w:hint="eastAsia" w:ascii="Times New Roman" w:hAnsi="Times New Roman" w:eastAsia="方正仿宋简体" w:cs="Times New Roman"/>
          <w:kern w:val="2"/>
          <w:sz w:val="32"/>
          <w:szCs w:val="32"/>
          <w:lang w:val="en-US" w:eastAsia="zh-CN" w:bidi="ar-SA"/>
        </w:rPr>
        <w:t>16</w:t>
      </w:r>
    </w:p>
    <w:p w14:paraId="02ACE78B">
      <w:pPr>
        <w:pStyle w:val="13"/>
        <w:pageBreakBefore w:val="0"/>
        <w:kinsoku/>
        <w:wordWrap/>
        <w:overflowPunct/>
        <w:topLinePunct w:val="0"/>
        <w:bidi w:val="0"/>
        <w:adjustRightInd w:val="0"/>
        <w:snapToGrid w:val="0"/>
        <w:spacing w:before="0" w:line="600" w:lineRule="exact"/>
        <w:ind w:firstLine="640" w:firstLineChars="200"/>
        <w:jc w:val="left"/>
        <w:rPr>
          <w:rFonts w:hint="default" w:ascii="Times New Roman" w:hAnsi="Times New Roman" w:eastAsia="方正仿宋简体" w:cs="Times New Roman"/>
          <w:kern w:val="2"/>
          <w:sz w:val="32"/>
          <w:szCs w:val="32"/>
          <w:lang w:val="en-US" w:eastAsia="zh-CN" w:bidi="ar-SA"/>
        </w:rPr>
      </w:pPr>
      <w:r>
        <w:rPr>
          <w:rFonts w:hint="eastAsia" w:ascii="黑体" w:eastAsia="黑体" w:cs="黑体"/>
          <w:sz w:val="32"/>
          <w:szCs w:val="32"/>
          <w:lang w:val="en-US" w:eastAsia="zh-CN" w:bidi="ar-SA"/>
        </w:rPr>
        <w:t>第四部分</w:t>
      </w:r>
      <w:r>
        <w:rPr>
          <w:rFonts w:ascii="黑体" w:eastAsia="黑体" w:cs="黑体"/>
          <w:sz w:val="32"/>
          <w:szCs w:val="32"/>
          <w:lang w:val="en-US" w:eastAsia="zh-CN" w:bidi="ar-SA"/>
        </w:rPr>
        <w:t xml:space="preserve"> </w:t>
      </w:r>
      <w:r>
        <w:rPr>
          <w:rFonts w:hint="eastAsia" w:ascii="黑体" w:eastAsia="黑体" w:cs="黑体"/>
          <w:sz w:val="32"/>
          <w:szCs w:val="32"/>
          <w:lang w:val="en-US" w:eastAsia="zh-CN" w:bidi="ar-SA"/>
        </w:rPr>
        <w:t>附件</w:t>
      </w:r>
      <w:r>
        <w:rPr>
          <w:rFonts w:ascii="Times New Roman" w:hAnsi="Times New Roman" w:eastAsia="方正仿宋简体" w:cs="Times New Roman"/>
          <w:kern w:val="2"/>
          <w:sz w:val="32"/>
          <w:szCs w:val="32"/>
          <w:lang w:val="en-US" w:eastAsia="zh-CN" w:bidi="ar-SA"/>
        </w:rPr>
        <w:tab/>
      </w:r>
      <w:r>
        <w:rPr>
          <w:rFonts w:hint="eastAsia" w:ascii="Times New Roman" w:hAnsi="Times New Roman" w:eastAsia="方正仿宋简体" w:cs="Times New Roman"/>
          <w:kern w:val="2"/>
          <w:sz w:val="32"/>
          <w:szCs w:val="32"/>
          <w:lang w:val="en-US" w:eastAsia="zh-CN" w:bidi="ar-SA"/>
        </w:rPr>
        <w:t>19</w:t>
      </w:r>
    </w:p>
    <w:p w14:paraId="1F94EF68">
      <w:pPr>
        <w:pStyle w:val="13"/>
        <w:pageBreakBefore w:val="0"/>
        <w:kinsoku/>
        <w:wordWrap/>
        <w:overflowPunct/>
        <w:topLinePunct w:val="0"/>
        <w:bidi w:val="0"/>
        <w:adjustRightInd w:val="0"/>
        <w:snapToGrid w:val="0"/>
        <w:spacing w:before="0" w:line="600" w:lineRule="exact"/>
        <w:ind w:firstLine="640" w:firstLineChars="200"/>
        <w:jc w:val="left"/>
        <w:rPr>
          <w:rFonts w:hint="default" w:ascii="Times New Roman" w:hAnsi="Times New Roman" w:eastAsia="方正仿宋简体" w:cs="Times New Roman"/>
          <w:kern w:val="2"/>
          <w:sz w:val="32"/>
          <w:szCs w:val="32"/>
          <w:lang w:val="en-US" w:eastAsia="zh-CN" w:bidi="ar-SA"/>
        </w:rPr>
      </w:pPr>
      <w:r>
        <w:rPr>
          <w:rFonts w:hint="eastAsia" w:ascii="黑体" w:eastAsia="黑体" w:cs="黑体"/>
          <w:sz w:val="32"/>
          <w:szCs w:val="32"/>
          <w:lang w:val="en-US" w:eastAsia="zh-CN" w:bidi="ar-SA"/>
        </w:rPr>
        <w:t>第五部分</w:t>
      </w:r>
      <w:r>
        <w:rPr>
          <w:rFonts w:ascii="黑体" w:eastAsia="黑体" w:cs="黑体"/>
          <w:sz w:val="32"/>
          <w:szCs w:val="32"/>
          <w:lang w:val="en-US" w:eastAsia="zh-CN" w:bidi="ar-SA"/>
        </w:rPr>
        <w:t xml:space="preserve"> </w:t>
      </w:r>
      <w:r>
        <w:rPr>
          <w:rFonts w:hint="eastAsia" w:ascii="黑体" w:eastAsia="黑体" w:cs="黑体"/>
          <w:sz w:val="32"/>
          <w:szCs w:val="32"/>
          <w:lang w:val="en-US" w:eastAsia="zh-CN" w:bidi="ar-SA"/>
        </w:rPr>
        <w:t>附表</w:t>
      </w:r>
      <w:r>
        <w:rPr>
          <w:rFonts w:ascii="Times New Roman" w:hAnsi="Times New Roman" w:eastAsia="方正仿宋简体" w:cs="Times New Roman"/>
          <w:kern w:val="2"/>
          <w:sz w:val="32"/>
          <w:szCs w:val="32"/>
          <w:lang w:val="en-US" w:eastAsia="zh-CN" w:bidi="ar-SA"/>
        </w:rPr>
        <w:tab/>
      </w:r>
      <w:r>
        <w:rPr>
          <w:rFonts w:hint="eastAsia" w:ascii="Times New Roman" w:hAnsi="Times New Roman" w:eastAsia="方正仿宋简体" w:cs="Times New Roman"/>
          <w:kern w:val="2"/>
          <w:sz w:val="32"/>
          <w:szCs w:val="32"/>
          <w:lang w:val="en-US" w:eastAsia="zh-CN" w:bidi="ar-SA"/>
        </w:rPr>
        <w:t>102</w:t>
      </w:r>
    </w:p>
    <w:p w14:paraId="3BF71496">
      <w:pPr>
        <w:pStyle w:val="13"/>
        <w:pageBreakBefore w:val="0"/>
        <w:widowControl w:val="0"/>
        <w:numPr>
          <w:ilvl w:val="0"/>
          <w:numId w:val="1"/>
        </w:numPr>
        <w:kinsoku/>
        <w:wordWrap/>
        <w:overflowPunct/>
        <w:topLinePunct w:val="0"/>
        <w:autoSpaceDE/>
        <w:autoSpaceDN/>
        <w:bidi w:val="0"/>
        <w:adjustRightInd w:val="0"/>
        <w:snapToGrid w:val="0"/>
        <w:spacing w:before="0" w:line="600" w:lineRule="exact"/>
        <w:ind w:left="0" w:firstLine="640" w:firstLineChars="200"/>
        <w:jc w:val="left"/>
        <w:textAlignment w:val="auto"/>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收入支出决算总表</w:t>
      </w:r>
      <w:r>
        <w:rPr>
          <w:rFonts w:ascii="Times New Roman" w:hAnsi="Times New Roman" w:eastAsia="方正仿宋简体" w:cs="Times New Roman"/>
          <w:kern w:val="2"/>
          <w:sz w:val="32"/>
          <w:szCs w:val="32"/>
          <w:lang w:val="en-US" w:eastAsia="zh-CN" w:bidi="ar-SA"/>
        </w:rPr>
        <w:tab/>
      </w:r>
      <w:r>
        <w:rPr>
          <w:rFonts w:hint="eastAsia" w:ascii="Times New Roman" w:hAnsi="Times New Roman" w:eastAsia="方正仿宋简体" w:cs="Times New Roman"/>
          <w:kern w:val="2"/>
          <w:sz w:val="32"/>
          <w:szCs w:val="32"/>
          <w:lang w:val="en-US" w:eastAsia="zh-CN" w:bidi="ar-SA"/>
        </w:rPr>
        <w:t>102</w:t>
      </w:r>
    </w:p>
    <w:p w14:paraId="041FEEE5">
      <w:pPr>
        <w:pStyle w:val="13"/>
        <w:pageBreakBefore w:val="0"/>
        <w:widowControl w:val="0"/>
        <w:kinsoku/>
        <w:wordWrap/>
        <w:overflowPunct/>
        <w:topLinePunct w:val="0"/>
        <w:autoSpaceDE/>
        <w:autoSpaceDN/>
        <w:bidi w:val="0"/>
        <w:spacing w:before="0" w:line="600" w:lineRule="exact"/>
        <w:ind w:firstLine="640" w:firstLineChars="200"/>
        <w:jc w:val="left"/>
        <w:textAlignment w:val="auto"/>
        <w:rPr>
          <w:rFonts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二、收入决算表</w:t>
      </w:r>
      <w:r>
        <w:rPr>
          <w:rFonts w:ascii="Times New Roman" w:hAnsi="Times New Roman" w:eastAsia="方正仿宋简体" w:cs="Times New Roman"/>
          <w:kern w:val="2"/>
          <w:sz w:val="32"/>
          <w:szCs w:val="32"/>
          <w:lang w:val="en-US" w:eastAsia="zh-CN" w:bidi="ar-SA"/>
        </w:rPr>
        <w:tab/>
      </w:r>
      <w:r>
        <w:rPr>
          <w:rFonts w:hint="eastAsia" w:ascii="Times New Roman" w:hAnsi="Times New Roman" w:eastAsia="方正仿宋简体" w:cs="Times New Roman"/>
          <w:kern w:val="2"/>
          <w:sz w:val="32"/>
          <w:szCs w:val="32"/>
          <w:lang w:val="en-US" w:eastAsia="zh-CN" w:bidi="ar-SA"/>
        </w:rPr>
        <w:t>102</w:t>
      </w:r>
    </w:p>
    <w:p w14:paraId="03661CF0">
      <w:pPr>
        <w:pStyle w:val="13"/>
        <w:pageBreakBefore w:val="0"/>
        <w:widowControl w:val="0"/>
        <w:kinsoku/>
        <w:wordWrap/>
        <w:overflowPunct/>
        <w:topLinePunct w:val="0"/>
        <w:autoSpaceDE/>
        <w:autoSpaceDN/>
        <w:bidi w:val="0"/>
        <w:spacing w:line="600" w:lineRule="exact"/>
        <w:ind w:firstLine="640" w:firstLineChars="200"/>
        <w:jc w:val="left"/>
        <w:textAlignment w:val="auto"/>
        <w:rPr>
          <w:rFonts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三、支出决算表</w:t>
      </w:r>
      <w:r>
        <w:rPr>
          <w:rFonts w:ascii="Times New Roman" w:hAnsi="Times New Roman" w:eastAsia="方正仿宋简体" w:cs="Times New Roman"/>
          <w:kern w:val="2"/>
          <w:sz w:val="32"/>
          <w:szCs w:val="32"/>
          <w:lang w:val="en-US" w:eastAsia="zh-CN" w:bidi="ar-SA"/>
        </w:rPr>
        <w:tab/>
      </w:r>
      <w:r>
        <w:rPr>
          <w:rFonts w:hint="eastAsia" w:ascii="Times New Roman" w:hAnsi="Times New Roman" w:eastAsia="方正仿宋简体" w:cs="Times New Roman"/>
          <w:kern w:val="2"/>
          <w:sz w:val="32"/>
          <w:szCs w:val="32"/>
          <w:lang w:val="en-US" w:eastAsia="zh-CN" w:bidi="ar-SA"/>
        </w:rPr>
        <w:t>102</w:t>
      </w:r>
    </w:p>
    <w:p w14:paraId="08EB5F62">
      <w:pPr>
        <w:pStyle w:val="13"/>
        <w:pageBreakBefore w:val="0"/>
        <w:widowControl w:val="0"/>
        <w:kinsoku/>
        <w:wordWrap/>
        <w:overflowPunct/>
        <w:topLinePunct w:val="0"/>
        <w:autoSpaceDE/>
        <w:autoSpaceDN/>
        <w:bidi w:val="0"/>
        <w:spacing w:line="600" w:lineRule="exact"/>
        <w:ind w:firstLine="640" w:firstLineChars="200"/>
        <w:jc w:val="left"/>
        <w:textAlignment w:val="auto"/>
        <w:rPr>
          <w:rFonts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四、财政拨款收入支出决算总表</w:t>
      </w:r>
      <w:r>
        <w:rPr>
          <w:rFonts w:ascii="Times New Roman" w:hAnsi="Times New Roman" w:eastAsia="方正仿宋简体" w:cs="Times New Roman"/>
          <w:kern w:val="2"/>
          <w:sz w:val="32"/>
          <w:szCs w:val="32"/>
          <w:lang w:val="en-US" w:eastAsia="zh-CN" w:bidi="ar-SA"/>
        </w:rPr>
        <w:tab/>
      </w:r>
      <w:r>
        <w:rPr>
          <w:rFonts w:hint="eastAsia" w:ascii="Times New Roman" w:hAnsi="Times New Roman" w:eastAsia="方正仿宋简体" w:cs="Times New Roman"/>
          <w:kern w:val="2"/>
          <w:sz w:val="32"/>
          <w:szCs w:val="32"/>
          <w:lang w:val="en-US" w:eastAsia="zh-CN" w:bidi="ar-SA"/>
        </w:rPr>
        <w:t>102</w:t>
      </w:r>
    </w:p>
    <w:p w14:paraId="78DAC5B8">
      <w:pPr>
        <w:pStyle w:val="13"/>
        <w:pageBreakBefore w:val="0"/>
        <w:widowControl w:val="0"/>
        <w:kinsoku/>
        <w:wordWrap/>
        <w:overflowPunct/>
        <w:topLinePunct w:val="0"/>
        <w:autoSpaceDE/>
        <w:autoSpaceDN/>
        <w:bidi w:val="0"/>
        <w:spacing w:line="600" w:lineRule="exact"/>
        <w:ind w:firstLine="640" w:firstLineChars="200"/>
        <w:jc w:val="left"/>
        <w:textAlignment w:val="auto"/>
        <w:rPr>
          <w:rFonts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五、财政拨款支出决算明细表</w:t>
      </w:r>
      <w:r>
        <w:rPr>
          <w:rFonts w:ascii="Times New Roman" w:hAnsi="Times New Roman" w:eastAsia="方正仿宋简体" w:cs="Times New Roman"/>
          <w:kern w:val="2"/>
          <w:sz w:val="32"/>
          <w:szCs w:val="32"/>
          <w:lang w:val="en-US" w:eastAsia="zh-CN" w:bidi="ar-SA"/>
        </w:rPr>
        <w:tab/>
      </w:r>
      <w:r>
        <w:rPr>
          <w:rFonts w:hint="eastAsia" w:ascii="Times New Roman" w:hAnsi="Times New Roman" w:eastAsia="方正仿宋简体" w:cs="Times New Roman"/>
          <w:kern w:val="2"/>
          <w:sz w:val="32"/>
          <w:szCs w:val="32"/>
          <w:lang w:val="en-US" w:eastAsia="zh-CN" w:bidi="ar-SA"/>
        </w:rPr>
        <w:t>102</w:t>
      </w:r>
    </w:p>
    <w:p w14:paraId="17D26BF5">
      <w:pPr>
        <w:pStyle w:val="13"/>
        <w:pageBreakBefore w:val="0"/>
        <w:widowControl w:val="0"/>
        <w:kinsoku/>
        <w:wordWrap/>
        <w:overflowPunct/>
        <w:topLinePunct w:val="0"/>
        <w:autoSpaceDE/>
        <w:autoSpaceDN/>
        <w:bidi w:val="0"/>
        <w:spacing w:line="600" w:lineRule="exact"/>
        <w:ind w:firstLine="640" w:firstLineChars="200"/>
        <w:jc w:val="left"/>
        <w:textAlignment w:val="auto"/>
        <w:rPr>
          <w:rFonts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六、一般公共预算财政拨款支出决算表</w:t>
      </w:r>
      <w:r>
        <w:rPr>
          <w:rFonts w:ascii="Times New Roman" w:hAnsi="Times New Roman" w:eastAsia="方正仿宋简体" w:cs="Times New Roman"/>
          <w:kern w:val="2"/>
          <w:sz w:val="32"/>
          <w:szCs w:val="32"/>
          <w:lang w:val="en-US" w:eastAsia="zh-CN" w:bidi="ar-SA"/>
        </w:rPr>
        <w:tab/>
      </w:r>
      <w:r>
        <w:rPr>
          <w:rFonts w:hint="eastAsia" w:ascii="Times New Roman" w:hAnsi="Times New Roman" w:eastAsia="方正仿宋简体" w:cs="Times New Roman"/>
          <w:kern w:val="2"/>
          <w:sz w:val="32"/>
          <w:szCs w:val="32"/>
          <w:lang w:val="en-US" w:eastAsia="zh-CN" w:bidi="ar-SA"/>
        </w:rPr>
        <w:t>102</w:t>
      </w:r>
    </w:p>
    <w:p w14:paraId="71C8D6AE">
      <w:pPr>
        <w:pStyle w:val="13"/>
        <w:pageBreakBefore w:val="0"/>
        <w:widowControl w:val="0"/>
        <w:kinsoku/>
        <w:wordWrap/>
        <w:overflowPunct/>
        <w:topLinePunct w:val="0"/>
        <w:autoSpaceDE/>
        <w:autoSpaceDN/>
        <w:bidi w:val="0"/>
        <w:spacing w:line="600" w:lineRule="exact"/>
        <w:ind w:firstLine="640" w:firstLineChars="200"/>
        <w:jc w:val="left"/>
        <w:textAlignment w:val="auto"/>
        <w:rPr>
          <w:rFonts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七、一般公共预算财政拨款支出决算明细表</w:t>
      </w:r>
      <w:r>
        <w:rPr>
          <w:rFonts w:ascii="Times New Roman" w:hAnsi="Times New Roman" w:eastAsia="方正仿宋简体" w:cs="Times New Roman"/>
          <w:kern w:val="2"/>
          <w:sz w:val="32"/>
          <w:szCs w:val="32"/>
          <w:lang w:val="en-US" w:eastAsia="zh-CN" w:bidi="ar-SA"/>
        </w:rPr>
        <w:tab/>
      </w:r>
      <w:r>
        <w:rPr>
          <w:rFonts w:hint="eastAsia" w:ascii="Times New Roman" w:hAnsi="Times New Roman" w:eastAsia="方正仿宋简体" w:cs="Times New Roman"/>
          <w:kern w:val="2"/>
          <w:sz w:val="32"/>
          <w:szCs w:val="32"/>
          <w:lang w:val="en-US" w:eastAsia="zh-CN" w:bidi="ar-SA"/>
        </w:rPr>
        <w:t>102</w:t>
      </w:r>
    </w:p>
    <w:p w14:paraId="5E3AA841">
      <w:pPr>
        <w:pStyle w:val="13"/>
        <w:pageBreakBefore w:val="0"/>
        <w:widowControl w:val="0"/>
        <w:kinsoku/>
        <w:wordWrap/>
        <w:overflowPunct/>
        <w:topLinePunct w:val="0"/>
        <w:autoSpaceDE/>
        <w:autoSpaceDN/>
        <w:bidi w:val="0"/>
        <w:spacing w:line="600" w:lineRule="exact"/>
        <w:ind w:firstLine="640" w:firstLineChars="200"/>
        <w:jc w:val="left"/>
        <w:textAlignment w:val="auto"/>
        <w:rPr>
          <w:rFonts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八、一般公共预算财政拨款基本支出决算明细表</w:t>
      </w:r>
      <w:r>
        <w:rPr>
          <w:rFonts w:ascii="Times New Roman" w:hAnsi="Times New Roman" w:eastAsia="方正仿宋简体" w:cs="Times New Roman"/>
          <w:kern w:val="2"/>
          <w:sz w:val="32"/>
          <w:szCs w:val="32"/>
          <w:lang w:val="en-US" w:eastAsia="zh-CN" w:bidi="ar-SA"/>
        </w:rPr>
        <w:tab/>
      </w:r>
      <w:r>
        <w:rPr>
          <w:rFonts w:hint="eastAsia" w:ascii="Times New Roman" w:hAnsi="Times New Roman" w:eastAsia="方正仿宋简体" w:cs="Times New Roman"/>
          <w:kern w:val="2"/>
          <w:sz w:val="32"/>
          <w:szCs w:val="32"/>
          <w:lang w:val="en-US" w:eastAsia="zh-CN" w:bidi="ar-SA"/>
        </w:rPr>
        <w:t>102</w:t>
      </w:r>
    </w:p>
    <w:p w14:paraId="0A593272">
      <w:pPr>
        <w:pStyle w:val="13"/>
        <w:pageBreakBefore w:val="0"/>
        <w:widowControl w:val="0"/>
        <w:kinsoku/>
        <w:wordWrap/>
        <w:overflowPunct/>
        <w:topLinePunct w:val="0"/>
        <w:autoSpaceDE/>
        <w:autoSpaceDN/>
        <w:bidi w:val="0"/>
        <w:spacing w:line="600" w:lineRule="exact"/>
        <w:ind w:firstLine="640" w:firstLineChars="200"/>
        <w:jc w:val="left"/>
        <w:textAlignment w:val="auto"/>
        <w:rPr>
          <w:rFonts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九、一般公共预算财政拨款项目支出决算表</w:t>
      </w:r>
      <w:r>
        <w:rPr>
          <w:rFonts w:ascii="Times New Roman" w:hAnsi="Times New Roman" w:eastAsia="方正仿宋简体" w:cs="Times New Roman"/>
          <w:kern w:val="2"/>
          <w:sz w:val="32"/>
          <w:szCs w:val="32"/>
          <w:lang w:val="en-US" w:eastAsia="zh-CN" w:bidi="ar-SA"/>
        </w:rPr>
        <w:tab/>
      </w:r>
      <w:r>
        <w:rPr>
          <w:rFonts w:hint="eastAsia" w:ascii="Times New Roman" w:hAnsi="Times New Roman" w:eastAsia="方正仿宋简体" w:cs="Times New Roman"/>
          <w:kern w:val="2"/>
          <w:sz w:val="32"/>
          <w:szCs w:val="32"/>
          <w:lang w:val="en-US" w:eastAsia="zh-CN" w:bidi="ar-SA"/>
        </w:rPr>
        <w:t>102</w:t>
      </w:r>
    </w:p>
    <w:p w14:paraId="624D3A57">
      <w:pPr>
        <w:pStyle w:val="13"/>
        <w:pageBreakBefore w:val="0"/>
        <w:widowControl w:val="0"/>
        <w:kinsoku/>
        <w:wordWrap/>
        <w:overflowPunct/>
        <w:topLinePunct w:val="0"/>
        <w:autoSpaceDE/>
        <w:autoSpaceDN/>
        <w:bidi w:val="0"/>
        <w:spacing w:line="600" w:lineRule="exact"/>
        <w:ind w:firstLine="640" w:firstLineChars="200"/>
        <w:jc w:val="left"/>
        <w:textAlignment w:val="auto"/>
        <w:rPr>
          <w:rFonts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十、政府性基金预算财政拨款收入支出决算表</w:t>
      </w:r>
      <w:r>
        <w:rPr>
          <w:rFonts w:ascii="Times New Roman" w:hAnsi="Times New Roman" w:eastAsia="方正仿宋简体" w:cs="Times New Roman"/>
          <w:kern w:val="2"/>
          <w:sz w:val="32"/>
          <w:szCs w:val="32"/>
          <w:lang w:val="en-US" w:eastAsia="zh-CN" w:bidi="ar-SA"/>
        </w:rPr>
        <w:tab/>
      </w:r>
      <w:r>
        <w:rPr>
          <w:rFonts w:hint="eastAsia" w:ascii="Times New Roman" w:hAnsi="Times New Roman" w:eastAsia="方正仿宋简体" w:cs="Times New Roman"/>
          <w:kern w:val="2"/>
          <w:sz w:val="32"/>
          <w:szCs w:val="32"/>
          <w:lang w:val="en-US" w:eastAsia="zh-CN" w:bidi="ar-SA"/>
        </w:rPr>
        <w:t>102</w:t>
      </w:r>
    </w:p>
    <w:p w14:paraId="71180FF2">
      <w:pPr>
        <w:pStyle w:val="13"/>
        <w:pageBreakBefore w:val="0"/>
        <w:widowControl w:val="0"/>
        <w:kinsoku/>
        <w:wordWrap/>
        <w:overflowPunct/>
        <w:topLinePunct w:val="0"/>
        <w:autoSpaceDE/>
        <w:autoSpaceDN/>
        <w:bidi w:val="0"/>
        <w:spacing w:line="600" w:lineRule="exact"/>
        <w:ind w:firstLine="640" w:firstLineChars="200"/>
        <w:jc w:val="left"/>
        <w:textAlignment w:val="auto"/>
        <w:rPr>
          <w:rFonts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十一、国有资本经营预算财政拨款收入支出决算表</w:t>
      </w:r>
      <w:r>
        <w:rPr>
          <w:rFonts w:ascii="Times New Roman" w:hAnsi="Times New Roman" w:eastAsia="方正仿宋简体" w:cs="Times New Roman"/>
          <w:kern w:val="2"/>
          <w:sz w:val="32"/>
          <w:szCs w:val="32"/>
          <w:lang w:val="en-US" w:eastAsia="zh-CN" w:bidi="ar-SA"/>
        </w:rPr>
        <w:tab/>
      </w:r>
      <w:r>
        <w:rPr>
          <w:rFonts w:hint="eastAsia" w:ascii="Times New Roman" w:hAnsi="Times New Roman" w:eastAsia="方正仿宋简体" w:cs="Times New Roman"/>
          <w:kern w:val="2"/>
          <w:sz w:val="32"/>
          <w:szCs w:val="32"/>
          <w:lang w:val="en-US" w:eastAsia="zh-CN" w:bidi="ar-SA"/>
        </w:rPr>
        <w:t>102</w:t>
      </w:r>
    </w:p>
    <w:p w14:paraId="22AF1F1F">
      <w:pPr>
        <w:pStyle w:val="13"/>
        <w:pageBreakBefore w:val="0"/>
        <w:widowControl w:val="0"/>
        <w:kinsoku/>
        <w:wordWrap/>
        <w:overflowPunct/>
        <w:topLinePunct w:val="0"/>
        <w:autoSpaceDE/>
        <w:autoSpaceDN/>
        <w:bidi w:val="0"/>
        <w:spacing w:line="600" w:lineRule="exact"/>
        <w:ind w:firstLine="640" w:firstLineChars="200"/>
        <w:jc w:val="left"/>
        <w:textAlignment w:val="auto"/>
        <w:rPr>
          <w:rFonts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十二、国有资本经营预算财政拨款支出决算表</w:t>
      </w:r>
      <w:r>
        <w:rPr>
          <w:rFonts w:ascii="Times New Roman" w:hAnsi="Times New Roman" w:eastAsia="方正仿宋简体" w:cs="Times New Roman"/>
          <w:kern w:val="2"/>
          <w:sz w:val="32"/>
          <w:szCs w:val="32"/>
          <w:lang w:val="en-US" w:eastAsia="zh-CN" w:bidi="ar-SA"/>
        </w:rPr>
        <w:tab/>
      </w:r>
      <w:r>
        <w:rPr>
          <w:rFonts w:hint="eastAsia" w:ascii="Times New Roman" w:hAnsi="Times New Roman" w:eastAsia="方正仿宋简体" w:cs="Times New Roman"/>
          <w:kern w:val="2"/>
          <w:sz w:val="32"/>
          <w:szCs w:val="32"/>
          <w:lang w:val="en-US" w:eastAsia="zh-CN" w:bidi="ar-SA"/>
        </w:rPr>
        <w:t>102</w:t>
      </w:r>
    </w:p>
    <w:p w14:paraId="742A440F">
      <w:pPr>
        <w:pStyle w:val="15"/>
        <w:pageBreakBefore w:val="0"/>
        <w:kinsoku/>
        <w:wordWrap/>
        <w:overflowPunct/>
        <w:topLinePunct w:val="0"/>
        <w:bidi w:val="0"/>
        <w:adjustRightInd w:val="0"/>
        <w:snapToGrid w:val="0"/>
        <w:spacing w:line="560" w:lineRule="exact"/>
        <w:ind w:left="0" w:leftChars="0" w:firstLine="640" w:firstLineChars="200"/>
        <w:jc w:val="left"/>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十三、财政拨款“三公”经费支出决算表</w:t>
      </w:r>
      <w:r>
        <w:rPr>
          <w:rFonts w:ascii="Times New Roman" w:hAnsi="Times New Roman" w:eastAsia="方正仿宋简体" w:cs="Times New Roman"/>
          <w:kern w:val="2"/>
          <w:sz w:val="32"/>
          <w:szCs w:val="32"/>
          <w:lang w:val="en-US" w:eastAsia="zh-CN" w:bidi="ar-SA"/>
        </w:rPr>
        <w:tab/>
      </w:r>
      <w:r>
        <w:rPr>
          <w:rFonts w:hint="eastAsia" w:ascii="Times New Roman" w:hAnsi="Times New Roman" w:eastAsia="方正仿宋简体" w:cs="Times New Roman"/>
          <w:kern w:val="2"/>
          <w:sz w:val="32"/>
          <w:szCs w:val="32"/>
          <w:lang w:val="en-US" w:eastAsia="zh-CN" w:bidi="ar-SA"/>
        </w:rPr>
        <w:t>10</w:t>
      </w:r>
      <w:r>
        <w:rPr>
          <w:rFonts w:hint="eastAsia" w:eastAsia="方正仿宋简体" w:cs="Times New Roman"/>
          <w:kern w:val="2"/>
          <w:sz w:val="32"/>
          <w:szCs w:val="32"/>
          <w:lang w:val="en-US" w:eastAsia="zh-CN" w:bidi="ar-SA"/>
        </w:rPr>
        <w:t>2</w:t>
      </w:r>
    </w:p>
    <w:p w14:paraId="23624B1A">
      <w:pPr>
        <w:pStyle w:val="2"/>
        <w:jc w:val="center"/>
        <w:rPr>
          <w:rFonts w:hint="eastAsia" w:eastAsia="方正小标宋简体" w:cs="方正小标宋简体"/>
          <w:b w:val="0"/>
        </w:rPr>
        <w:sectPr>
          <w:footerReference r:id="rId11" w:type="first"/>
          <w:headerReference r:id="rId9" w:type="default"/>
          <w:footerReference r:id="rId10" w:type="default"/>
          <w:pgSz w:w="11906" w:h="16838"/>
          <w:pgMar w:top="1440" w:right="1800" w:bottom="1440" w:left="1800" w:header="851" w:footer="992" w:gutter="0"/>
          <w:pgNumType w:start="1"/>
          <w:cols w:space="425" w:num="1"/>
          <w:docGrid w:type="lines" w:linePitch="312" w:charSpace="0"/>
        </w:sectPr>
      </w:pPr>
      <w:bookmarkStart w:id="12" w:name="_Toc15377196"/>
      <w:bookmarkStart w:id="13" w:name="_Toc15396599"/>
    </w:p>
    <w:p w14:paraId="57A21377">
      <w:pPr>
        <w:pStyle w:val="2"/>
        <w:jc w:val="center"/>
        <w:rPr>
          <w:rFonts w:ascii="Times New Roman" w:hAnsi="Times New Roman" w:eastAsia="方正小标宋_GBK" w:cs="Times New Roman"/>
          <w:lang w:bidi="ar-SA"/>
        </w:rPr>
      </w:pPr>
      <w:r>
        <w:rPr>
          <w:rFonts w:hint="eastAsia" w:ascii="Times New Roman" w:hAnsi="Times New Roman" w:eastAsia="方正小标宋_GBK" w:cs="Times New Roman"/>
          <w:lang w:bidi="ar-SA"/>
        </w:rPr>
        <w:t>第一部分  部门概况</w:t>
      </w:r>
      <w:bookmarkEnd w:id="12"/>
      <w:bookmarkEnd w:id="13"/>
    </w:p>
    <w:p w14:paraId="19E66262">
      <w:pPr>
        <w:widowControl/>
        <w:jc w:val="left"/>
        <w:rPr>
          <w:rFonts w:eastAsia="黑体"/>
          <w:sz w:val="32"/>
          <w:szCs w:val="32"/>
        </w:rPr>
      </w:pPr>
    </w:p>
    <w:p w14:paraId="35BF2895">
      <w:pPr>
        <w:pStyle w:val="3"/>
        <w:pageBreakBefore w:val="0"/>
        <w:widowControl w:val="0"/>
        <w:numPr>
          <w:ilvl w:val="0"/>
          <w:numId w:val="2"/>
        </w:numPr>
        <w:kinsoku/>
        <w:wordWrap/>
        <w:overflowPunct/>
        <w:topLinePunct w:val="0"/>
        <w:autoSpaceDE/>
        <w:autoSpaceDN/>
        <w:bidi w:val="0"/>
        <w:adjustRightInd/>
        <w:spacing w:line="560" w:lineRule="exact"/>
        <w:textAlignment w:val="auto"/>
        <w:rPr>
          <w:rStyle w:val="39"/>
          <w:rFonts w:hint="eastAsia" w:ascii="Times New Roman" w:eastAsia="黑体"/>
          <w:b w:val="0"/>
          <w:bCs w:val="0"/>
          <w:lang w:val="en-US" w:eastAsia="zh-CN"/>
        </w:rPr>
      </w:pPr>
      <w:r>
        <w:rPr>
          <w:rStyle w:val="39"/>
          <w:rFonts w:hint="eastAsia" w:ascii="Times New Roman" w:eastAsia="黑体"/>
          <w:b w:val="0"/>
          <w:bCs w:val="0"/>
          <w:lang w:val="en-US" w:eastAsia="zh-CN"/>
        </w:rPr>
        <w:t>部门职责</w:t>
      </w:r>
    </w:p>
    <w:p w14:paraId="328823F2">
      <w:pPr>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简体" w:cs="Times New Roman"/>
          <w:sz w:val="32"/>
          <w:szCs w:val="32"/>
          <w:lang w:bidi="ar-SA"/>
        </w:rPr>
      </w:pPr>
      <w:r>
        <w:rPr>
          <w:rFonts w:hint="default" w:ascii="Times New Roman" w:hAnsi="Times New Roman" w:eastAsia="方正仿宋简体" w:cs="Times New Roman"/>
          <w:sz w:val="32"/>
          <w:szCs w:val="32"/>
          <w:lang w:bidi="ar-SA"/>
        </w:rPr>
        <w:t xml:space="preserve">（一）贯彻执行党和国家有关民政工作的方针政策和法律法规，拟订全市民政事业发展规划、政策、标准并组织实施。 </w:t>
      </w:r>
    </w:p>
    <w:p w14:paraId="5779EA43">
      <w:pPr>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简体" w:cs="Times New Roman"/>
          <w:sz w:val="32"/>
          <w:szCs w:val="32"/>
          <w:lang w:bidi="ar-SA"/>
        </w:rPr>
      </w:pPr>
      <w:r>
        <w:rPr>
          <w:rFonts w:hint="default" w:ascii="Times New Roman" w:hAnsi="Times New Roman" w:eastAsia="方正仿宋简体" w:cs="Times New Roman"/>
          <w:sz w:val="32"/>
          <w:szCs w:val="32"/>
          <w:lang w:bidi="ar-SA"/>
        </w:rPr>
        <w:t xml:space="preserve">（二）拟订社会团体、社会服务机构等社会组织登记和监督管理办法并组织实施，按照管理权限依法对社会组织进行登记管理和执法监督。 </w:t>
      </w:r>
    </w:p>
    <w:p w14:paraId="0E78CD03">
      <w:pPr>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简体" w:cs="Times New Roman"/>
          <w:sz w:val="32"/>
          <w:szCs w:val="32"/>
          <w:lang w:bidi="ar-SA"/>
        </w:rPr>
      </w:pPr>
      <w:r>
        <w:rPr>
          <w:rFonts w:hint="default" w:ascii="Times New Roman" w:hAnsi="Times New Roman" w:eastAsia="方正仿宋简体" w:cs="Times New Roman"/>
          <w:sz w:val="32"/>
          <w:szCs w:val="32"/>
          <w:lang w:bidi="ar-SA"/>
        </w:rPr>
        <w:t xml:space="preserve">（三）牵头拟订社会救助规划、政策、标准，统筹推进社会救助体系建设，负责城乡居民最低生活保障、特困人员救助供养、临时救助、生活无着流浪乞讨人员救助工作。 </w:t>
      </w:r>
    </w:p>
    <w:p w14:paraId="5C199567">
      <w:pPr>
        <w:snapToGrid w:val="0"/>
        <w:spacing w:line="600" w:lineRule="exact"/>
        <w:ind w:firstLine="640" w:firstLineChars="200"/>
        <w:rPr>
          <w:rFonts w:hint="default" w:ascii="Times New Roman" w:hAnsi="Times New Roman" w:eastAsia="方正仿宋简体" w:cs="Times New Roman"/>
          <w:sz w:val="32"/>
          <w:szCs w:val="32"/>
          <w:lang w:bidi="ar-SA"/>
        </w:rPr>
      </w:pPr>
      <w:r>
        <w:rPr>
          <w:rFonts w:hint="default" w:ascii="Times New Roman" w:hAnsi="Times New Roman" w:eastAsia="方正仿宋简体" w:cs="Times New Roman"/>
          <w:sz w:val="32"/>
          <w:szCs w:val="32"/>
          <w:lang w:bidi="ar-SA"/>
        </w:rPr>
        <w:t xml:space="preserve">（四）拟订城乡基层群众自治建设和社区治理政策，指导城乡社区治理体系、服务体系和治理能力建设，提出加强和改进城乡基层政权建设的建议，推动基层民主政治建设。 </w:t>
      </w:r>
    </w:p>
    <w:p w14:paraId="7F7C1AE1">
      <w:pPr>
        <w:snapToGrid w:val="0"/>
        <w:spacing w:line="600" w:lineRule="exact"/>
        <w:ind w:firstLine="640" w:firstLineChars="200"/>
        <w:rPr>
          <w:rFonts w:hint="default" w:ascii="Times New Roman" w:hAnsi="Times New Roman" w:eastAsia="方正仿宋简体" w:cs="Times New Roman"/>
          <w:sz w:val="32"/>
          <w:szCs w:val="32"/>
          <w:lang w:bidi="ar-SA"/>
        </w:rPr>
      </w:pPr>
      <w:r>
        <w:rPr>
          <w:rFonts w:hint="default" w:ascii="Times New Roman" w:hAnsi="Times New Roman" w:eastAsia="方正仿宋简体" w:cs="Times New Roman"/>
          <w:sz w:val="32"/>
          <w:szCs w:val="32"/>
          <w:lang w:bidi="ar-SA"/>
        </w:rPr>
        <w:t xml:space="preserve">（五）拟订行政区划管理政策和行政区域界线、地名管理办法，负责县（区）、乡（镇）行政区划设立、命名、撤销、变更和政府驻地迁移审核报批工作，组织并指导全市行政区域界线的勘定和管理工作。调处行政区域边界争议，负责全市地名管理工作。 </w:t>
      </w:r>
    </w:p>
    <w:p w14:paraId="13B12415">
      <w:pPr>
        <w:snapToGrid w:val="0"/>
        <w:spacing w:line="600" w:lineRule="exact"/>
        <w:ind w:firstLine="640" w:firstLineChars="200"/>
        <w:rPr>
          <w:rFonts w:hint="default" w:ascii="Times New Roman" w:hAnsi="Times New Roman" w:eastAsia="方正仿宋简体" w:cs="Times New Roman"/>
          <w:sz w:val="32"/>
          <w:szCs w:val="32"/>
          <w:lang w:bidi="ar-SA"/>
        </w:rPr>
      </w:pPr>
      <w:r>
        <w:rPr>
          <w:rFonts w:hint="default" w:ascii="Times New Roman" w:hAnsi="Times New Roman" w:eastAsia="方正仿宋简体" w:cs="Times New Roman"/>
          <w:sz w:val="32"/>
          <w:szCs w:val="32"/>
          <w:lang w:bidi="ar-SA"/>
        </w:rPr>
        <w:t xml:space="preserve">（六）组织实施婚姻管理政策，推进婚俗改革。 </w:t>
      </w:r>
    </w:p>
    <w:p w14:paraId="558FE9A8">
      <w:pPr>
        <w:snapToGrid w:val="0"/>
        <w:spacing w:line="600" w:lineRule="exact"/>
        <w:ind w:firstLine="640" w:firstLineChars="200"/>
        <w:rPr>
          <w:rFonts w:hint="default" w:ascii="Times New Roman" w:hAnsi="Times New Roman" w:eastAsia="方正仿宋简体" w:cs="Times New Roman"/>
          <w:sz w:val="32"/>
          <w:szCs w:val="32"/>
          <w:lang w:bidi="ar-SA"/>
        </w:rPr>
      </w:pPr>
      <w:r>
        <w:rPr>
          <w:rFonts w:hint="default" w:ascii="Times New Roman" w:hAnsi="Times New Roman" w:eastAsia="方正仿宋简体" w:cs="Times New Roman"/>
          <w:sz w:val="32"/>
          <w:szCs w:val="32"/>
          <w:lang w:bidi="ar-SA"/>
        </w:rPr>
        <w:t xml:space="preserve">（七）拟订殡葬管理政策、服务规范并组织实施，负责殡葬管理工作，推进殡葬改革。 </w:t>
      </w:r>
    </w:p>
    <w:p w14:paraId="46FCBF17">
      <w:pPr>
        <w:snapToGrid w:val="0"/>
        <w:spacing w:line="600" w:lineRule="exact"/>
        <w:ind w:firstLine="640" w:firstLineChars="200"/>
        <w:rPr>
          <w:rFonts w:hint="default" w:ascii="Times New Roman" w:hAnsi="Times New Roman" w:eastAsia="方正仿宋简体" w:cs="Times New Roman"/>
          <w:sz w:val="32"/>
          <w:szCs w:val="32"/>
          <w:lang w:bidi="ar-SA"/>
        </w:rPr>
      </w:pPr>
      <w:r>
        <w:rPr>
          <w:rFonts w:hint="default" w:ascii="Times New Roman" w:hAnsi="Times New Roman" w:eastAsia="方正仿宋简体" w:cs="Times New Roman"/>
          <w:sz w:val="32"/>
          <w:szCs w:val="32"/>
          <w:lang w:bidi="ar-SA"/>
        </w:rPr>
        <w:t xml:space="preserve">（八）拟订社会福利事业发展规划、政策、标准，拟订社会福利机构管理办法并指导实施，拟订残疾人权益保护政策并监督实施。负责康复辅助器具行业管理，统筹推进残疾人福利制度建设和康复辅助器具产业发展。 </w:t>
      </w:r>
    </w:p>
    <w:p w14:paraId="48FA730F">
      <w:pPr>
        <w:snapToGrid w:val="0"/>
        <w:spacing w:line="600" w:lineRule="exact"/>
        <w:ind w:firstLine="640" w:firstLineChars="200"/>
        <w:rPr>
          <w:rFonts w:hint="default" w:ascii="Times New Roman" w:hAnsi="Times New Roman" w:eastAsia="方正仿宋简体" w:cs="Times New Roman"/>
          <w:sz w:val="32"/>
          <w:szCs w:val="32"/>
          <w:lang w:bidi="ar-SA"/>
        </w:rPr>
      </w:pPr>
      <w:r>
        <w:rPr>
          <w:rFonts w:hint="default" w:ascii="Times New Roman" w:hAnsi="Times New Roman" w:eastAsia="方正仿宋简体" w:cs="Times New Roman"/>
          <w:sz w:val="32"/>
          <w:szCs w:val="32"/>
          <w:lang w:bidi="ar-SA"/>
        </w:rPr>
        <w:t>（九）统筹推进、督促指导、监督管理养老服务工作，拟订养老服务体系建设规划、政策、标准并组织实施，承担</w:t>
      </w:r>
    </w:p>
    <w:p w14:paraId="73E9CCF2">
      <w:pPr>
        <w:snapToGrid/>
        <w:spacing w:line="600" w:lineRule="exact"/>
        <w:ind w:firstLine="640" w:firstLineChars="200"/>
        <w:rPr>
          <w:rFonts w:hint="default" w:ascii="Times New Roman" w:hAnsi="Times New Roman" w:eastAsia="方正仿宋简体" w:cs="Times New Roman"/>
          <w:sz w:val="32"/>
          <w:szCs w:val="32"/>
          <w:lang w:bidi="ar-SA"/>
        </w:rPr>
      </w:pPr>
      <w:r>
        <w:rPr>
          <w:rFonts w:hint="default" w:ascii="Times New Roman" w:hAnsi="Times New Roman" w:eastAsia="方正仿宋简体" w:cs="Times New Roman"/>
          <w:sz w:val="32"/>
          <w:szCs w:val="32"/>
          <w:lang w:bidi="ar-SA"/>
        </w:rPr>
        <w:t xml:space="preserve">老年人福利和特殊困难老年人救助工作，协调推进农村留守老年人关爱服务工作，承担城乡老年社会组织管理工作。 </w:t>
      </w:r>
    </w:p>
    <w:p w14:paraId="2E785710">
      <w:pPr>
        <w:snapToGrid w:val="0"/>
        <w:spacing w:line="600" w:lineRule="exact"/>
        <w:ind w:firstLine="640" w:firstLineChars="200"/>
        <w:rPr>
          <w:rFonts w:hint="default" w:ascii="Times New Roman" w:hAnsi="Times New Roman" w:eastAsia="方正仿宋简体" w:cs="Times New Roman"/>
          <w:sz w:val="32"/>
          <w:szCs w:val="32"/>
          <w:lang w:bidi="ar-SA"/>
        </w:rPr>
      </w:pPr>
      <w:r>
        <w:rPr>
          <w:rFonts w:hint="default" w:ascii="Times New Roman" w:hAnsi="Times New Roman" w:eastAsia="方正仿宋简体" w:cs="Times New Roman"/>
          <w:sz w:val="32"/>
          <w:szCs w:val="32"/>
          <w:lang w:bidi="ar-SA"/>
        </w:rPr>
        <w:t xml:space="preserve">（十）拟订儿童福利、孤弃儿童保障、儿童收养、儿童救助保护政策和标准并组织实施，健全农村留守儿童关爱服务体系和困境儿童保障制度。 </w:t>
      </w:r>
    </w:p>
    <w:p w14:paraId="53FCE4A6">
      <w:pPr>
        <w:snapToGrid w:val="0"/>
        <w:spacing w:line="600" w:lineRule="exact"/>
        <w:ind w:firstLine="640" w:firstLineChars="200"/>
        <w:rPr>
          <w:rFonts w:hint="default" w:ascii="Times New Roman" w:hAnsi="Times New Roman" w:eastAsia="方正仿宋简体" w:cs="Times New Roman"/>
          <w:sz w:val="32"/>
          <w:szCs w:val="32"/>
          <w:lang w:bidi="ar-SA"/>
        </w:rPr>
      </w:pPr>
      <w:r>
        <w:rPr>
          <w:rFonts w:hint="default" w:ascii="Times New Roman" w:hAnsi="Times New Roman" w:eastAsia="方正仿宋简体" w:cs="Times New Roman"/>
          <w:sz w:val="32"/>
          <w:szCs w:val="32"/>
          <w:lang w:bidi="ar-SA"/>
        </w:rPr>
        <w:t xml:space="preserve">（十一）组织拟订促进慈善事业发展政策，指导社会捐赠工作。指导福利彩票销售工作，管理本级福利彩票公益金，监督全市福利彩票公益金的管理、使用。 </w:t>
      </w:r>
    </w:p>
    <w:p w14:paraId="78406F3E">
      <w:pPr>
        <w:snapToGrid w:val="0"/>
        <w:spacing w:line="600" w:lineRule="exact"/>
        <w:ind w:firstLine="640" w:firstLineChars="200"/>
        <w:rPr>
          <w:rFonts w:hint="default" w:ascii="Times New Roman" w:hAnsi="Times New Roman" w:eastAsia="方正仿宋简体" w:cs="Times New Roman"/>
          <w:sz w:val="32"/>
          <w:szCs w:val="32"/>
          <w:lang w:bidi="ar-SA"/>
        </w:rPr>
      </w:pPr>
      <w:r>
        <w:rPr>
          <w:rFonts w:hint="default" w:ascii="Times New Roman" w:hAnsi="Times New Roman" w:eastAsia="方正仿宋简体" w:cs="Times New Roman"/>
          <w:sz w:val="32"/>
          <w:szCs w:val="32"/>
          <w:lang w:bidi="ar-SA"/>
        </w:rPr>
        <w:t xml:space="preserve">（十二）拟订社会工作、志愿服务政策和标准，会同有关部门推进社会工作人才队伍建设和相关志愿者队伍建设。 </w:t>
      </w:r>
    </w:p>
    <w:p w14:paraId="1E7034C7">
      <w:pPr>
        <w:snapToGrid w:val="0"/>
        <w:spacing w:line="600" w:lineRule="exact"/>
        <w:ind w:firstLine="640" w:firstLineChars="200"/>
        <w:rPr>
          <w:rFonts w:hint="default" w:ascii="Times New Roman" w:hAnsi="Times New Roman" w:eastAsia="方正仿宋简体" w:cs="Times New Roman"/>
          <w:sz w:val="32"/>
          <w:szCs w:val="32"/>
          <w:lang w:bidi="ar-SA"/>
        </w:rPr>
      </w:pPr>
      <w:r>
        <w:rPr>
          <w:rFonts w:hint="default" w:ascii="Times New Roman" w:hAnsi="Times New Roman" w:eastAsia="方正仿宋简体" w:cs="Times New Roman"/>
          <w:sz w:val="32"/>
          <w:szCs w:val="32"/>
          <w:lang w:bidi="ar-SA"/>
        </w:rPr>
        <w:t xml:space="preserve">（十三）依法依规负责康复辅助器具行业和社会福利、养老服务、殡葬服务、救助管理机构安全生产监督管理工作。负责职责范围内的职业健康、生态环境保护、审批服务便民化等工作。 </w:t>
      </w:r>
    </w:p>
    <w:p w14:paraId="002B349B">
      <w:pPr>
        <w:snapToGrid w:val="0"/>
        <w:spacing w:line="600" w:lineRule="exact"/>
        <w:ind w:firstLine="640" w:firstLineChars="200"/>
        <w:rPr>
          <w:rFonts w:hint="default" w:ascii="Times New Roman" w:hAnsi="Times New Roman" w:eastAsia="方正仿宋简体" w:cs="Times New Roman"/>
          <w:sz w:val="32"/>
          <w:szCs w:val="32"/>
          <w:lang w:bidi="ar-SA"/>
        </w:rPr>
      </w:pPr>
      <w:r>
        <w:rPr>
          <w:rFonts w:hint="default" w:ascii="Times New Roman" w:hAnsi="Times New Roman" w:eastAsia="方正仿宋简体" w:cs="Times New Roman"/>
          <w:sz w:val="32"/>
          <w:szCs w:val="32"/>
          <w:lang w:bidi="ar-SA"/>
        </w:rPr>
        <w:t>（十四）完成市委、市政府交办的其他任务。</w:t>
      </w:r>
      <w:bookmarkStart w:id="14" w:name="_Toc15396601"/>
      <w:bookmarkStart w:id="15" w:name="_Toc15377200"/>
    </w:p>
    <w:p w14:paraId="16381E24">
      <w:pPr>
        <w:snapToGrid w:val="0"/>
        <w:spacing w:line="600" w:lineRule="exact"/>
        <w:ind w:firstLine="640" w:firstLineChars="200"/>
        <w:rPr>
          <w:rFonts w:hint="eastAsia" w:ascii="方正黑体_GBK" w:hAnsi="方正黑体_GBK" w:eastAsia="方正黑体_GBK" w:cs="方正黑体_GBK"/>
          <w:b w:val="0"/>
          <w:bCs/>
          <w:kern w:val="44"/>
          <w:sz w:val="32"/>
          <w:szCs w:val="32"/>
          <w:lang w:val="en-US" w:eastAsia="zh-CN" w:bidi="ar-SA"/>
        </w:rPr>
      </w:pPr>
      <w:r>
        <w:rPr>
          <w:rFonts w:hint="eastAsia" w:ascii="方正黑体_GBK" w:hAnsi="方正黑体_GBK" w:eastAsia="方正黑体_GBK" w:cs="方正黑体_GBK"/>
          <w:b w:val="0"/>
          <w:bCs/>
          <w:kern w:val="44"/>
          <w:sz w:val="32"/>
          <w:szCs w:val="32"/>
          <w:lang w:val="en-US" w:eastAsia="zh-CN" w:bidi="ar-SA"/>
        </w:rPr>
        <w:t>二、机构设置</w:t>
      </w:r>
      <w:bookmarkEnd w:id="14"/>
      <w:bookmarkEnd w:id="15"/>
    </w:p>
    <w:p w14:paraId="7846EF33">
      <w:pPr>
        <w:pageBreakBefore w:val="0"/>
        <w:widowControl w:val="0"/>
        <w:suppressAutoHyphens/>
        <w:kinsoku/>
        <w:wordWrap/>
        <w:overflowPunct/>
        <w:topLinePunct w:val="0"/>
        <w:bidi w:val="0"/>
        <w:snapToGrid w:val="0"/>
        <w:spacing w:line="600" w:lineRule="exact"/>
        <w:ind w:firstLine="640" w:firstLineChars="200"/>
        <w:jc w:val="left"/>
        <w:rPr>
          <w:rFonts w:hint="default" w:ascii="Times New Roman" w:hAnsi="Times New Roman" w:eastAsia="方正仿宋简体" w:cs="Times New Roman"/>
          <w:sz w:val="32"/>
          <w:szCs w:val="32"/>
          <w:lang w:bidi="ar-SA"/>
        </w:rPr>
      </w:pPr>
      <w:bookmarkStart w:id="16" w:name="_Toc15396602"/>
      <w:bookmarkStart w:id="17" w:name="_Toc15377204"/>
      <w:r>
        <w:rPr>
          <w:rFonts w:hint="default" w:ascii="Times New Roman" w:hAnsi="Times New Roman" w:eastAsia="方正仿宋简体" w:cs="Times New Roman"/>
          <w:sz w:val="32"/>
          <w:szCs w:val="32"/>
          <w:lang w:bidi="ar-SA"/>
        </w:rPr>
        <w:t>攀枝花市民政局下属</w:t>
      </w:r>
      <w:r>
        <w:rPr>
          <w:rFonts w:hint="eastAsia" w:ascii="Times New Roman" w:hAnsi="Times New Roman" w:eastAsia="方正仿宋简体" w:cs="Times New Roman"/>
          <w:sz w:val="32"/>
          <w:szCs w:val="32"/>
          <w:lang w:bidi="ar-SA"/>
        </w:rPr>
        <w:t>二级</w:t>
      </w:r>
      <w:r>
        <w:rPr>
          <w:rFonts w:hint="eastAsia" w:ascii="Times New Roman" w:hAnsi="Times New Roman" w:eastAsia="方正仿宋简体" w:cs="Times New Roman"/>
          <w:sz w:val="32"/>
          <w:szCs w:val="32"/>
          <w:lang w:eastAsia="zh-CN" w:bidi="ar-SA"/>
        </w:rPr>
        <w:t>预算</w:t>
      </w:r>
      <w:r>
        <w:rPr>
          <w:rFonts w:hint="default" w:ascii="Times New Roman" w:hAnsi="Times New Roman" w:eastAsia="方正仿宋简体" w:cs="Times New Roman"/>
          <w:sz w:val="32"/>
          <w:szCs w:val="32"/>
          <w:lang w:bidi="ar-SA"/>
        </w:rPr>
        <w:t>单位</w:t>
      </w:r>
      <w:r>
        <w:rPr>
          <w:rFonts w:hint="eastAsia" w:eastAsia="方正仿宋简体" w:cs="Times New Roman"/>
          <w:sz w:val="32"/>
          <w:szCs w:val="32"/>
          <w:lang w:val="en-US" w:eastAsia="zh-CN" w:bidi="ar-SA"/>
        </w:rPr>
        <w:t>4</w:t>
      </w:r>
      <w:r>
        <w:rPr>
          <w:rFonts w:hint="default" w:ascii="Times New Roman" w:hAnsi="Times New Roman" w:eastAsia="方正仿宋简体" w:cs="Times New Roman"/>
          <w:sz w:val="32"/>
          <w:szCs w:val="32"/>
          <w:lang w:bidi="ar-SA"/>
        </w:rPr>
        <w:t>个，其中行政单位</w:t>
      </w:r>
      <w:r>
        <w:rPr>
          <w:rFonts w:hint="eastAsia" w:ascii="Times New Roman" w:hAnsi="Times New Roman" w:eastAsia="方正仿宋简体" w:cs="Times New Roman"/>
          <w:sz w:val="32"/>
          <w:szCs w:val="32"/>
          <w:lang w:val="en-US" w:eastAsia="zh-CN" w:bidi="ar-SA"/>
        </w:rPr>
        <w:t>0</w:t>
      </w:r>
      <w:r>
        <w:rPr>
          <w:rFonts w:hint="default" w:ascii="Times New Roman" w:hAnsi="Times New Roman" w:eastAsia="方正仿宋简体" w:cs="Times New Roman"/>
          <w:sz w:val="32"/>
          <w:szCs w:val="32"/>
          <w:lang w:bidi="ar-SA"/>
        </w:rPr>
        <w:t>个，参照公务员法管理的事业单位</w:t>
      </w:r>
      <w:r>
        <w:rPr>
          <w:rFonts w:hint="eastAsia" w:eastAsia="方正仿宋简体" w:cs="Times New Roman"/>
          <w:sz w:val="32"/>
          <w:szCs w:val="32"/>
          <w:lang w:val="en-US" w:eastAsia="zh-CN" w:bidi="ar-SA"/>
        </w:rPr>
        <w:t>0</w:t>
      </w:r>
      <w:r>
        <w:rPr>
          <w:rFonts w:hint="default" w:ascii="Times New Roman" w:hAnsi="Times New Roman" w:eastAsia="方正仿宋简体" w:cs="Times New Roman"/>
          <w:sz w:val="32"/>
          <w:szCs w:val="32"/>
          <w:lang w:bidi="ar-SA"/>
        </w:rPr>
        <w:t>个，其他事业单位</w:t>
      </w:r>
      <w:r>
        <w:rPr>
          <w:rFonts w:hint="eastAsia" w:eastAsia="方正仿宋简体" w:cs="Times New Roman"/>
          <w:sz w:val="32"/>
          <w:szCs w:val="32"/>
          <w:lang w:val="en-US" w:eastAsia="zh-CN" w:bidi="ar-SA"/>
        </w:rPr>
        <w:t>4</w:t>
      </w:r>
      <w:r>
        <w:rPr>
          <w:rFonts w:hint="default" w:ascii="Times New Roman" w:hAnsi="Times New Roman" w:eastAsia="方正仿宋简体" w:cs="Times New Roman"/>
          <w:sz w:val="32"/>
          <w:szCs w:val="32"/>
          <w:lang w:bidi="ar-SA"/>
        </w:rPr>
        <w:t>个。</w:t>
      </w:r>
    </w:p>
    <w:p w14:paraId="59601D0C">
      <w:pPr>
        <w:pageBreakBefore w:val="0"/>
        <w:widowControl w:val="0"/>
        <w:suppressAutoHyphens/>
        <w:kinsoku/>
        <w:wordWrap/>
        <w:overflowPunct/>
        <w:topLinePunct w:val="0"/>
        <w:bidi w:val="0"/>
        <w:snapToGrid w:val="0"/>
        <w:spacing w:line="600" w:lineRule="exact"/>
        <w:ind w:firstLine="640" w:firstLineChars="200"/>
        <w:jc w:val="left"/>
        <w:rPr>
          <w:rFonts w:hint="default" w:ascii="Times New Roman" w:hAnsi="Times New Roman" w:eastAsia="方正仿宋简体" w:cs="Times New Roman"/>
          <w:sz w:val="32"/>
          <w:szCs w:val="32"/>
          <w:lang w:val="en-US" w:eastAsia="zh-CN" w:bidi="ar-SA"/>
        </w:rPr>
      </w:pPr>
      <w:r>
        <w:rPr>
          <w:rFonts w:hint="eastAsia" w:ascii="Times New Roman" w:hAnsi="Times New Roman" w:eastAsia="方正仿宋简体" w:cs="Times New Roman"/>
          <w:sz w:val="32"/>
          <w:szCs w:val="32"/>
          <w:lang w:val="en-US" w:eastAsia="zh-CN" w:bidi="ar-SA"/>
        </w:rPr>
        <w:t>纳入</w:t>
      </w:r>
      <w:r>
        <w:rPr>
          <w:rFonts w:hint="default" w:ascii="Times New Roman" w:hAnsi="Times New Roman" w:eastAsia="方正仿宋简体" w:cs="Times New Roman"/>
          <w:sz w:val="32"/>
          <w:szCs w:val="32"/>
          <w:lang w:val="en-US" w:eastAsia="zh-CN" w:bidi="ar-SA"/>
        </w:rPr>
        <w:t>攀枝花市民政局</w:t>
      </w:r>
      <w:r>
        <w:rPr>
          <w:rFonts w:hint="eastAsia" w:ascii="Times New Roman" w:hAnsi="Times New Roman" w:eastAsia="方正仿宋简体" w:cs="Times New Roman"/>
          <w:sz w:val="32"/>
          <w:szCs w:val="32"/>
          <w:lang w:val="en-US" w:eastAsia="zh-CN" w:bidi="ar-SA"/>
        </w:rPr>
        <w:t>202</w:t>
      </w:r>
      <w:r>
        <w:rPr>
          <w:rFonts w:hint="eastAsia" w:eastAsia="方正仿宋简体" w:cs="Times New Roman"/>
          <w:sz w:val="32"/>
          <w:szCs w:val="32"/>
          <w:lang w:val="en-US" w:eastAsia="zh-CN" w:bidi="ar-SA"/>
        </w:rPr>
        <w:t>5</w:t>
      </w:r>
      <w:r>
        <w:rPr>
          <w:rFonts w:hint="eastAsia" w:ascii="Times New Roman" w:hAnsi="Times New Roman" w:eastAsia="方正仿宋简体" w:cs="Times New Roman"/>
          <w:sz w:val="32"/>
          <w:szCs w:val="32"/>
          <w:lang w:val="en-US" w:eastAsia="zh-CN" w:bidi="ar-SA"/>
        </w:rPr>
        <w:t>年度部门决算编制范围的二级预算单位包括：</w:t>
      </w:r>
    </w:p>
    <w:p w14:paraId="280ADB21">
      <w:pPr>
        <w:pageBreakBefore w:val="0"/>
        <w:widowControl w:val="0"/>
        <w:suppressAutoHyphens/>
        <w:kinsoku/>
        <w:wordWrap/>
        <w:overflowPunct/>
        <w:topLinePunct w:val="0"/>
        <w:bidi w:val="0"/>
        <w:snapToGrid w:val="0"/>
        <w:spacing w:line="600" w:lineRule="exact"/>
        <w:ind w:firstLine="640" w:firstLineChars="200"/>
        <w:jc w:val="left"/>
        <w:rPr>
          <w:rFonts w:hint="default" w:ascii="Times New Roman" w:hAnsi="Times New Roman" w:eastAsia="方正仿宋简体" w:cs="Times New Roman"/>
          <w:sz w:val="32"/>
          <w:szCs w:val="32"/>
          <w:lang w:bidi="ar-SA"/>
        </w:rPr>
      </w:pPr>
      <w:bookmarkStart w:id="18" w:name="_Toc15377202"/>
      <w:bookmarkStart w:id="19" w:name="_Toc15306276"/>
      <w:bookmarkStart w:id="20" w:name="_Toc15378449"/>
      <w:bookmarkStart w:id="21" w:name="_Toc15377433"/>
      <w:r>
        <w:rPr>
          <w:rFonts w:hint="default" w:ascii="Times New Roman" w:hAnsi="Times New Roman" w:eastAsia="方正仿宋简体" w:cs="Times New Roman"/>
          <w:sz w:val="32"/>
          <w:szCs w:val="32"/>
          <w:lang w:bidi="ar-SA"/>
        </w:rPr>
        <w:t>1.市社会福利院</w:t>
      </w:r>
      <w:bookmarkEnd w:id="18"/>
      <w:bookmarkEnd w:id="19"/>
      <w:bookmarkEnd w:id="20"/>
      <w:bookmarkEnd w:id="21"/>
    </w:p>
    <w:p w14:paraId="79C7D586">
      <w:pPr>
        <w:pageBreakBefore w:val="0"/>
        <w:widowControl w:val="0"/>
        <w:suppressAutoHyphens/>
        <w:kinsoku/>
        <w:wordWrap/>
        <w:overflowPunct/>
        <w:topLinePunct w:val="0"/>
        <w:bidi w:val="0"/>
        <w:snapToGrid w:val="0"/>
        <w:spacing w:line="600" w:lineRule="exact"/>
        <w:ind w:firstLine="640" w:firstLineChars="200"/>
        <w:jc w:val="left"/>
        <w:rPr>
          <w:rFonts w:hint="default" w:ascii="Times New Roman" w:hAnsi="Times New Roman" w:eastAsia="方正仿宋简体" w:cs="Times New Roman"/>
          <w:sz w:val="32"/>
          <w:szCs w:val="32"/>
          <w:lang w:bidi="ar-SA"/>
        </w:rPr>
      </w:pPr>
      <w:r>
        <w:rPr>
          <w:rFonts w:hint="default" w:ascii="Times New Roman" w:hAnsi="Times New Roman" w:eastAsia="方正仿宋简体" w:cs="Times New Roman"/>
          <w:sz w:val="32"/>
          <w:szCs w:val="32"/>
          <w:lang w:bidi="ar-SA"/>
        </w:rPr>
        <w:t>2.市殡葬服务中心</w:t>
      </w:r>
    </w:p>
    <w:p w14:paraId="01673959">
      <w:pPr>
        <w:pageBreakBefore w:val="0"/>
        <w:widowControl w:val="0"/>
        <w:suppressAutoHyphens/>
        <w:kinsoku/>
        <w:wordWrap/>
        <w:overflowPunct/>
        <w:topLinePunct w:val="0"/>
        <w:bidi w:val="0"/>
        <w:snapToGrid w:val="0"/>
        <w:spacing w:line="600" w:lineRule="exact"/>
        <w:ind w:firstLine="640" w:firstLineChars="200"/>
        <w:jc w:val="left"/>
        <w:rPr>
          <w:rFonts w:hint="default" w:ascii="Times New Roman" w:hAnsi="Times New Roman" w:eastAsia="方正仿宋简体" w:cs="Times New Roman"/>
          <w:sz w:val="32"/>
          <w:szCs w:val="32"/>
          <w:lang w:bidi="ar-SA"/>
        </w:rPr>
      </w:pPr>
      <w:r>
        <w:rPr>
          <w:rFonts w:hint="default" w:ascii="Times New Roman" w:hAnsi="Times New Roman" w:eastAsia="方正仿宋简体" w:cs="Times New Roman"/>
          <w:sz w:val="32"/>
          <w:szCs w:val="32"/>
          <w:lang w:bidi="ar-SA"/>
        </w:rPr>
        <w:t>3.市救助站</w:t>
      </w:r>
    </w:p>
    <w:p w14:paraId="6B5B1DA0">
      <w:pPr>
        <w:pageBreakBefore w:val="0"/>
        <w:widowControl w:val="0"/>
        <w:suppressAutoHyphens/>
        <w:kinsoku/>
        <w:wordWrap/>
        <w:overflowPunct/>
        <w:topLinePunct w:val="0"/>
        <w:bidi w:val="0"/>
        <w:snapToGrid w:val="0"/>
        <w:spacing w:line="600" w:lineRule="exact"/>
        <w:ind w:firstLine="640" w:firstLineChars="200"/>
        <w:jc w:val="left"/>
        <w:rPr>
          <w:rFonts w:hint="default" w:ascii="Times New Roman" w:hAnsi="Times New Roman" w:eastAsia="方正仿宋简体" w:cs="Times New Roman"/>
          <w:sz w:val="32"/>
          <w:szCs w:val="32"/>
          <w:lang w:bidi="ar-SA"/>
        </w:rPr>
      </w:pPr>
      <w:r>
        <w:rPr>
          <w:rFonts w:hint="default" w:ascii="Times New Roman" w:hAnsi="Times New Roman" w:eastAsia="方正仿宋简体" w:cs="Times New Roman"/>
          <w:sz w:val="32"/>
          <w:szCs w:val="32"/>
          <w:lang w:bidi="ar-SA"/>
        </w:rPr>
        <w:t>4.市儿童福利院</w:t>
      </w:r>
    </w:p>
    <w:p w14:paraId="27C10E12">
      <w:pPr>
        <w:pStyle w:val="5"/>
        <w:rPr>
          <w:rFonts w:hint="eastAsia"/>
        </w:rPr>
      </w:pPr>
    </w:p>
    <w:p w14:paraId="41413909">
      <w:pPr>
        <w:rPr>
          <w:rFonts w:hint="eastAsia" w:eastAsia="方正小标宋简体" w:cs="方正小标宋简体"/>
          <w:b w:val="0"/>
        </w:rPr>
      </w:pPr>
      <w:r>
        <w:rPr>
          <w:rFonts w:hint="eastAsia" w:eastAsia="方正小标宋简体" w:cs="方正小标宋简体"/>
          <w:b w:val="0"/>
        </w:rPr>
        <w:br w:type="page"/>
      </w:r>
    </w:p>
    <w:p w14:paraId="6D44A1AC">
      <w:pPr>
        <w:pStyle w:val="2"/>
        <w:jc w:val="left"/>
      </w:pPr>
      <w:r>
        <w:rPr>
          <w:rFonts w:hint="eastAsia" w:eastAsia="方正小标宋简体" w:cs="方正小标宋简体"/>
          <w:b w:val="0"/>
        </w:rPr>
        <w:t>第二部分  2025年度部门决算情况说明</w:t>
      </w:r>
      <w:bookmarkEnd w:id="16"/>
      <w:bookmarkEnd w:id="17"/>
    </w:p>
    <w:p w14:paraId="3E6BE3D2">
      <w:pPr>
        <w:pStyle w:val="30"/>
        <w:spacing w:line="600" w:lineRule="exact"/>
        <w:ind w:firstLine="640"/>
        <w:outlineLvl w:val="1"/>
        <w:rPr>
          <w:rFonts w:hint="eastAsia" w:ascii="方正黑体_GBK" w:hAnsi="方正黑体_GBK" w:eastAsia="方正黑体_GBK" w:cs="方正黑体_GBK"/>
          <w:b w:val="0"/>
          <w:bCs/>
          <w:kern w:val="44"/>
          <w:sz w:val="32"/>
          <w:szCs w:val="32"/>
          <w:lang w:val="en-US" w:eastAsia="zh-CN" w:bidi="ar-SA"/>
        </w:rPr>
      </w:pPr>
      <w:bookmarkStart w:id="22" w:name="_Toc15377205"/>
      <w:bookmarkStart w:id="23" w:name="_Toc15396603"/>
      <w:r>
        <w:rPr>
          <w:rFonts w:hint="eastAsia" w:ascii="方正黑体_GBK" w:hAnsi="方正黑体_GBK" w:eastAsia="方正黑体_GBK" w:cs="方正黑体_GBK"/>
          <w:b w:val="0"/>
          <w:bCs/>
          <w:kern w:val="44"/>
          <w:sz w:val="32"/>
          <w:szCs w:val="32"/>
          <w:lang w:val="en-US" w:eastAsia="zh-CN" w:bidi="ar-SA"/>
        </w:rPr>
        <w:t>一、收入支出决算总体情况说明</w:t>
      </w:r>
      <w:bookmarkEnd w:id="22"/>
      <w:bookmarkEnd w:id="23"/>
    </w:p>
    <w:p w14:paraId="4F8D8726">
      <w:pPr>
        <w:pStyle w:val="30"/>
        <w:spacing w:line="600" w:lineRule="exact"/>
        <w:ind w:firstLine="640"/>
        <w:outlineLvl w:val="1"/>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2025年度收入、支出总计均为3969.29万元。与上年度相比，收入、支出总计各减少370.66万元，下降8.5%。主要变动原因是项目经费支出减少。</w:t>
      </w:r>
    </w:p>
    <w:p w14:paraId="154E50C4">
      <w:pPr>
        <w:pStyle w:val="5"/>
        <w:rPr>
          <w:rFonts w:eastAsia="仿宋_GB2312" w:cs="仿宋_GB2312"/>
          <w:sz w:val="32"/>
          <w:szCs w:val="32"/>
        </w:rPr>
      </w:pPr>
      <w:r>
        <w:drawing>
          <wp:inline distT="0" distB="0" distL="114300" distR="114300">
            <wp:extent cx="5267960" cy="2434590"/>
            <wp:effectExtent l="4445" t="4445" r="23495" b="18415"/>
            <wp:docPr id="2" name="图表 1" descr="7b0a202020202263686172745265734964223a2022323032383430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177C02D">
      <w:pPr>
        <w:pStyle w:val="30"/>
        <w:spacing w:line="600" w:lineRule="exact"/>
        <w:ind w:firstLine="640"/>
        <w:outlineLvl w:val="1"/>
        <w:rPr>
          <w:rFonts w:hint="default" w:ascii="Times New Roman" w:hAnsi="Times New Roman" w:eastAsia="方正仿宋简体" w:cs="Times New Roman"/>
          <w:kern w:val="2"/>
          <w:sz w:val="32"/>
          <w:szCs w:val="32"/>
          <w:lang w:val="en-US" w:eastAsia="zh-CN" w:bidi="ar-SA"/>
        </w:rPr>
      </w:pPr>
      <w:bookmarkStart w:id="24" w:name="_Toc15377206"/>
      <w:bookmarkStart w:id="25" w:name="_Toc15396604"/>
      <w:r>
        <w:rPr>
          <w:rFonts w:hint="eastAsia" w:ascii="Times New Roman" w:hAnsi="Times New Roman" w:eastAsia="方正仿宋简体" w:cs="Times New Roman"/>
          <w:kern w:val="2"/>
          <w:sz w:val="32"/>
          <w:szCs w:val="32"/>
          <w:lang w:val="en-US" w:eastAsia="zh-CN" w:bidi="ar-SA"/>
        </w:rPr>
        <w:t>（图1：收入、支出决算总计变动情况图）</w:t>
      </w:r>
    </w:p>
    <w:p w14:paraId="6FD9843A">
      <w:pPr>
        <w:pStyle w:val="30"/>
        <w:spacing w:line="600" w:lineRule="exact"/>
        <w:ind w:firstLine="640"/>
        <w:outlineLvl w:val="1"/>
        <w:rPr>
          <w:rFonts w:hint="eastAsia" w:ascii="方正黑体_GBK" w:hAnsi="方正黑体_GBK" w:eastAsia="方正黑体_GBK" w:cs="方正黑体_GBK"/>
          <w:b w:val="0"/>
          <w:bCs/>
          <w:kern w:val="44"/>
          <w:sz w:val="32"/>
          <w:szCs w:val="32"/>
          <w:lang w:val="en-US" w:eastAsia="zh-CN" w:bidi="ar-SA"/>
        </w:rPr>
      </w:pPr>
      <w:r>
        <w:rPr>
          <w:rFonts w:hint="eastAsia" w:ascii="方正黑体_GBK" w:hAnsi="方正黑体_GBK" w:eastAsia="方正黑体_GBK" w:cs="方正黑体_GBK"/>
          <w:b w:val="0"/>
          <w:bCs/>
          <w:kern w:val="44"/>
          <w:sz w:val="32"/>
          <w:szCs w:val="32"/>
          <w:lang w:val="en-US" w:eastAsia="zh-CN" w:bidi="ar-SA"/>
        </w:rPr>
        <w:t>二、收入决算情况说明</w:t>
      </w:r>
      <w:bookmarkEnd w:id="24"/>
      <w:bookmarkEnd w:id="25"/>
    </w:p>
    <w:p w14:paraId="26B7AE64">
      <w:pPr>
        <w:pStyle w:val="30"/>
        <w:spacing w:line="600" w:lineRule="exact"/>
        <w:ind w:firstLine="640"/>
        <w:outlineLvl w:val="1"/>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2025年度本年收入合计3969.29万元，其中：一般公共预算财政拨款收入3682.22万元，占92.</w:t>
      </w:r>
      <w:r>
        <w:rPr>
          <w:rFonts w:hint="eastAsia" w:eastAsia="方正仿宋简体" w:cs="Times New Roman"/>
          <w:kern w:val="2"/>
          <w:sz w:val="32"/>
          <w:szCs w:val="32"/>
          <w:lang w:val="en-US" w:eastAsia="zh-CN" w:bidi="ar-SA"/>
        </w:rPr>
        <w:t>8</w:t>
      </w:r>
      <w:r>
        <w:rPr>
          <w:rFonts w:hint="eastAsia" w:ascii="Times New Roman" w:hAnsi="Times New Roman" w:eastAsia="方正仿宋简体" w:cs="Times New Roman"/>
          <w:kern w:val="2"/>
          <w:sz w:val="32"/>
          <w:szCs w:val="32"/>
          <w:lang w:val="en-US" w:eastAsia="zh-CN" w:bidi="ar-SA"/>
        </w:rPr>
        <w:t>%；政府性基金预算财政拨款收入287.07万元，占7.2%。</w:t>
      </w:r>
    </w:p>
    <w:p w14:paraId="634C8D3F">
      <w:pPr>
        <w:ind w:firstLine="525" w:firstLineChars="250"/>
        <w:rPr>
          <w:rFonts w:eastAsia="仿宋_GB2312" w:cs="仿宋_GB2312"/>
          <w:sz w:val="32"/>
          <w:szCs w:val="32"/>
        </w:rPr>
      </w:pPr>
      <w:r>
        <w:drawing>
          <wp:inline distT="0" distB="0" distL="114300" distR="114300">
            <wp:extent cx="4725670" cy="2575560"/>
            <wp:effectExtent l="4445" t="4445" r="13335" b="10795"/>
            <wp:docPr id="3" name="图表 2" descr="7b0a202020202263686172745265734964223a20223230343735383930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B9C5246">
      <w:pPr>
        <w:pStyle w:val="30"/>
        <w:spacing w:line="600" w:lineRule="exact"/>
        <w:ind w:firstLine="640"/>
        <w:jc w:val="center"/>
        <w:outlineLvl w:val="1"/>
        <w:rPr>
          <w:rFonts w:hint="eastAsia" w:ascii="Times New Roman" w:hAnsi="Times New Roman" w:eastAsia="方正仿宋简体" w:cs="Times New Roman"/>
          <w:kern w:val="2"/>
          <w:sz w:val="32"/>
          <w:szCs w:val="32"/>
          <w:lang w:val="en-US" w:eastAsia="zh-CN" w:bidi="ar-SA"/>
        </w:rPr>
      </w:pPr>
      <w:bookmarkStart w:id="26" w:name="_Toc15377207"/>
      <w:bookmarkStart w:id="27" w:name="_Toc15396605"/>
      <w:r>
        <w:rPr>
          <w:rFonts w:hint="eastAsia" w:ascii="Times New Roman" w:hAnsi="Times New Roman" w:eastAsia="方正仿宋简体" w:cs="Times New Roman"/>
          <w:kern w:val="2"/>
          <w:sz w:val="32"/>
          <w:szCs w:val="32"/>
          <w:lang w:val="en-US" w:eastAsia="zh-CN" w:bidi="ar-SA"/>
        </w:rPr>
        <w:t>（图2：收入决算结构图）</w:t>
      </w:r>
    </w:p>
    <w:p w14:paraId="30F36DA6">
      <w:pPr>
        <w:pStyle w:val="30"/>
        <w:spacing w:line="600" w:lineRule="exact"/>
        <w:ind w:firstLine="640"/>
        <w:outlineLvl w:val="1"/>
        <w:rPr>
          <w:rFonts w:hint="eastAsia" w:ascii="方正黑体_GBK" w:hAnsi="方正黑体_GBK" w:eastAsia="方正黑体_GBK" w:cs="方正黑体_GBK"/>
          <w:b w:val="0"/>
          <w:bCs/>
          <w:kern w:val="44"/>
          <w:sz w:val="32"/>
          <w:szCs w:val="32"/>
          <w:lang w:val="en-US" w:eastAsia="zh-CN" w:bidi="ar-SA"/>
        </w:rPr>
      </w:pPr>
      <w:r>
        <w:rPr>
          <w:rFonts w:hint="eastAsia" w:ascii="方正黑体_GBK" w:hAnsi="方正黑体_GBK" w:eastAsia="方正黑体_GBK" w:cs="方正黑体_GBK"/>
          <w:b w:val="0"/>
          <w:bCs/>
          <w:kern w:val="44"/>
          <w:sz w:val="32"/>
          <w:szCs w:val="32"/>
          <w:lang w:val="en-US" w:eastAsia="zh-CN" w:bidi="ar-SA"/>
        </w:rPr>
        <w:t>三、支出决算情况说明</w:t>
      </w:r>
      <w:bookmarkEnd w:id="26"/>
      <w:bookmarkEnd w:id="27"/>
    </w:p>
    <w:p w14:paraId="2C04B8EC">
      <w:pPr>
        <w:pStyle w:val="30"/>
        <w:spacing w:line="600" w:lineRule="exact"/>
        <w:ind w:firstLine="640"/>
        <w:jc w:val="center"/>
        <w:outlineLvl w:val="1"/>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2025年度本年支出合计3969.29万元，其中：基本支出2789.42万元，占70.</w:t>
      </w:r>
      <w:r>
        <w:rPr>
          <w:rFonts w:hint="eastAsia" w:eastAsia="方正仿宋简体" w:cs="Times New Roman"/>
          <w:kern w:val="2"/>
          <w:sz w:val="32"/>
          <w:szCs w:val="32"/>
          <w:lang w:val="en-US" w:eastAsia="zh-CN" w:bidi="ar-SA"/>
        </w:rPr>
        <w:t>3</w:t>
      </w:r>
      <w:r>
        <w:rPr>
          <w:rFonts w:hint="eastAsia" w:ascii="Times New Roman" w:hAnsi="Times New Roman" w:eastAsia="方正仿宋简体" w:cs="Times New Roman"/>
          <w:kern w:val="2"/>
          <w:sz w:val="32"/>
          <w:szCs w:val="32"/>
          <w:lang w:val="en-US" w:eastAsia="zh-CN" w:bidi="ar-SA"/>
        </w:rPr>
        <w:t>%；项目支出1179.87万元，占29.7%。</w:t>
      </w:r>
    </w:p>
    <w:p w14:paraId="4BAF3EC1">
      <w:pPr>
        <w:pStyle w:val="30"/>
        <w:spacing w:line="600" w:lineRule="exact"/>
        <w:ind w:firstLine="640"/>
        <w:jc w:val="center"/>
        <w:outlineLvl w:val="1"/>
        <w:rPr>
          <w:rFonts w:eastAsia="仿宋_GB2312" w:cs="仿宋_GB2312"/>
          <w:sz w:val="32"/>
          <w:szCs w:val="32"/>
        </w:rPr>
      </w:pPr>
      <w:r>
        <w:drawing>
          <wp:anchor distT="0" distB="0" distL="114300" distR="114300" simplePos="0" relativeHeight="251660288" behindDoc="0" locked="0" layoutInCell="1" allowOverlap="1">
            <wp:simplePos x="0" y="0"/>
            <wp:positionH relativeFrom="column">
              <wp:posOffset>180975</wp:posOffset>
            </wp:positionH>
            <wp:positionV relativeFrom="paragraph">
              <wp:posOffset>118745</wp:posOffset>
            </wp:positionV>
            <wp:extent cx="4572000" cy="2689860"/>
            <wp:effectExtent l="4445" t="4445" r="14605" b="10795"/>
            <wp:wrapNone/>
            <wp:docPr id="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0BBBDCB0">
      <w:pPr>
        <w:pStyle w:val="30"/>
        <w:spacing w:line="600" w:lineRule="exact"/>
        <w:ind w:firstLine="640"/>
        <w:outlineLvl w:val="1"/>
        <w:rPr>
          <w:rFonts w:hint="eastAsia" w:ascii="Times New Roman" w:hAnsi="Times New Roman" w:eastAsia="方正仿宋简体" w:cs="Times New Roman"/>
          <w:kern w:val="2"/>
          <w:sz w:val="32"/>
          <w:szCs w:val="32"/>
          <w:lang w:val="en-US" w:eastAsia="zh-CN" w:bidi="ar-SA"/>
        </w:rPr>
      </w:pPr>
      <w:bookmarkStart w:id="28" w:name="_Toc15377208"/>
      <w:bookmarkStart w:id="29" w:name="_Toc15396606"/>
    </w:p>
    <w:p w14:paraId="63B39E46">
      <w:pPr>
        <w:pStyle w:val="30"/>
        <w:spacing w:line="600" w:lineRule="exact"/>
        <w:ind w:firstLine="640"/>
        <w:outlineLvl w:val="1"/>
        <w:rPr>
          <w:rFonts w:hint="eastAsia" w:ascii="Times New Roman" w:hAnsi="Times New Roman" w:eastAsia="方正仿宋简体" w:cs="Times New Roman"/>
          <w:kern w:val="2"/>
          <w:sz w:val="32"/>
          <w:szCs w:val="32"/>
          <w:lang w:val="en-US" w:eastAsia="zh-CN" w:bidi="ar-SA"/>
        </w:rPr>
      </w:pPr>
    </w:p>
    <w:p w14:paraId="6FC9599C">
      <w:pPr>
        <w:pStyle w:val="30"/>
        <w:spacing w:line="600" w:lineRule="exact"/>
        <w:ind w:firstLine="640"/>
        <w:outlineLvl w:val="1"/>
        <w:rPr>
          <w:rFonts w:hint="eastAsia" w:ascii="Times New Roman" w:hAnsi="Times New Roman" w:eastAsia="方正仿宋简体" w:cs="Times New Roman"/>
          <w:kern w:val="2"/>
          <w:sz w:val="32"/>
          <w:szCs w:val="32"/>
          <w:lang w:val="en-US" w:eastAsia="zh-CN" w:bidi="ar-SA"/>
        </w:rPr>
      </w:pPr>
    </w:p>
    <w:p w14:paraId="0860F33A">
      <w:pPr>
        <w:pStyle w:val="30"/>
        <w:spacing w:line="600" w:lineRule="exact"/>
        <w:ind w:firstLine="640"/>
        <w:outlineLvl w:val="1"/>
        <w:rPr>
          <w:rFonts w:hint="eastAsia" w:ascii="Times New Roman" w:hAnsi="Times New Roman" w:eastAsia="方正仿宋简体" w:cs="Times New Roman"/>
          <w:kern w:val="2"/>
          <w:sz w:val="32"/>
          <w:szCs w:val="32"/>
          <w:lang w:val="en-US" w:eastAsia="zh-CN" w:bidi="ar-SA"/>
        </w:rPr>
      </w:pPr>
    </w:p>
    <w:p w14:paraId="634CDAF5">
      <w:pPr>
        <w:pStyle w:val="30"/>
        <w:spacing w:line="600" w:lineRule="exact"/>
        <w:ind w:firstLine="640"/>
        <w:outlineLvl w:val="1"/>
        <w:rPr>
          <w:rFonts w:hint="eastAsia" w:ascii="Times New Roman" w:hAnsi="Times New Roman" w:eastAsia="方正仿宋简体" w:cs="Times New Roman"/>
          <w:kern w:val="2"/>
          <w:sz w:val="32"/>
          <w:szCs w:val="32"/>
          <w:lang w:val="en-US" w:eastAsia="zh-CN" w:bidi="ar-SA"/>
        </w:rPr>
      </w:pPr>
    </w:p>
    <w:p w14:paraId="5EAAA473">
      <w:pPr>
        <w:pStyle w:val="30"/>
        <w:spacing w:line="600" w:lineRule="exact"/>
        <w:ind w:firstLine="640"/>
        <w:outlineLvl w:val="1"/>
        <w:rPr>
          <w:rFonts w:hint="eastAsia" w:ascii="Times New Roman" w:hAnsi="Times New Roman" w:eastAsia="方正仿宋简体" w:cs="Times New Roman"/>
          <w:kern w:val="2"/>
          <w:sz w:val="32"/>
          <w:szCs w:val="32"/>
          <w:lang w:val="en-US" w:eastAsia="zh-CN" w:bidi="ar-SA"/>
        </w:rPr>
      </w:pPr>
    </w:p>
    <w:p w14:paraId="4F1BEF01">
      <w:pPr>
        <w:pStyle w:val="30"/>
        <w:spacing w:line="600" w:lineRule="exact"/>
        <w:ind w:firstLine="640"/>
        <w:outlineLvl w:val="1"/>
        <w:rPr>
          <w:rFonts w:hint="eastAsia" w:ascii="Times New Roman" w:hAnsi="Times New Roman" w:eastAsia="方正仿宋简体" w:cs="Times New Roman"/>
          <w:kern w:val="2"/>
          <w:sz w:val="32"/>
          <w:szCs w:val="32"/>
          <w:lang w:val="en-US" w:eastAsia="zh-CN" w:bidi="ar-SA"/>
        </w:rPr>
      </w:pPr>
    </w:p>
    <w:p w14:paraId="539584DD">
      <w:pPr>
        <w:pStyle w:val="30"/>
        <w:spacing w:line="600" w:lineRule="exact"/>
        <w:ind w:firstLine="640"/>
        <w:jc w:val="center"/>
        <w:outlineLvl w:val="1"/>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（图3：支出决算结构图）</w:t>
      </w:r>
    </w:p>
    <w:p w14:paraId="25194B81">
      <w:pPr>
        <w:pStyle w:val="30"/>
        <w:spacing w:line="600" w:lineRule="exact"/>
        <w:ind w:firstLine="640"/>
        <w:outlineLvl w:val="1"/>
        <w:rPr>
          <w:rFonts w:hint="eastAsia" w:ascii="方正黑体_GBK" w:hAnsi="方正黑体_GBK" w:eastAsia="方正黑体_GBK" w:cs="方正黑体_GBK"/>
          <w:b w:val="0"/>
          <w:bCs/>
          <w:kern w:val="44"/>
          <w:sz w:val="32"/>
          <w:szCs w:val="32"/>
          <w:lang w:val="en-US" w:eastAsia="zh-CN" w:bidi="ar-SA"/>
        </w:rPr>
      </w:pPr>
      <w:r>
        <w:rPr>
          <w:rFonts w:hint="eastAsia" w:ascii="方正黑体_GBK" w:hAnsi="方正黑体_GBK" w:eastAsia="方正黑体_GBK" w:cs="方正黑体_GBK"/>
          <w:b w:val="0"/>
          <w:bCs/>
          <w:kern w:val="44"/>
          <w:sz w:val="32"/>
          <w:szCs w:val="32"/>
          <w:lang w:val="en-US" w:eastAsia="zh-CN" w:bidi="ar-SA"/>
        </w:rPr>
        <w:t>四、财政拨款收入支出决算总体情况说明</w:t>
      </w:r>
      <w:bookmarkEnd w:id="28"/>
      <w:bookmarkEnd w:id="29"/>
    </w:p>
    <w:p w14:paraId="1746BB3C">
      <w:pPr>
        <w:pStyle w:val="30"/>
        <w:pageBreakBefore w:val="0"/>
        <w:kinsoku/>
        <w:wordWrap/>
        <w:overflowPunct/>
        <w:topLinePunct w:val="0"/>
        <w:bidi w:val="0"/>
        <w:spacing w:line="600" w:lineRule="exact"/>
        <w:ind w:firstLine="640"/>
        <w:jc w:val="left"/>
        <w:outlineLvl w:val="1"/>
        <w:rPr>
          <w:rFonts w:hint="default"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2025年度财政拨款收入、支出总计均为3969.29万元。与上年度相比，财政拨款收入、支出总计各减少370.66万元，下降8.5%。主要变动原因是项目经费支出减少。</w:t>
      </w:r>
    </w:p>
    <w:p w14:paraId="2E3FAA88">
      <w:pPr>
        <w:pStyle w:val="5"/>
      </w:pPr>
      <w:r>
        <w:drawing>
          <wp:inline distT="0" distB="0" distL="114300" distR="114300">
            <wp:extent cx="5267960" cy="2441575"/>
            <wp:effectExtent l="4445" t="4445" r="23495" b="11430"/>
            <wp:docPr id="5" name="图表 1" descr="7b0a202020202263686172745265734964223a2022323032383430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AF6BF24">
      <w:pPr>
        <w:spacing w:line="600" w:lineRule="exact"/>
        <w:ind w:firstLine="640" w:firstLineChars="200"/>
        <w:rPr>
          <w:rFonts w:eastAsia="仿宋_GB2312" w:cs="仿宋_GB2312"/>
          <w:sz w:val="32"/>
          <w:szCs w:val="32"/>
        </w:rPr>
      </w:pPr>
      <w:bookmarkStart w:id="30" w:name="_Toc15377209"/>
      <w:bookmarkStart w:id="31" w:name="_Toc15396607"/>
      <w:r>
        <w:rPr>
          <w:rFonts w:hint="eastAsia" w:ascii="Times New Roman" w:hAnsi="Times New Roman" w:eastAsia="方正仿宋简体" w:cs="Times New Roman"/>
          <w:kern w:val="2"/>
          <w:sz w:val="32"/>
          <w:szCs w:val="32"/>
          <w:lang w:val="en-US" w:eastAsia="zh-CN" w:bidi="ar-SA"/>
        </w:rPr>
        <w:t>（图4：财政拨款收、支决算总计变动情况）</w:t>
      </w:r>
    </w:p>
    <w:p w14:paraId="43F371A9">
      <w:pPr>
        <w:pStyle w:val="30"/>
        <w:spacing w:line="600" w:lineRule="exact"/>
        <w:ind w:firstLine="640"/>
        <w:outlineLvl w:val="1"/>
        <w:rPr>
          <w:rFonts w:hint="eastAsia" w:ascii="方正黑体_GBK" w:hAnsi="方正黑体_GBK" w:eastAsia="方正黑体_GBK" w:cs="方正黑体_GBK"/>
          <w:b w:val="0"/>
          <w:bCs/>
          <w:kern w:val="44"/>
          <w:sz w:val="32"/>
          <w:szCs w:val="32"/>
          <w:lang w:val="en-US" w:eastAsia="zh-CN" w:bidi="ar-SA"/>
        </w:rPr>
      </w:pPr>
      <w:r>
        <w:rPr>
          <w:rFonts w:hint="eastAsia" w:ascii="方正黑体_GBK" w:hAnsi="方正黑体_GBK" w:eastAsia="方正黑体_GBK" w:cs="方正黑体_GBK"/>
          <w:b w:val="0"/>
          <w:bCs/>
          <w:kern w:val="44"/>
          <w:sz w:val="32"/>
          <w:szCs w:val="32"/>
          <w:lang w:val="en-US" w:eastAsia="zh-CN" w:bidi="ar-SA"/>
        </w:rPr>
        <w:t>五、一般公共预算财政拨款支出决算情况说明</w:t>
      </w:r>
      <w:bookmarkEnd w:id="30"/>
      <w:bookmarkEnd w:id="31"/>
    </w:p>
    <w:p w14:paraId="14286245">
      <w:pPr>
        <w:pageBreakBefore w:val="0"/>
        <w:widowControl w:val="0"/>
        <w:kinsoku/>
        <w:wordWrap/>
        <w:overflowPunct/>
        <w:topLinePunct w:val="0"/>
        <w:autoSpaceDE/>
        <w:autoSpaceDN/>
        <w:bidi w:val="0"/>
        <w:snapToGrid w:val="0"/>
        <w:spacing w:line="560" w:lineRule="exact"/>
        <w:ind w:firstLine="643" w:firstLineChars="200"/>
        <w:jc w:val="left"/>
        <w:rPr>
          <w:rFonts w:hint="eastAsia" w:ascii="Times New Roman" w:hAnsi="Times New Roman" w:eastAsia="方正楷体_GBK" w:cs="Times New Roman"/>
          <w:b/>
          <w:bCs/>
          <w:color w:val="000000"/>
          <w:kern w:val="0"/>
          <w:sz w:val="32"/>
          <w:szCs w:val="32"/>
          <w:shd w:val="clear" w:color="auto" w:fill="FFFFFF"/>
          <w:lang w:val="zh-CN" w:eastAsia="zh-CN" w:bidi="ar-SA"/>
        </w:rPr>
      </w:pPr>
      <w:bookmarkStart w:id="32" w:name="_Toc15377210"/>
      <w:r>
        <w:rPr>
          <w:rFonts w:hint="eastAsia" w:ascii="Times New Roman" w:hAnsi="Times New Roman" w:eastAsia="方正楷体_GBK" w:cs="Times New Roman"/>
          <w:b/>
          <w:bCs/>
          <w:color w:val="000000"/>
          <w:kern w:val="0"/>
          <w:sz w:val="32"/>
          <w:szCs w:val="32"/>
          <w:shd w:val="clear" w:color="auto" w:fill="FFFFFF"/>
          <w:lang w:val="zh-CN" w:eastAsia="zh-CN" w:bidi="ar-SA"/>
        </w:rPr>
        <w:t>（一）一般公共预算财政拨款支出决算总体情况</w:t>
      </w:r>
      <w:bookmarkEnd w:id="32"/>
    </w:p>
    <w:p w14:paraId="2096EADE">
      <w:pPr>
        <w:pStyle w:val="30"/>
        <w:pageBreakBefore w:val="0"/>
        <w:kinsoku/>
        <w:wordWrap/>
        <w:overflowPunct/>
        <w:topLinePunct w:val="0"/>
        <w:bidi w:val="0"/>
        <w:spacing w:line="600" w:lineRule="exact"/>
        <w:ind w:firstLine="640"/>
        <w:jc w:val="left"/>
        <w:outlineLvl w:val="1"/>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2025年度一般公共预算财政拨款支出3682.22万元，占本年支出合计的92.</w:t>
      </w:r>
      <w:r>
        <w:rPr>
          <w:rFonts w:hint="eastAsia" w:eastAsia="方正仿宋简体" w:cs="Times New Roman"/>
          <w:kern w:val="2"/>
          <w:sz w:val="32"/>
          <w:szCs w:val="32"/>
          <w:lang w:val="en-US" w:eastAsia="zh-CN" w:bidi="ar-SA"/>
        </w:rPr>
        <w:t>8</w:t>
      </w:r>
      <w:r>
        <w:rPr>
          <w:rFonts w:hint="eastAsia" w:ascii="Times New Roman" w:hAnsi="Times New Roman" w:eastAsia="方正仿宋简体" w:cs="Times New Roman"/>
          <w:kern w:val="2"/>
          <w:sz w:val="32"/>
          <w:szCs w:val="32"/>
          <w:lang w:val="en-US" w:eastAsia="zh-CN" w:bidi="ar-SA"/>
        </w:rPr>
        <w:t>%。与上年度相比，一般公共预算财政拨款支出减少163.76万元，下降4.2%。主要变动原因是项目经费支出减少。</w:t>
      </w:r>
    </w:p>
    <w:p w14:paraId="0D32BEC8">
      <w:pPr>
        <w:pStyle w:val="5"/>
        <w:rPr>
          <w:rFonts w:hint="eastAsia" w:ascii="Times New Roman" w:hAnsi="Times New Roman" w:eastAsia="方正仿宋简体" w:cs="Times New Roman"/>
          <w:kern w:val="2"/>
          <w:sz w:val="32"/>
          <w:szCs w:val="32"/>
          <w:lang w:val="en-US" w:eastAsia="zh-CN" w:bidi="ar-SA"/>
        </w:rPr>
      </w:pPr>
      <w:bookmarkStart w:id="33" w:name="_Toc15377211"/>
      <w:r>
        <w:drawing>
          <wp:anchor distT="0" distB="0" distL="114300" distR="114300" simplePos="0" relativeHeight="251659264" behindDoc="0" locked="0" layoutInCell="1" allowOverlap="1">
            <wp:simplePos x="0" y="0"/>
            <wp:positionH relativeFrom="column">
              <wp:posOffset>236855</wp:posOffset>
            </wp:positionH>
            <wp:positionV relativeFrom="paragraph">
              <wp:posOffset>226060</wp:posOffset>
            </wp:positionV>
            <wp:extent cx="4572000" cy="2137410"/>
            <wp:effectExtent l="4445" t="4445" r="14605" b="10795"/>
            <wp:wrapNone/>
            <wp:docPr id="7" name="图表 2" descr="7b0a202020202263686172745265734964223a202234363130333534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p w14:paraId="2351B220">
      <w:pPr>
        <w:pStyle w:val="5"/>
        <w:rPr>
          <w:rFonts w:hint="eastAsia" w:ascii="Times New Roman" w:hAnsi="Times New Roman" w:eastAsia="方正仿宋简体" w:cs="Times New Roman"/>
          <w:kern w:val="2"/>
          <w:sz w:val="32"/>
          <w:szCs w:val="32"/>
          <w:lang w:val="en-US" w:eastAsia="zh-CN" w:bidi="ar-SA"/>
        </w:rPr>
      </w:pPr>
    </w:p>
    <w:p w14:paraId="6E416F67">
      <w:pPr>
        <w:spacing w:line="600" w:lineRule="exact"/>
        <w:ind w:firstLine="643" w:firstLineChars="200"/>
        <w:outlineLvl w:val="2"/>
        <w:rPr>
          <w:rFonts w:hint="eastAsia" w:eastAsia="楷体_GB2312" w:cs="楷体_GB2312"/>
          <w:b/>
          <w:sz w:val="32"/>
          <w:szCs w:val="32"/>
        </w:rPr>
      </w:pPr>
    </w:p>
    <w:p w14:paraId="3E50F152">
      <w:pPr>
        <w:spacing w:line="600" w:lineRule="exact"/>
        <w:ind w:firstLine="643" w:firstLineChars="200"/>
        <w:outlineLvl w:val="2"/>
        <w:rPr>
          <w:rFonts w:hint="eastAsia" w:eastAsia="楷体_GB2312" w:cs="楷体_GB2312"/>
          <w:b/>
          <w:sz w:val="32"/>
          <w:szCs w:val="32"/>
        </w:rPr>
      </w:pPr>
    </w:p>
    <w:p w14:paraId="18C06328">
      <w:pPr>
        <w:spacing w:line="600" w:lineRule="exact"/>
        <w:ind w:firstLine="643" w:firstLineChars="200"/>
        <w:outlineLvl w:val="2"/>
        <w:rPr>
          <w:rFonts w:hint="eastAsia" w:eastAsia="楷体_GB2312" w:cs="楷体_GB2312"/>
          <w:b/>
          <w:sz w:val="32"/>
          <w:szCs w:val="32"/>
        </w:rPr>
      </w:pPr>
    </w:p>
    <w:p w14:paraId="1990E7FD">
      <w:pPr>
        <w:spacing w:line="600" w:lineRule="exact"/>
        <w:outlineLvl w:val="2"/>
        <w:rPr>
          <w:rFonts w:hint="eastAsia" w:eastAsia="楷体_GB2312" w:cs="楷体_GB2312"/>
          <w:b/>
          <w:sz w:val="32"/>
          <w:szCs w:val="32"/>
        </w:rPr>
      </w:pPr>
    </w:p>
    <w:p w14:paraId="35BC42F9">
      <w:pPr>
        <w:spacing w:line="600" w:lineRule="exact"/>
        <w:ind w:firstLine="640"/>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（图5：一般公共预算财政拨款支出决算变动情况）</w:t>
      </w:r>
    </w:p>
    <w:p w14:paraId="22BE8200">
      <w:pPr>
        <w:pageBreakBefore w:val="0"/>
        <w:widowControl w:val="0"/>
        <w:kinsoku/>
        <w:wordWrap/>
        <w:overflowPunct/>
        <w:topLinePunct w:val="0"/>
        <w:autoSpaceDE/>
        <w:autoSpaceDN/>
        <w:bidi w:val="0"/>
        <w:snapToGrid w:val="0"/>
        <w:spacing w:line="560" w:lineRule="exact"/>
        <w:ind w:firstLine="643" w:firstLineChars="200"/>
        <w:jc w:val="left"/>
        <w:rPr>
          <w:rFonts w:hint="eastAsia" w:ascii="Times New Roman" w:hAnsi="Times New Roman" w:eastAsia="方正楷体_GBK" w:cs="Times New Roman"/>
          <w:b/>
          <w:bCs/>
          <w:color w:val="000000"/>
          <w:kern w:val="0"/>
          <w:sz w:val="32"/>
          <w:szCs w:val="32"/>
          <w:shd w:val="clear" w:color="auto" w:fill="FFFFFF"/>
          <w:lang w:val="zh-CN" w:eastAsia="zh-CN" w:bidi="ar-SA"/>
        </w:rPr>
      </w:pPr>
      <w:r>
        <w:rPr>
          <w:rFonts w:hint="eastAsia" w:ascii="Times New Roman" w:hAnsi="Times New Roman" w:eastAsia="方正楷体_GBK" w:cs="Times New Roman"/>
          <w:b/>
          <w:bCs/>
          <w:color w:val="000000"/>
          <w:kern w:val="0"/>
          <w:sz w:val="32"/>
          <w:szCs w:val="32"/>
          <w:shd w:val="clear" w:color="auto" w:fill="FFFFFF"/>
          <w:lang w:val="zh-CN" w:eastAsia="zh-CN" w:bidi="ar-SA"/>
        </w:rPr>
        <w:t>（二）一般公共预算财政拨款支出决算结构情况</w:t>
      </w:r>
      <w:bookmarkEnd w:id="33"/>
    </w:p>
    <w:p w14:paraId="2BEA3AFE">
      <w:pPr>
        <w:pageBreakBefore w:val="0"/>
        <w:kinsoku/>
        <w:wordWrap/>
        <w:overflowPunct/>
        <w:topLinePunct w:val="0"/>
        <w:bidi w:val="0"/>
        <w:spacing w:line="600" w:lineRule="exact"/>
        <w:ind w:firstLine="640"/>
        <w:jc w:val="left"/>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2025年度一般公共预算财政拨款支出3682.22万元，主要用于以下方面：一般公共服务支出2.43万元，占</w:t>
      </w:r>
      <w:r>
        <w:rPr>
          <w:rFonts w:hint="eastAsia" w:eastAsia="方正仿宋简体" w:cs="Times New Roman"/>
          <w:kern w:val="2"/>
          <w:sz w:val="32"/>
          <w:szCs w:val="32"/>
          <w:lang w:val="en-US" w:eastAsia="zh-CN" w:bidi="ar-SA"/>
        </w:rPr>
        <w:t>0.1</w:t>
      </w:r>
      <w:r>
        <w:rPr>
          <w:rFonts w:hint="eastAsia" w:ascii="Times New Roman" w:hAnsi="Times New Roman" w:eastAsia="方正仿宋简体" w:cs="Times New Roman"/>
          <w:kern w:val="2"/>
          <w:sz w:val="32"/>
          <w:szCs w:val="32"/>
          <w:lang w:val="en-US" w:eastAsia="zh-CN" w:bidi="ar-SA"/>
        </w:rPr>
        <w:t>%；社会保障和就业支出3357.35万元，占91.</w:t>
      </w:r>
      <w:r>
        <w:rPr>
          <w:rFonts w:hint="eastAsia" w:eastAsia="方正仿宋简体" w:cs="Times New Roman"/>
          <w:kern w:val="2"/>
          <w:sz w:val="32"/>
          <w:szCs w:val="32"/>
          <w:lang w:val="en-US" w:eastAsia="zh-CN" w:bidi="ar-SA"/>
        </w:rPr>
        <w:t>2</w:t>
      </w:r>
      <w:r>
        <w:rPr>
          <w:rFonts w:hint="eastAsia" w:ascii="Times New Roman" w:hAnsi="Times New Roman" w:eastAsia="方正仿宋简体" w:cs="Times New Roman"/>
          <w:kern w:val="2"/>
          <w:sz w:val="32"/>
          <w:szCs w:val="32"/>
          <w:lang w:val="en-US" w:eastAsia="zh-CN" w:bidi="ar-SA"/>
        </w:rPr>
        <w:t>%；卫生健康支出139.67万元，占3.</w:t>
      </w:r>
      <w:r>
        <w:rPr>
          <w:rFonts w:hint="eastAsia" w:eastAsia="方正仿宋简体" w:cs="Times New Roman"/>
          <w:kern w:val="2"/>
          <w:sz w:val="32"/>
          <w:szCs w:val="32"/>
          <w:lang w:val="en-US" w:eastAsia="zh-CN" w:bidi="ar-SA"/>
        </w:rPr>
        <w:t>8</w:t>
      </w:r>
      <w:r>
        <w:rPr>
          <w:rFonts w:hint="eastAsia" w:ascii="Times New Roman" w:hAnsi="Times New Roman" w:eastAsia="方正仿宋简体" w:cs="Times New Roman"/>
          <w:kern w:val="2"/>
          <w:sz w:val="32"/>
          <w:szCs w:val="32"/>
          <w:lang w:val="en-US" w:eastAsia="zh-CN" w:bidi="ar-SA"/>
        </w:rPr>
        <w:t>%；住房保障支出182.77万元，占4.9%。</w:t>
      </w:r>
    </w:p>
    <w:p w14:paraId="71B108EF">
      <w:pPr>
        <w:pStyle w:val="5"/>
        <w:rPr>
          <w:rFonts w:eastAsia="仿宋_GB2312" w:cs="仿宋_GB2312"/>
          <w:sz w:val="32"/>
          <w:szCs w:val="32"/>
        </w:rPr>
      </w:pPr>
      <w:r>
        <w:drawing>
          <wp:inline distT="0" distB="0" distL="114300" distR="114300">
            <wp:extent cx="5273675" cy="3813810"/>
            <wp:effectExtent l="4445" t="4445" r="17780" b="10795"/>
            <wp:docPr id="8" name="图表 2"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CFE817C">
      <w:pPr>
        <w:spacing w:line="600" w:lineRule="exact"/>
        <w:ind w:firstLine="640"/>
        <w:rPr>
          <w:rFonts w:eastAsia="仿宋_GB2312" w:cs="仿宋_GB2312"/>
          <w:sz w:val="32"/>
          <w:szCs w:val="32"/>
        </w:rPr>
      </w:pPr>
      <w:bookmarkStart w:id="34" w:name="_Toc15377212"/>
      <w:r>
        <w:rPr>
          <w:rFonts w:hint="eastAsia" w:ascii="Times New Roman" w:hAnsi="Times New Roman" w:eastAsia="方正仿宋简体" w:cs="Times New Roman"/>
          <w:kern w:val="2"/>
          <w:sz w:val="32"/>
          <w:szCs w:val="32"/>
          <w:lang w:val="en-US" w:eastAsia="zh-CN" w:bidi="ar-SA"/>
        </w:rPr>
        <w:t>（图6：一般公共预算财政拨款支出决算结构）</w:t>
      </w:r>
    </w:p>
    <w:p w14:paraId="25522287">
      <w:pPr>
        <w:pageBreakBefore w:val="0"/>
        <w:widowControl w:val="0"/>
        <w:kinsoku/>
        <w:wordWrap/>
        <w:overflowPunct/>
        <w:topLinePunct w:val="0"/>
        <w:autoSpaceDE/>
        <w:autoSpaceDN/>
        <w:bidi w:val="0"/>
        <w:snapToGrid w:val="0"/>
        <w:spacing w:line="560" w:lineRule="exact"/>
        <w:ind w:firstLine="643" w:firstLineChars="200"/>
        <w:jc w:val="left"/>
        <w:rPr>
          <w:rFonts w:hint="eastAsia" w:ascii="Times New Roman" w:hAnsi="Times New Roman" w:eastAsia="方正楷体_GBK" w:cs="Times New Roman"/>
          <w:b/>
          <w:bCs/>
          <w:color w:val="000000"/>
          <w:kern w:val="0"/>
          <w:sz w:val="32"/>
          <w:szCs w:val="32"/>
          <w:shd w:val="clear" w:color="auto" w:fill="FFFFFF"/>
          <w:lang w:val="zh-CN" w:eastAsia="zh-CN" w:bidi="ar-SA"/>
        </w:rPr>
      </w:pPr>
      <w:r>
        <w:rPr>
          <w:rFonts w:hint="eastAsia" w:ascii="Times New Roman" w:hAnsi="Times New Roman" w:eastAsia="方正楷体_GBK" w:cs="Times New Roman"/>
          <w:b/>
          <w:bCs/>
          <w:color w:val="000000"/>
          <w:kern w:val="0"/>
          <w:sz w:val="32"/>
          <w:szCs w:val="32"/>
          <w:shd w:val="clear" w:color="auto" w:fill="FFFFFF"/>
          <w:lang w:val="zh-CN" w:eastAsia="zh-CN" w:bidi="ar-SA"/>
        </w:rPr>
        <w:t>（三）一般公共预算财政拨款支出决算具体情况</w:t>
      </w:r>
      <w:bookmarkEnd w:id="34"/>
    </w:p>
    <w:p w14:paraId="71347C1F">
      <w:pPr>
        <w:spacing w:line="600" w:lineRule="exact"/>
        <w:ind w:firstLine="640"/>
        <w:rPr>
          <w:rFonts w:hint="eastAsia" w:ascii="Times New Roman" w:hAnsi="Times New Roman" w:eastAsia="方正仿宋简体" w:cs="Times New Roman"/>
          <w:kern w:val="2"/>
          <w:sz w:val="32"/>
          <w:szCs w:val="32"/>
          <w:lang w:val="en-US" w:eastAsia="zh-CN" w:bidi="ar-SA"/>
        </w:rPr>
      </w:pPr>
      <w:bookmarkStart w:id="35" w:name="_Toc15377444"/>
      <w:bookmarkStart w:id="36" w:name="_Toc15378460"/>
      <w:bookmarkStart w:id="37" w:name="_Toc15377213"/>
      <w:r>
        <w:rPr>
          <w:rFonts w:hint="eastAsia" w:ascii="Times New Roman" w:hAnsi="Times New Roman" w:eastAsia="方正仿宋简体" w:cs="Times New Roman"/>
          <w:kern w:val="2"/>
          <w:sz w:val="32"/>
          <w:szCs w:val="32"/>
          <w:lang w:val="en-US" w:eastAsia="zh-CN" w:bidi="ar-SA"/>
        </w:rPr>
        <w:t>2025年度一般公共预算支出决算数为3682.22</w:t>
      </w:r>
      <w:r>
        <w:rPr>
          <w:rFonts w:hint="eastAsia" w:eastAsia="方正仿宋简体" w:cs="Times New Roman"/>
          <w:kern w:val="2"/>
          <w:sz w:val="32"/>
          <w:szCs w:val="32"/>
          <w:lang w:val="en-US" w:eastAsia="zh-CN" w:bidi="ar-SA"/>
        </w:rPr>
        <w:t>万元</w:t>
      </w:r>
      <w:r>
        <w:rPr>
          <w:rFonts w:hint="eastAsia" w:ascii="Times New Roman" w:hAnsi="Times New Roman" w:eastAsia="方正仿宋简体" w:cs="Times New Roman"/>
          <w:kern w:val="2"/>
          <w:sz w:val="32"/>
          <w:szCs w:val="32"/>
          <w:lang w:val="en-US" w:eastAsia="zh-CN" w:bidi="ar-SA"/>
        </w:rPr>
        <w:t>，完成预算100%。其中：</w:t>
      </w:r>
      <w:bookmarkEnd w:id="35"/>
      <w:bookmarkEnd w:id="36"/>
      <w:bookmarkEnd w:id="37"/>
    </w:p>
    <w:p w14:paraId="56FB2E0E">
      <w:pPr>
        <w:pageBreakBefore w:val="0"/>
        <w:widowControl w:val="0"/>
        <w:suppressAutoHyphens/>
        <w:kinsoku/>
        <w:wordWrap/>
        <w:overflowPunct/>
        <w:topLinePunct w:val="0"/>
        <w:bidi w:val="0"/>
        <w:spacing w:line="600" w:lineRule="exact"/>
        <w:ind w:firstLine="643" w:firstLineChars="200"/>
        <w:jc w:val="left"/>
        <w:rPr>
          <w:rFonts w:ascii="Times New Roman" w:hAnsi="Times New Roman" w:eastAsia="仿宋"/>
          <w:b/>
          <w:sz w:val="32"/>
          <w:szCs w:val="32"/>
        </w:rPr>
      </w:pPr>
      <w:r>
        <w:rPr>
          <w:rStyle w:val="20"/>
          <w:rFonts w:ascii="Times New Roman" w:hAnsi="Times New Roman" w:eastAsia="仿宋"/>
          <w:bCs/>
          <w:sz w:val="32"/>
          <w:szCs w:val="32"/>
        </w:rPr>
        <w:t>1.一般公共服务（类）组织事务（款）其他组织事务支出（项）</w:t>
      </w:r>
      <w:r>
        <w:rPr>
          <w:rFonts w:hint="eastAsia" w:ascii="Times New Roman" w:hAnsi="Times New Roman" w:eastAsia="方正仿宋简体" w:cs="Times New Roman"/>
          <w:sz w:val="32"/>
          <w:szCs w:val="32"/>
          <w:lang w:bidi="ar-SA"/>
        </w:rPr>
        <w:t>支出决算为</w:t>
      </w:r>
      <w:r>
        <w:rPr>
          <w:rFonts w:hint="eastAsia" w:eastAsia="方正仿宋简体" w:cs="Times New Roman"/>
          <w:sz w:val="32"/>
          <w:szCs w:val="32"/>
          <w:lang w:val="en-US" w:eastAsia="zh-CN" w:bidi="ar-SA"/>
        </w:rPr>
        <w:t>2.43</w:t>
      </w:r>
      <w:r>
        <w:rPr>
          <w:rFonts w:hint="eastAsia" w:ascii="Times New Roman" w:hAnsi="Times New Roman" w:eastAsia="方正仿宋简体" w:cs="Times New Roman"/>
          <w:sz w:val="32"/>
          <w:szCs w:val="32"/>
          <w:lang w:bidi="ar-SA"/>
        </w:rPr>
        <w:t>万元，完成预算100%。</w:t>
      </w:r>
    </w:p>
    <w:p w14:paraId="07B45548">
      <w:pPr>
        <w:pageBreakBefore w:val="0"/>
        <w:widowControl w:val="0"/>
        <w:suppressAutoHyphens/>
        <w:kinsoku/>
        <w:wordWrap/>
        <w:overflowPunct/>
        <w:topLinePunct w:val="0"/>
        <w:bidi w:val="0"/>
        <w:spacing w:line="600" w:lineRule="exact"/>
        <w:ind w:firstLine="643" w:firstLineChars="200"/>
        <w:jc w:val="left"/>
        <w:rPr>
          <w:rFonts w:hint="eastAsia" w:ascii="Times New Roman" w:hAnsi="Times New Roman" w:eastAsia="方正仿宋简体" w:cs="Times New Roman"/>
          <w:sz w:val="32"/>
          <w:szCs w:val="32"/>
          <w:lang w:bidi="ar-SA"/>
        </w:rPr>
      </w:pPr>
      <w:r>
        <w:rPr>
          <w:rStyle w:val="20"/>
          <w:rFonts w:ascii="Times New Roman" w:hAnsi="Times New Roman" w:eastAsia="仿宋"/>
          <w:bCs/>
          <w:sz w:val="32"/>
          <w:szCs w:val="32"/>
        </w:rPr>
        <w:t>2.社会保障和就业（类）</w:t>
      </w:r>
      <w:r>
        <w:rPr>
          <w:rFonts w:hint="eastAsia" w:ascii="Times New Roman" w:hAnsi="Times New Roman" w:eastAsia="方正仿宋简体" w:cs="Times New Roman"/>
          <w:sz w:val="32"/>
          <w:szCs w:val="32"/>
          <w:lang w:bidi="ar-SA"/>
        </w:rPr>
        <w:t>支出决算为</w:t>
      </w:r>
      <w:r>
        <w:rPr>
          <w:rFonts w:hint="eastAsia" w:eastAsia="仿宋_GB2312" w:cs="仿宋_GB2312"/>
          <w:sz w:val="32"/>
          <w:szCs w:val="32"/>
        </w:rPr>
        <w:t>3</w:t>
      </w:r>
      <w:r>
        <w:rPr>
          <w:rFonts w:hint="eastAsia" w:eastAsia="仿宋_GB2312" w:cs="仿宋_GB2312"/>
          <w:sz w:val="32"/>
          <w:szCs w:val="32"/>
          <w:lang w:val="en-US" w:eastAsia="zh-CN"/>
        </w:rPr>
        <w:t>357.35</w:t>
      </w:r>
      <w:r>
        <w:rPr>
          <w:rFonts w:hint="eastAsia" w:ascii="Times New Roman" w:hAnsi="Times New Roman" w:eastAsia="方正仿宋简体" w:cs="Times New Roman"/>
          <w:sz w:val="32"/>
          <w:szCs w:val="32"/>
          <w:lang w:bidi="ar-SA"/>
        </w:rPr>
        <w:t>万元，完成预算100%。</w:t>
      </w:r>
    </w:p>
    <w:p w14:paraId="2F6D2882">
      <w:pPr>
        <w:pageBreakBefore w:val="0"/>
        <w:widowControl w:val="0"/>
        <w:suppressAutoHyphens/>
        <w:kinsoku/>
        <w:wordWrap/>
        <w:overflowPunct/>
        <w:topLinePunct w:val="0"/>
        <w:bidi w:val="0"/>
        <w:snapToGrid w:val="0"/>
        <w:spacing w:line="600" w:lineRule="exact"/>
        <w:ind w:firstLine="640" w:firstLineChars="200"/>
        <w:jc w:val="left"/>
        <w:rPr>
          <w:rFonts w:hint="eastAsia" w:ascii="Times New Roman" w:hAnsi="Times New Roman" w:eastAsia="方正仿宋简体"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（1）</w:t>
      </w:r>
      <w:r>
        <w:rPr>
          <w:rStyle w:val="20"/>
          <w:rFonts w:ascii="Times New Roman" w:hAnsi="Times New Roman" w:eastAsia="仿宋" w:cs="Times New Roman"/>
          <w:bCs/>
          <w:kern w:val="2"/>
          <w:sz w:val="32"/>
          <w:szCs w:val="32"/>
          <w:lang w:val="en-US" w:eastAsia="zh-CN" w:bidi="ar-SA"/>
        </w:rPr>
        <w:t>社会保障和就业（类）</w:t>
      </w:r>
      <w:r>
        <w:rPr>
          <w:rFonts w:hint="eastAsia" w:ascii="Times New Roman" w:hAnsi="Times New Roman" w:eastAsia="方正仿宋简体" w:cs="Times New Roman"/>
          <w:b/>
          <w:bCs/>
          <w:kern w:val="2"/>
          <w:sz w:val="32"/>
          <w:szCs w:val="32"/>
          <w:lang w:val="en-US" w:eastAsia="zh-CN" w:bidi="ar-SA"/>
        </w:rPr>
        <w:t>人力</w:t>
      </w:r>
      <w:r>
        <w:rPr>
          <w:rStyle w:val="20"/>
          <w:rFonts w:ascii="Times New Roman" w:hAnsi="Times New Roman" w:eastAsia="仿宋" w:cs="Times New Roman"/>
          <w:b/>
          <w:bCs/>
          <w:kern w:val="2"/>
          <w:sz w:val="32"/>
          <w:szCs w:val="32"/>
          <w:lang w:val="en-US" w:eastAsia="zh-CN" w:bidi="ar-SA"/>
        </w:rPr>
        <w:t>资</w:t>
      </w:r>
      <w:r>
        <w:rPr>
          <w:rStyle w:val="20"/>
          <w:rFonts w:ascii="Times New Roman" w:hAnsi="Times New Roman" w:eastAsia="仿宋" w:cs="Times New Roman"/>
          <w:bCs/>
          <w:kern w:val="2"/>
          <w:sz w:val="32"/>
          <w:szCs w:val="32"/>
          <w:lang w:val="en-US" w:eastAsia="zh-CN" w:bidi="ar-SA"/>
        </w:rPr>
        <w:t>源和社会保障管理事务（款）其他人力资源和社会保障管理事务支</w:t>
      </w:r>
      <w:r>
        <w:rPr>
          <w:rStyle w:val="20"/>
          <w:rFonts w:hint="eastAsia" w:eastAsia="仿宋" w:cs="Times New Roman"/>
          <w:bCs/>
          <w:kern w:val="2"/>
          <w:sz w:val="32"/>
          <w:szCs w:val="32"/>
          <w:lang w:val="en-US" w:eastAsia="zh-CN" w:bidi="ar-SA"/>
        </w:rPr>
        <w:t>出</w:t>
      </w:r>
      <w:r>
        <w:rPr>
          <w:rStyle w:val="20"/>
          <w:rFonts w:ascii="Times New Roman" w:hAnsi="Times New Roman" w:eastAsia="仿宋" w:cs="Times New Roman"/>
          <w:bCs/>
          <w:kern w:val="2"/>
          <w:sz w:val="32"/>
          <w:szCs w:val="32"/>
          <w:lang w:val="en-US" w:eastAsia="zh-CN" w:bidi="ar-SA"/>
        </w:rPr>
        <w:t>（项）</w:t>
      </w:r>
      <w:r>
        <w:rPr>
          <w:rFonts w:hint="eastAsia" w:ascii="Times New Roman" w:hAnsi="Times New Roman" w:eastAsia="方正仿宋简体" w:cs="Times New Roman"/>
          <w:kern w:val="2"/>
          <w:sz w:val="32"/>
          <w:szCs w:val="32"/>
          <w:lang w:val="en-US" w:eastAsia="zh-CN" w:bidi="ar-SA"/>
        </w:rPr>
        <w:t>支出决算为4万元，完成预算100%。</w:t>
      </w:r>
    </w:p>
    <w:p w14:paraId="393D4D3F">
      <w:pPr>
        <w:pageBreakBefore w:val="0"/>
        <w:widowControl w:val="0"/>
        <w:suppressAutoHyphens/>
        <w:kinsoku/>
        <w:wordWrap/>
        <w:overflowPunct/>
        <w:topLinePunct w:val="0"/>
        <w:bidi w:val="0"/>
        <w:snapToGrid w:val="0"/>
        <w:spacing w:line="600" w:lineRule="exact"/>
        <w:ind w:firstLine="640" w:firstLineChars="200"/>
        <w:jc w:val="left"/>
        <w:rPr>
          <w:rFonts w:hint="eastAsia" w:ascii="Times New Roman" w:hAnsi="Times New Roman" w:eastAsia="方正仿宋简体"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（2）</w:t>
      </w:r>
      <w:r>
        <w:rPr>
          <w:rStyle w:val="20"/>
          <w:rFonts w:ascii="Times New Roman" w:hAnsi="Times New Roman" w:eastAsia="仿宋" w:cs="Times New Roman"/>
          <w:bCs/>
          <w:kern w:val="2"/>
          <w:sz w:val="32"/>
          <w:szCs w:val="32"/>
          <w:lang w:val="en-US" w:eastAsia="zh-CN" w:bidi="ar-SA"/>
        </w:rPr>
        <w:t>社会保障和就业（类）民政管理事务（款）行政运行（项）</w:t>
      </w:r>
      <w:r>
        <w:rPr>
          <w:rFonts w:hint="eastAsia" w:ascii="Times New Roman" w:hAnsi="Times New Roman" w:eastAsia="方正仿宋简体" w:cs="Times New Roman"/>
          <w:kern w:val="2"/>
          <w:sz w:val="32"/>
          <w:szCs w:val="32"/>
          <w:lang w:val="en-US" w:eastAsia="zh-CN" w:bidi="ar-SA"/>
        </w:rPr>
        <w:t>支出决算为457.59万元，完成预算100%。</w:t>
      </w:r>
    </w:p>
    <w:p w14:paraId="68DFAF74">
      <w:pPr>
        <w:pageBreakBefore w:val="0"/>
        <w:widowControl w:val="0"/>
        <w:suppressAutoHyphens/>
        <w:kinsoku/>
        <w:wordWrap/>
        <w:overflowPunct/>
        <w:topLinePunct w:val="0"/>
        <w:bidi w:val="0"/>
        <w:snapToGrid w:val="0"/>
        <w:spacing w:line="600" w:lineRule="exact"/>
        <w:ind w:firstLine="640" w:firstLineChars="200"/>
        <w:jc w:val="left"/>
        <w:rPr>
          <w:rStyle w:val="20"/>
          <w:rFonts w:ascii="Times New Roman" w:hAnsi="Times New Roman" w:eastAsia="仿宋" w:cs="Times New Roman"/>
          <w:bCs/>
          <w:kern w:val="2"/>
          <w:sz w:val="32"/>
          <w:szCs w:val="32"/>
          <w:lang w:val="en-US" w:eastAsia="zh-CN" w:bidi="ar-SA"/>
        </w:rPr>
      </w:pPr>
      <w:r>
        <w:rPr>
          <w:rFonts w:ascii="Times New Roman" w:hAnsi="Times New Roman" w:eastAsia="仿宋_GB2312" w:cs="Times New Roman"/>
          <w:kern w:val="2"/>
          <w:sz w:val="32"/>
          <w:szCs w:val="32"/>
          <w:lang w:val="en-US" w:eastAsia="zh-CN" w:bidi="ar-SA"/>
        </w:rPr>
        <w:t>（3）</w:t>
      </w:r>
      <w:r>
        <w:rPr>
          <w:rStyle w:val="20"/>
          <w:rFonts w:ascii="Times New Roman" w:hAnsi="Times New Roman" w:eastAsia="仿宋" w:cs="Times New Roman"/>
          <w:bCs/>
          <w:kern w:val="2"/>
          <w:sz w:val="32"/>
          <w:szCs w:val="32"/>
          <w:lang w:val="en-US" w:eastAsia="zh-CN" w:bidi="ar-SA"/>
        </w:rPr>
        <w:t>社会保障和就业（类）民政管理事务（款）其他民政管理事务支出（项）</w:t>
      </w:r>
      <w:r>
        <w:rPr>
          <w:rFonts w:hint="eastAsia" w:ascii="Times New Roman" w:hAnsi="Times New Roman" w:eastAsia="方正仿宋简体" w:cs="Times New Roman"/>
          <w:kern w:val="2"/>
          <w:sz w:val="32"/>
          <w:szCs w:val="32"/>
          <w:lang w:val="en-US" w:eastAsia="zh-CN" w:bidi="ar-SA"/>
        </w:rPr>
        <w:t>支出决算为208.27万元，完成预算100%。</w:t>
      </w:r>
    </w:p>
    <w:p w14:paraId="5D5ABD04">
      <w:pPr>
        <w:pageBreakBefore w:val="0"/>
        <w:widowControl w:val="0"/>
        <w:suppressAutoHyphens/>
        <w:kinsoku/>
        <w:wordWrap/>
        <w:overflowPunct/>
        <w:topLinePunct w:val="0"/>
        <w:bidi w:val="0"/>
        <w:snapToGrid w:val="0"/>
        <w:spacing w:line="600" w:lineRule="exact"/>
        <w:ind w:firstLine="640" w:firstLineChars="200"/>
        <w:jc w:val="left"/>
        <w:rPr>
          <w:rFonts w:hint="eastAsia" w:ascii="Times New Roman" w:hAnsi="Times New Roman" w:eastAsia="方正仿宋简体"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（4）</w:t>
      </w:r>
      <w:r>
        <w:rPr>
          <w:rStyle w:val="20"/>
          <w:rFonts w:ascii="Times New Roman" w:hAnsi="Times New Roman" w:eastAsia="仿宋" w:cs="Times New Roman"/>
          <w:bCs/>
          <w:kern w:val="2"/>
          <w:sz w:val="32"/>
          <w:szCs w:val="32"/>
          <w:lang w:val="en-US" w:eastAsia="zh-CN" w:bidi="ar-SA"/>
        </w:rPr>
        <w:t>社会保障和就业（类）行政事业单位养老支出（款）行政单位离退休（项）</w:t>
      </w:r>
      <w:r>
        <w:rPr>
          <w:rFonts w:hint="eastAsia" w:ascii="Times New Roman" w:hAnsi="Times New Roman" w:eastAsia="方正仿宋简体" w:cs="Times New Roman"/>
          <w:kern w:val="2"/>
          <w:sz w:val="32"/>
          <w:szCs w:val="32"/>
          <w:lang w:val="en-US" w:eastAsia="zh-CN" w:bidi="ar-SA"/>
        </w:rPr>
        <w:t>支出决算为106.95万元，完成预算100%。</w:t>
      </w:r>
    </w:p>
    <w:p w14:paraId="2A9FC6E1">
      <w:pPr>
        <w:pageBreakBefore w:val="0"/>
        <w:widowControl w:val="0"/>
        <w:suppressAutoHyphens/>
        <w:kinsoku/>
        <w:wordWrap/>
        <w:overflowPunct/>
        <w:topLinePunct w:val="0"/>
        <w:bidi w:val="0"/>
        <w:snapToGrid w:val="0"/>
        <w:spacing w:line="600" w:lineRule="exact"/>
        <w:ind w:firstLine="640" w:firstLineChars="200"/>
        <w:jc w:val="left"/>
        <w:rPr>
          <w:rFonts w:hint="eastAsia" w:ascii="Times New Roman" w:hAnsi="Times New Roman" w:eastAsia="方正仿宋简体"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（5）</w:t>
      </w:r>
      <w:r>
        <w:rPr>
          <w:rStyle w:val="20"/>
          <w:rFonts w:ascii="Times New Roman" w:hAnsi="Times New Roman" w:eastAsia="仿宋" w:cs="Times New Roman"/>
          <w:bCs/>
          <w:kern w:val="2"/>
          <w:sz w:val="32"/>
          <w:szCs w:val="32"/>
          <w:lang w:val="en-US" w:eastAsia="zh-CN" w:bidi="ar-SA"/>
        </w:rPr>
        <w:t>社会保障和就业（类）行政事业单位养老支出（款）事业单位离退休（项）</w:t>
      </w:r>
      <w:r>
        <w:rPr>
          <w:rFonts w:hint="eastAsia" w:ascii="Times New Roman" w:hAnsi="Times New Roman" w:eastAsia="方正仿宋简体" w:cs="Times New Roman"/>
          <w:kern w:val="2"/>
          <w:sz w:val="32"/>
          <w:szCs w:val="32"/>
          <w:lang w:val="en-US" w:eastAsia="zh-CN" w:bidi="ar-SA"/>
        </w:rPr>
        <w:t>支出决算为154.35万元，完成预算100%。</w:t>
      </w:r>
    </w:p>
    <w:p w14:paraId="1144ABFE">
      <w:pPr>
        <w:pageBreakBefore w:val="0"/>
        <w:widowControl w:val="0"/>
        <w:suppressAutoHyphens/>
        <w:kinsoku/>
        <w:wordWrap/>
        <w:overflowPunct/>
        <w:topLinePunct w:val="0"/>
        <w:bidi w:val="0"/>
        <w:snapToGrid w:val="0"/>
        <w:spacing w:line="600" w:lineRule="exact"/>
        <w:ind w:firstLine="640" w:firstLineChars="200"/>
        <w:jc w:val="left"/>
        <w:rPr>
          <w:rFonts w:hint="eastAsia" w:ascii="Calibri" w:hAnsi="Calibri" w:eastAsia="仿宋_GB2312"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（6）</w:t>
      </w:r>
      <w:r>
        <w:rPr>
          <w:rStyle w:val="20"/>
          <w:rFonts w:ascii="Times New Roman" w:hAnsi="Times New Roman" w:eastAsia="仿宋" w:cs="Times New Roman"/>
          <w:bCs/>
          <w:kern w:val="2"/>
          <w:sz w:val="32"/>
          <w:szCs w:val="32"/>
          <w:lang w:val="en-US" w:eastAsia="zh-CN" w:bidi="ar-SA"/>
        </w:rPr>
        <w:t>社会保障和就业（类）行政事业单位养老支出（款）机关事业单位</w:t>
      </w:r>
      <w:r>
        <w:rPr>
          <w:rStyle w:val="20"/>
          <w:rFonts w:hint="eastAsia" w:ascii="Times New Roman" w:hAnsi="Times New Roman" w:eastAsia="仿宋" w:cs="Times New Roman"/>
          <w:bCs/>
          <w:kern w:val="2"/>
          <w:sz w:val="32"/>
          <w:szCs w:val="32"/>
          <w:lang w:val="en-US" w:eastAsia="zh-CN" w:bidi="ar-SA"/>
        </w:rPr>
        <w:t>基本养老保险</w:t>
      </w:r>
      <w:r>
        <w:rPr>
          <w:rStyle w:val="20"/>
          <w:rFonts w:ascii="Times New Roman" w:hAnsi="Times New Roman" w:eastAsia="仿宋" w:cs="Times New Roman"/>
          <w:bCs/>
          <w:kern w:val="2"/>
          <w:sz w:val="32"/>
          <w:szCs w:val="32"/>
          <w:lang w:val="en-US" w:eastAsia="zh-CN" w:bidi="ar-SA"/>
        </w:rPr>
        <w:t>支出（项）</w:t>
      </w:r>
      <w:r>
        <w:rPr>
          <w:rFonts w:hint="eastAsia" w:ascii="Times New Roman" w:hAnsi="Times New Roman" w:eastAsia="方正仿宋简体" w:cs="Times New Roman"/>
          <w:kern w:val="2"/>
          <w:sz w:val="32"/>
          <w:szCs w:val="32"/>
          <w:lang w:val="en-US" w:eastAsia="zh-CN" w:bidi="ar-SA"/>
        </w:rPr>
        <w:t>支出决算为243.54万元，完成预算100%。</w:t>
      </w:r>
    </w:p>
    <w:p w14:paraId="18C18163">
      <w:pPr>
        <w:pageBreakBefore w:val="0"/>
        <w:widowControl w:val="0"/>
        <w:suppressAutoHyphens/>
        <w:kinsoku/>
        <w:wordWrap/>
        <w:overflowPunct/>
        <w:topLinePunct w:val="0"/>
        <w:bidi w:val="0"/>
        <w:snapToGrid w:val="0"/>
        <w:spacing w:line="600" w:lineRule="exact"/>
        <w:ind w:firstLine="640" w:firstLineChars="200"/>
        <w:jc w:val="left"/>
        <w:rPr>
          <w:rFonts w:hint="eastAsia" w:ascii="Times New Roman" w:hAnsi="Times New Roman" w:eastAsia="方正仿宋简体"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7</w:t>
      </w:r>
      <w:r>
        <w:rPr>
          <w:rFonts w:ascii="Times New Roman" w:hAnsi="Times New Roman" w:eastAsia="仿宋_GB2312" w:cs="Times New Roman"/>
          <w:kern w:val="2"/>
          <w:sz w:val="32"/>
          <w:szCs w:val="32"/>
          <w:lang w:val="en-US" w:eastAsia="zh-CN" w:bidi="ar-SA"/>
        </w:rPr>
        <w:t>）</w:t>
      </w:r>
      <w:r>
        <w:rPr>
          <w:rStyle w:val="20"/>
          <w:rFonts w:ascii="Times New Roman" w:hAnsi="Times New Roman" w:eastAsia="仿宋" w:cs="Times New Roman"/>
          <w:bCs/>
          <w:kern w:val="2"/>
          <w:sz w:val="32"/>
          <w:szCs w:val="32"/>
          <w:lang w:val="en-US" w:eastAsia="zh-CN" w:bidi="ar-SA"/>
        </w:rPr>
        <w:t>社会保障和就业（类）行政事业单位养老支出（款）机关事业单位职业年金缴费支出（项）</w:t>
      </w:r>
      <w:r>
        <w:rPr>
          <w:rFonts w:hint="eastAsia" w:ascii="Times New Roman" w:hAnsi="Times New Roman" w:eastAsia="方正仿宋简体" w:cs="Times New Roman"/>
          <w:kern w:val="2"/>
          <w:sz w:val="32"/>
          <w:szCs w:val="32"/>
          <w:lang w:val="en-US" w:eastAsia="zh-CN" w:bidi="ar-SA"/>
        </w:rPr>
        <w:t>支出决算为21.87万元，完成预算100%。</w:t>
      </w:r>
    </w:p>
    <w:p w14:paraId="6E2229EE">
      <w:pPr>
        <w:pageBreakBefore w:val="0"/>
        <w:widowControl w:val="0"/>
        <w:suppressAutoHyphens/>
        <w:kinsoku/>
        <w:wordWrap/>
        <w:overflowPunct/>
        <w:topLinePunct w:val="0"/>
        <w:bidi w:val="0"/>
        <w:snapToGrid w:val="0"/>
        <w:spacing w:line="600" w:lineRule="exact"/>
        <w:ind w:firstLine="640" w:firstLineChars="200"/>
        <w:jc w:val="left"/>
        <w:rPr>
          <w:rFonts w:hint="eastAsia" w:ascii="Times New Roman" w:hAnsi="Times New Roman" w:eastAsia="方正仿宋简体"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8</w:t>
      </w:r>
      <w:r>
        <w:rPr>
          <w:rFonts w:ascii="Times New Roman" w:hAnsi="Times New Roman" w:eastAsia="仿宋_GB2312" w:cs="Times New Roman"/>
          <w:kern w:val="2"/>
          <w:sz w:val="32"/>
          <w:szCs w:val="32"/>
          <w:lang w:val="en-US" w:eastAsia="zh-CN" w:bidi="ar-SA"/>
        </w:rPr>
        <w:t>）</w:t>
      </w:r>
      <w:r>
        <w:rPr>
          <w:rStyle w:val="20"/>
          <w:rFonts w:ascii="Times New Roman" w:hAnsi="Times New Roman" w:eastAsia="仿宋" w:cs="Times New Roman"/>
          <w:bCs/>
          <w:kern w:val="2"/>
          <w:sz w:val="32"/>
          <w:szCs w:val="32"/>
          <w:lang w:val="en-US" w:eastAsia="zh-CN" w:bidi="ar-SA"/>
        </w:rPr>
        <w:t>社会保障和就业（类）抚恤（款）死亡抚恤（项）</w:t>
      </w:r>
      <w:r>
        <w:rPr>
          <w:rFonts w:hint="eastAsia" w:ascii="Times New Roman" w:hAnsi="Times New Roman" w:eastAsia="方正仿宋简体" w:cs="Times New Roman"/>
          <w:kern w:val="2"/>
          <w:sz w:val="32"/>
          <w:szCs w:val="32"/>
          <w:lang w:val="en-US" w:eastAsia="zh-CN" w:bidi="ar-SA"/>
        </w:rPr>
        <w:t>支出决算为</w:t>
      </w:r>
      <w:r>
        <w:rPr>
          <w:rFonts w:hint="eastAsia" w:eastAsia="方正仿宋简体" w:cs="Times New Roman"/>
          <w:kern w:val="2"/>
          <w:sz w:val="32"/>
          <w:szCs w:val="32"/>
          <w:lang w:val="en-US" w:eastAsia="zh-CN" w:bidi="ar-SA"/>
        </w:rPr>
        <w:t>38.38</w:t>
      </w:r>
      <w:r>
        <w:rPr>
          <w:rFonts w:hint="eastAsia" w:ascii="Times New Roman" w:hAnsi="Times New Roman" w:eastAsia="方正仿宋简体" w:cs="Times New Roman"/>
          <w:kern w:val="2"/>
          <w:sz w:val="32"/>
          <w:szCs w:val="32"/>
          <w:lang w:val="en-US" w:eastAsia="zh-CN" w:bidi="ar-SA"/>
        </w:rPr>
        <w:t>万元，完成预算100%。</w:t>
      </w:r>
    </w:p>
    <w:p w14:paraId="286AEF8E">
      <w:pPr>
        <w:pageBreakBefore w:val="0"/>
        <w:widowControl w:val="0"/>
        <w:suppressAutoHyphens/>
        <w:kinsoku/>
        <w:wordWrap/>
        <w:overflowPunct/>
        <w:topLinePunct w:val="0"/>
        <w:bidi w:val="0"/>
        <w:snapToGrid w:val="0"/>
        <w:spacing w:line="600" w:lineRule="exact"/>
        <w:ind w:firstLine="640" w:firstLineChars="200"/>
        <w:jc w:val="left"/>
        <w:rPr>
          <w:rStyle w:val="20"/>
          <w:rFonts w:ascii="Times New Roman" w:hAnsi="Times New Roman" w:eastAsia="仿宋" w:cs="Times New Roman"/>
          <w:bCs/>
          <w:kern w:val="2"/>
          <w:sz w:val="32"/>
          <w:szCs w:val="32"/>
          <w:lang w:val="en-US" w:eastAsia="zh-CN" w:bidi="ar-SA"/>
        </w:rPr>
      </w:pPr>
      <w:r>
        <w:rPr>
          <w:rFonts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9</w:t>
      </w:r>
      <w:r>
        <w:rPr>
          <w:rFonts w:ascii="Times New Roman" w:hAnsi="Times New Roman" w:eastAsia="仿宋_GB2312" w:cs="Times New Roman"/>
          <w:kern w:val="2"/>
          <w:sz w:val="32"/>
          <w:szCs w:val="32"/>
          <w:lang w:val="en-US" w:eastAsia="zh-CN" w:bidi="ar-SA"/>
        </w:rPr>
        <w:t>）</w:t>
      </w:r>
      <w:r>
        <w:rPr>
          <w:rStyle w:val="20"/>
          <w:rFonts w:ascii="Times New Roman" w:hAnsi="Times New Roman" w:eastAsia="仿宋" w:cs="Times New Roman"/>
          <w:bCs/>
          <w:kern w:val="2"/>
          <w:sz w:val="32"/>
          <w:szCs w:val="32"/>
          <w:lang w:val="en-US" w:eastAsia="zh-CN" w:bidi="ar-SA"/>
        </w:rPr>
        <w:t>社会保障和就业（类）社会福利（款）儿童福利（项）</w:t>
      </w:r>
      <w:r>
        <w:rPr>
          <w:rFonts w:hint="eastAsia" w:ascii="Times New Roman" w:hAnsi="Times New Roman" w:eastAsia="方正仿宋简体" w:cs="Times New Roman"/>
          <w:kern w:val="2"/>
          <w:sz w:val="32"/>
          <w:szCs w:val="32"/>
          <w:lang w:val="en-US" w:eastAsia="zh-CN" w:bidi="ar-SA"/>
        </w:rPr>
        <w:t>支出决算为437.97万元，完成预算100%。</w:t>
      </w:r>
    </w:p>
    <w:p w14:paraId="01F94C4C">
      <w:pPr>
        <w:pageBreakBefore w:val="0"/>
        <w:widowControl w:val="0"/>
        <w:suppressAutoHyphens/>
        <w:kinsoku/>
        <w:wordWrap/>
        <w:overflowPunct/>
        <w:topLinePunct w:val="0"/>
        <w:bidi w:val="0"/>
        <w:snapToGrid w:val="0"/>
        <w:spacing w:line="600" w:lineRule="exact"/>
        <w:ind w:firstLine="640" w:firstLineChars="200"/>
        <w:jc w:val="left"/>
        <w:rPr>
          <w:rStyle w:val="20"/>
          <w:rFonts w:ascii="Times New Roman" w:hAnsi="Times New Roman" w:eastAsia="仿宋" w:cs="Times New Roman"/>
          <w:bCs/>
          <w:kern w:val="2"/>
          <w:sz w:val="32"/>
          <w:szCs w:val="32"/>
          <w:lang w:val="en-US" w:eastAsia="zh-CN" w:bidi="ar-SA"/>
        </w:rPr>
      </w:pPr>
      <w:r>
        <w:rPr>
          <w:rFonts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10</w:t>
      </w:r>
      <w:r>
        <w:rPr>
          <w:rFonts w:ascii="Times New Roman" w:hAnsi="Times New Roman" w:eastAsia="仿宋_GB2312" w:cs="Times New Roman"/>
          <w:kern w:val="2"/>
          <w:sz w:val="32"/>
          <w:szCs w:val="32"/>
          <w:lang w:val="en-US" w:eastAsia="zh-CN" w:bidi="ar-SA"/>
        </w:rPr>
        <w:t>）</w:t>
      </w:r>
      <w:r>
        <w:rPr>
          <w:rStyle w:val="20"/>
          <w:rFonts w:ascii="Times New Roman" w:hAnsi="Times New Roman" w:eastAsia="仿宋" w:cs="Times New Roman"/>
          <w:bCs/>
          <w:kern w:val="2"/>
          <w:sz w:val="32"/>
          <w:szCs w:val="32"/>
          <w:lang w:val="en-US" w:eastAsia="zh-CN" w:bidi="ar-SA"/>
        </w:rPr>
        <w:t>社会保障和就业（类）社会福利（款）殡葬（项）</w:t>
      </w:r>
      <w:r>
        <w:rPr>
          <w:rFonts w:hint="eastAsia" w:ascii="Times New Roman" w:hAnsi="Times New Roman" w:eastAsia="方正仿宋简体" w:cs="Times New Roman"/>
          <w:kern w:val="2"/>
          <w:sz w:val="32"/>
          <w:szCs w:val="32"/>
          <w:lang w:val="en-US" w:eastAsia="zh-CN" w:bidi="ar-SA"/>
        </w:rPr>
        <w:t>支出决算为1014.81万元，完成预算100%。</w:t>
      </w:r>
    </w:p>
    <w:p w14:paraId="679995C5">
      <w:pPr>
        <w:pageBreakBefore w:val="0"/>
        <w:widowControl w:val="0"/>
        <w:suppressAutoHyphens/>
        <w:kinsoku/>
        <w:wordWrap/>
        <w:overflowPunct/>
        <w:topLinePunct w:val="0"/>
        <w:bidi w:val="0"/>
        <w:snapToGrid w:val="0"/>
        <w:spacing w:line="600" w:lineRule="exact"/>
        <w:ind w:firstLine="640" w:firstLineChars="200"/>
        <w:jc w:val="left"/>
        <w:rPr>
          <w:rStyle w:val="20"/>
          <w:rFonts w:ascii="Times New Roman" w:hAnsi="Times New Roman" w:eastAsia="仿宋" w:cs="Times New Roman"/>
          <w:bCs/>
          <w:kern w:val="2"/>
          <w:sz w:val="32"/>
          <w:szCs w:val="32"/>
          <w:lang w:val="en-US" w:eastAsia="zh-CN" w:bidi="ar-SA"/>
        </w:rPr>
      </w:pPr>
      <w:r>
        <w:rPr>
          <w:rFonts w:ascii="Times New Roman" w:hAnsi="Times New Roman" w:eastAsia="仿宋_GB2312" w:cs="Times New Roman"/>
          <w:kern w:val="2"/>
          <w:sz w:val="32"/>
          <w:szCs w:val="32"/>
          <w:lang w:val="en-US" w:eastAsia="zh-CN" w:bidi="ar-SA"/>
        </w:rPr>
        <w:t>（1</w:t>
      </w:r>
      <w:r>
        <w:rPr>
          <w:rFonts w:hint="eastAsia" w:ascii="Times New Roman" w:hAnsi="Times New Roman" w:eastAsia="仿宋_GB2312" w:cs="Times New Roman"/>
          <w:kern w:val="2"/>
          <w:sz w:val="32"/>
          <w:szCs w:val="32"/>
          <w:lang w:val="en-US" w:eastAsia="zh-CN" w:bidi="ar-SA"/>
        </w:rPr>
        <w:t>1</w:t>
      </w:r>
      <w:r>
        <w:rPr>
          <w:rFonts w:ascii="Times New Roman" w:hAnsi="Times New Roman" w:eastAsia="仿宋_GB2312" w:cs="Times New Roman"/>
          <w:kern w:val="2"/>
          <w:sz w:val="32"/>
          <w:szCs w:val="32"/>
          <w:lang w:val="en-US" w:eastAsia="zh-CN" w:bidi="ar-SA"/>
        </w:rPr>
        <w:t>）</w:t>
      </w:r>
      <w:r>
        <w:rPr>
          <w:rStyle w:val="20"/>
          <w:rFonts w:ascii="Times New Roman" w:hAnsi="Times New Roman" w:eastAsia="仿宋" w:cs="Times New Roman"/>
          <w:bCs/>
          <w:kern w:val="2"/>
          <w:sz w:val="32"/>
          <w:szCs w:val="32"/>
          <w:lang w:val="en-US" w:eastAsia="zh-CN" w:bidi="ar-SA"/>
        </w:rPr>
        <w:t>社会保障和就业（类）社会福利（款）社会福利事业单位（项）</w:t>
      </w:r>
      <w:r>
        <w:rPr>
          <w:rFonts w:hint="eastAsia" w:ascii="Times New Roman" w:hAnsi="Times New Roman" w:eastAsia="方正仿宋简体" w:cs="Times New Roman"/>
          <w:kern w:val="2"/>
          <w:sz w:val="32"/>
          <w:szCs w:val="32"/>
          <w:lang w:val="en-US" w:eastAsia="zh-CN" w:bidi="ar-SA"/>
        </w:rPr>
        <w:t>支出决算为279.54万元，完成预算100%。</w:t>
      </w:r>
    </w:p>
    <w:p w14:paraId="5613A92C">
      <w:pPr>
        <w:pageBreakBefore w:val="0"/>
        <w:widowControl w:val="0"/>
        <w:suppressAutoHyphens/>
        <w:kinsoku/>
        <w:wordWrap/>
        <w:overflowPunct/>
        <w:topLinePunct w:val="0"/>
        <w:bidi w:val="0"/>
        <w:snapToGrid w:val="0"/>
        <w:spacing w:line="600" w:lineRule="exact"/>
        <w:ind w:firstLine="640" w:firstLineChars="200"/>
        <w:jc w:val="left"/>
        <w:rPr>
          <w:rFonts w:hint="eastAsia" w:ascii="Times New Roman" w:hAnsi="Times New Roman" w:eastAsia="方正仿宋简体"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（1</w:t>
      </w:r>
      <w:r>
        <w:rPr>
          <w:rFonts w:hint="eastAsia" w:ascii="Times New Roman" w:hAnsi="Times New Roman" w:eastAsia="仿宋_GB2312" w:cs="Times New Roman"/>
          <w:kern w:val="2"/>
          <w:sz w:val="32"/>
          <w:szCs w:val="32"/>
          <w:lang w:val="en-US" w:eastAsia="zh-CN" w:bidi="ar-SA"/>
        </w:rPr>
        <w:t>2</w:t>
      </w:r>
      <w:r>
        <w:rPr>
          <w:rFonts w:ascii="Times New Roman" w:hAnsi="Times New Roman" w:eastAsia="仿宋_GB2312" w:cs="Times New Roman"/>
          <w:kern w:val="2"/>
          <w:sz w:val="32"/>
          <w:szCs w:val="32"/>
          <w:lang w:val="en-US" w:eastAsia="zh-CN" w:bidi="ar-SA"/>
        </w:rPr>
        <w:t>）</w:t>
      </w:r>
      <w:r>
        <w:rPr>
          <w:rStyle w:val="20"/>
          <w:rFonts w:ascii="Times New Roman" w:hAnsi="Times New Roman" w:eastAsia="仿宋" w:cs="Times New Roman"/>
          <w:bCs/>
          <w:kern w:val="2"/>
          <w:sz w:val="32"/>
          <w:szCs w:val="32"/>
          <w:lang w:val="en-US" w:eastAsia="zh-CN" w:bidi="ar-SA"/>
        </w:rPr>
        <w:t>社会保障和就业（类）社会福利（款）养老服务（项）</w:t>
      </w:r>
      <w:r>
        <w:rPr>
          <w:rFonts w:hint="eastAsia" w:ascii="Times New Roman" w:hAnsi="Times New Roman" w:eastAsia="方正仿宋简体" w:cs="Times New Roman"/>
          <w:kern w:val="2"/>
          <w:sz w:val="32"/>
          <w:szCs w:val="32"/>
          <w:lang w:val="en-US" w:eastAsia="zh-CN" w:bidi="ar-SA"/>
        </w:rPr>
        <w:t>支出决算为</w:t>
      </w:r>
      <w:r>
        <w:rPr>
          <w:rFonts w:hint="eastAsia" w:eastAsia="方正仿宋简体" w:cs="Times New Roman"/>
          <w:kern w:val="2"/>
          <w:sz w:val="32"/>
          <w:szCs w:val="32"/>
          <w:lang w:val="en-US" w:eastAsia="zh-CN" w:bidi="ar-SA"/>
        </w:rPr>
        <w:t>17.15</w:t>
      </w:r>
      <w:r>
        <w:rPr>
          <w:rFonts w:hint="eastAsia" w:ascii="Times New Roman" w:hAnsi="Times New Roman" w:eastAsia="方正仿宋简体" w:cs="Times New Roman"/>
          <w:kern w:val="2"/>
          <w:sz w:val="32"/>
          <w:szCs w:val="32"/>
          <w:lang w:val="en-US" w:eastAsia="zh-CN" w:bidi="ar-SA"/>
        </w:rPr>
        <w:t>万元，完成预算100%。</w:t>
      </w:r>
    </w:p>
    <w:p w14:paraId="469F97C7">
      <w:pPr>
        <w:pageBreakBefore w:val="0"/>
        <w:widowControl w:val="0"/>
        <w:suppressAutoHyphens/>
        <w:kinsoku/>
        <w:wordWrap/>
        <w:overflowPunct/>
        <w:topLinePunct w:val="0"/>
        <w:bidi w:val="0"/>
        <w:snapToGrid w:val="0"/>
        <w:spacing w:line="600" w:lineRule="exact"/>
        <w:ind w:firstLine="640" w:firstLineChars="200"/>
        <w:jc w:val="left"/>
        <w:rPr>
          <w:rStyle w:val="20"/>
          <w:rFonts w:ascii="Times New Roman" w:hAnsi="Times New Roman" w:eastAsia="仿宋" w:cs="Times New Roman"/>
          <w:b w:val="0"/>
          <w:bCs/>
          <w:kern w:val="2"/>
          <w:sz w:val="32"/>
          <w:szCs w:val="32"/>
          <w:lang w:val="en-US" w:eastAsia="zh-CN" w:bidi="ar-SA"/>
        </w:rPr>
      </w:pPr>
      <w:r>
        <w:rPr>
          <w:rFonts w:ascii="Times New Roman" w:hAnsi="Times New Roman" w:eastAsia="仿宋_GB2312" w:cs="Times New Roman"/>
          <w:kern w:val="2"/>
          <w:sz w:val="32"/>
          <w:szCs w:val="32"/>
          <w:lang w:val="en-US" w:eastAsia="zh-CN" w:bidi="ar-SA"/>
        </w:rPr>
        <w:t>（1</w:t>
      </w:r>
      <w:r>
        <w:rPr>
          <w:rFonts w:hint="eastAsia" w:ascii="Times New Roman" w:hAnsi="Times New Roman" w:eastAsia="仿宋_GB2312" w:cs="Times New Roman"/>
          <w:kern w:val="2"/>
          <w:sz w:val="32"/>
          <w:szCs w:val="32"/>
          <w:lang w:val="en-US" w:eastAsia="zh-CN" w:bidi="ar-SA"/>
        </w:rPr>
        <w:t>3</w:t>
      </w:r>
      <w:r>
        <w:rPr>
          <w:rFonts w:ascii="Times New Roman" w:hAnsi="Times New Roman" w:eastAsia="仿宋_GB2312" w:cs="Times New Roman"/>
          <w:kern w:val="2"/>
          <w:sz w:val="32"/>
          <w:szCs w:val="32"/>
          <w:lang w:val="en-US" w:eastAsia="zh-CN" w:bidi="ar-SA"/>
        </w:rPr>
        <w:t>）</w:t>
      </w:r>
      <w:r>
        <w:rPr>
          <w:rStyle w:val="20"/>
          <w:rFonts w:ascii="Times New Roman" w:hAnsi="Times New Roman" w:eastAsia="仿宋" w:cs="Times New Roman"/>
          <w:bCs/>
          <w:kern w:val="2"/>
          <w:sz w:val="32"/>
          <w:szCs w:val="32"/>
          <w:lang w:val="en-US" w:eastAsia="zh-CN" w:bidi="ar-SA"/>
        </w:rPr>
        <w:t>社会保障和就业（类）临时救助（款）流浪乞讨人员救助支出（项）</w:t>
      </w:r>
      <w:r>
        <w:rPr>
          <w:rFonts w:hint="eastAsia" w:ascii="Times New Roman" w:hAnsi="Times New Roman" w:eastAsia="方正仿宋简体" w:cs="Times New Roman"/>
          <w:kern w:val="2"/>
          <w:sz w:val="32"/>
          <w:szCs w:val="32"/>
          <w:lang w:val="en-US" w:eastAsia="zh-CN" w:bidi="ar-SA"/>
        </w:rPr>
        <w:t>支出决算为314.69万元，完成预算100%。</w:t>
      </w:r>
    </w:p>
    <w:p w14:paraId="199B624E">
      <w:pPr>
        <w:keepNext w:val="0"/>
        <w:keepLines w:val="0"/>
        <w:pageBreakBefore w:val="0"/>
        <w:widowControl w:val="0"/>
        <w:suppressAutoHyphens/>
        <w:kinsoku/>
        <w:wordWrap/>
        <w:overflowPunct/>
        <w:topLinePunct w:val="0"/>
        <w:autoSpaceDE/>
        <w:autoSpaceDN/>
        <w:bidi w:val="0"/>
        <w:adjustRightInd/>
        <w:snapToGrid w:val="0"/>
        <w:spacing w:line="600" w:lineRule="exact"/>
        <w:ind w:firstLine="640" w:firstLineChars="200"/>
        <w:jc w:val="left"/>
        <w:textAlignment w:val="auto"/>
        <w:rPr>
          <w:rFonts w:hint="eastAsia" w:ascii="Times New Roman" w:hAnsi="Times New Roman" w:eastAsia="方正仿宋简体"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（1</w:t>
      </w:r>
      <w:r>
        <w:rPr>
          <w:rFonts w:hint="eastAsia" w:ascii="Times New Roman" w:hAnsi="Times New Roman" w:eastAsia="仿宋_GB2312" w:cs="Times New Roman"/>
          <w:kern w:val="2"/>
          <w:sz w:val="32"/>
          <w:szCs w:val="32"/>
          <w:lang w:val="en-US" w:eastAsia="zh-CN" w:bidi="ar-SA"/>
        </w:rPr>
        <w:t>4</w:t>
      </w:r>
      <w:r>
        <w:rPr>
          <w:rFonts w:ascii="Times New Roman" w:hAnsi="Times New Roman" w:eastAsia="仿宋_GB2312" w:cs="Times New Roman"/>
          <w:kern w:val="2"/>
          <w:sz w:val="32"/>
          <w:szCs w:val="32"/>
          <w:lang w:val="en-US" w:eastAsia="zh-CN" w:bidi="ar-SA"/>
        </w:rPr>
        <w:t>）</w:t>
      </w:r>
      <w:r>
        <w:rPr>
          <w:rStyle w:val="20"/>
          <w:rFonts w:ascii="Times New Roman" w:hAnsi="Times New Roman" w:eastAsia="仿宋" w:cs="Times New Roman"/>
          <w:bCs/>
          <w:kern w:val="2"/>
          <w:sz w:val="32"/>
          <w:szCs w:val="32"/>
          <w:lang w:val="en-US" w:eastAsia="zh-CN" w:bidi="ar-SA"/>
        </w:rPr>
        <w:t>社会保障和就业（类）</w:t>
      </w:r>
      <w:r>
        <w:rPr>
          <w:rStyle w:val="20"/>
          <w:rFonts w:hint="eastAsia" w:ascii="Times New Roman" w:hAnsi="Times New Roman" w:eastAsia="仿宋" w:cs="Times New Roman"/>
          <w:bCs/>
          <w:kern w:val="2"/>
          <w:sz w:val="32"/>
          <w:szCs w:val="32"/>
          <w:lang w:val="en-US" w:eastAsia="zh-CN" w:bidi="ar-SA"/>
        </w:rPr>
        <w:t>特困人员救助供养人员救助供养</w:t>
      </w:r>
      <w:r>
        <w:rPr>
          <w:rStyle w:val="20"/>
          <w:rFonts w:ascii="Times New Roman" w:hAnsi="Times New Roman" w:eastAsia="仿宋" w:cs="Times New Roman"/>
          <w:bCs/>
          <w:kern w:val="2"/>
          <w:sz w:val="32"/>
          <w:szCs w:val="32"/>
          <w:lang w:val="en-US" w:eastAsia="zh-CN" w:bidi="ar-SA"/>
        </w:rPr>
        <w:t>（款）</w:t>
      </w:r>
      <w:r>
        <w:rPr>
          <w:rStyle w:val="20"/>
          <w:rFonts w:hint="eastAsia" w:ascii="Times New Roman" w:hAnsi="Times New Roman" w:eastAsia="仿宋" w:cs="Times New Roman"/>
          <w:bCs/>
          <w:kern w:val="2"/>
          <w:sz w:val="32"/>
          <w:szCs w:val="32"/>
          <w:lang w:val="en-US" w:eastAsia="zh-CN" w:bidi="ar-SA"/>
        </w:rPr>
        <w:t>特困人员救助供养人员救助供养</w:t>
      </w:r>
      <w:r>
        <w:rPr>
          <w:rStyle w:val="20"/>
          <w:rFonts w:ascii="Times New Roman" w:hAnsi="Times New Roman" w:eastAsia="仿宋" w:cs="Times New Roman"/>
          <w:bCs/>
          <w:kern w:val="2"/>
          <w:sz w:val="32"/>
          <w:szCs w:val="32"/>
          <w:lang w:val="en-US" w:eastAsia="zh-CN" w:bidi="ar-SA"/>
        </w:rPr>
        <w:t>（项）</w:t>
      </w:r>
      <w:r>
        <w:rPr>
          <w:rFonts w:hint="eastAsia" w:ascii="Times New Roman" w:hAnsi="Times New Roman" w:eastAsia="方正仿宋简体" w:cs="Times New Roman"/>
          <w:kern w:val="2"/>
          <w:sz w:val="32"/>
          <w:szCs w:val="32"/>
          <w:lang w:val="en-US" w:eastAsia="zh-CN" w:bidi="ar-SA"/>
        </w:rPr>
        <w:t>支出决算为</w:t>
      </w:r>
      <w:r>
        <w:rPr>
          <w:rFonts w:hint="eastAsia" w:eastAsia="方正仿宋简体" w:cs="Times New Roman"/>
          <w:kern w:val="2"/>
          <w:sz w:val="32"/>
          <w:szCs w:val="32"/>
          <w:lang w:val="en-US" w:eastAsia="zh-CN" w:bidi="ar-SA"/>
        </w:rPr>
        <w:t>58.25</w:t>
      </w:r>
      <w:r>
        <w:rPr>
          <w:rFonts w:hint="eastAsia" w:ascii="Times New Roman" w:hAnsi="Times New Roman" w:eastAsia="方正仿宋简体" w:cs="Times New Roman"/>
          <w:kern w:val="2"/>
          <w:sz w:val="32"/>
          <w:szCs w:val="32"/>
          <w:lang w:val="en-US" w:eastAsia="zh-CN" w:bidi="ar-SA"/>
        </w:rPr>
        <w:t>万元，完成预算100%。</w:t>
      </w:r>
    </w:p>
    <w:p w14:paraId="31DB75CF">
      <w:pPr>
        <w:pageBreakBefore w:val="0"/>
        <w:widowControl w:val="0"/>
        <w:suppressAutoHyphens/>
        <w:kinsoku/>
        <w:wordWrap/>
        <w:overflowPunct/>
        <w:topLinePunct w:val="0"/>
        <w:bidi w:val="0"/>
        <w:spacing w:line="600" w:lineRule="exact"/>
        <w:ind w:firstLine="643" w:firstLineChars="200"/>
        <w:jc w:val="left"/>
        <w:rPr>
          <w:rFonts w:hint="eastAsia" w:ascii="Times New Roman" w:hAnsi="Times New Roman" w:eastAsia="方正仿宋简体" w:cs="Times New Roman"/>
          <w:kern w:val="2"/>
          <w:sz w:val="32"/>
          <w:szCs w:val="32"/>
          <w:lang w:val="en-US" w:eastAsia="zh-CN" w:bidi="ar-SA"/>
        </w:rPr>
      </w:pPr>
      <w:r>
        <w:rPr>
          <w:rFonts w:ascii="Times New Roman" w:hAnsi="Times New Roman" w:eastAsia="仿宋"/>
          <w:b/>
          <w:bCs/>
          <w:sz w:val="32"/>
          <w:szCs w:val="32"/>
        </w:rPr>
        <w:t>3.卫生健康</w:t>
      </w:r>
      <w:r>
        <w:rPr>
          <w:rStyle w:val="20"/>
          <w:rFonts w:ascii="Times New Roman" w:hAnsi="Times New Roman" w:eastAsia="仿宋"/>
          <w:bCs/>
          <w:sz w:val="32"/>
          <w:szCs w:val="32"/>
        </w:rPr>
        <w:t>（类）</w:t>
      </w:r>
      <w:r>
        <w:rPr>
          <w:rFonts w:hint="eastAsia" w:ascii="Times New Roman" w:hAnsi="Times New Roman" w:eastAsia="方正仿宋简体" w:cs="Times New Roman"/>
          <w:kern w:val="2"/>
          <w:sz w:val="32"/>
          <w:szCs w:val="32"/>
          <w:lang w:val="en-US" w:eastAsia="zh-CN" w:bidi="ar-SA"/>
        </w:rPr>
        <w:t>决算为139.67万元，完成预算100%。</w:t>
      </w:r>
    </w:p>
    <w:p w14:paraId="51EB8C19">
      <w:pPr>
        <w:pageBreakBefore w:val="0"/>
        <w:widowControl w:val="0"/>
        <w:suppressAutoHyphens/>
        <w:kinsoku/>
        <w:wordWrap/>
        <w:overflowPunct/>
        <w:topLinePunct w:val="0"/>
        <w:bidi w:val="0"/>
        <w:spacing w:line="600" w:lineRule="exact"/>
        <w:ind w:firstLine="643" w:firstLineChars="200"/>
        <w:jc w:val="left"/>
        <w:rPr>
          <w:rFonts w:hint="eastAsia" w:ascii="Times New Roman" w:hAnsi="Times New Roman" w:eastAsia="方正仿宋简体" w:cs="Times New Roman"/>
          <w:kern w:val="2"/>
          <w:sz w:val="32"/>
          <w:szCs w:val="32"/>
          <w:lang w:val="en-US" w:eastAsia="zh-CN" w:bidi="ar-SA"/>
        </w:rPr>
      </w:pPr>
      <w:r>
        <w:rPr>
          <w:rFonts w:ascii="Times New Roman" w:hAnsi="Times New Roman" w:eastAsia="仿宋"/>
          <w:b/>
          <w:bCs/>
          <w:sz w:val="32"/>
          <w:szCs w:val="32"/>
        </w:rPr>
        <w:t>（1）卫生健康</w:t>
      </w:r>
      <w:r>
        <w:rPr>
          <w:rStyle w:val="20"/>
          <w:rFonts w:ascii="Times New Roman" w:hAnsi="Times New Roman" w:eastAsia="仿宋"/>
          <w:bCs/>
          <w:sz w:val="32"/>
          <w:szCs w:val="32"/>
        </w:rPr>
        <w:t>（类）行政事业单位医疗（款）行政单位医疗（项）</w:t>
      </w:r>
      <w:r>
        <w:rPr>
          <w:rFonts w:hint="eastAsia" w:ascii="Times New Roman" w:hAnsi="Times New Roman" w:eastAsia="方正仿宋简体" w:cs="Times New Roman"/>
          <w:kern w:val="2"/>
          <w:sz w:val="32"/>
          <w:szCs w:val="32"/>
          <w:lang w:val="en-US" w:eastAsia="zh-CN" w:bidi="ar-SA"/>
        </w:rPr>
        <w:t>支出决算为26.2万元，完成预算100%。</w:t>
      </w:r>
    </w:p>
    <w:p w14:paraId="11A78E76">
      <w:pPr>
        <w:pageBreakBefore w:val="0"/>
        <w:widowControl w:val="0"/>
        <w:suppressAutoHyphens/>
        <w:kinsoku/>
        <w:wordWrap/>
        <w:overflowPunct/>
        <w:topLinePunct w:val="0"/>
        <w:bidi w:val="0"/>
        <w:snapToGrid w:val="0"/>
        <w:spacing w:line="600" w:lineRule="exact"/>
        <w:ind w:firstLine="643" w:firstLineChars="200"/>
        <w:jc w:val="left"/>
        <w:rPr>
          <w:rStyle w:val="20"/>
          <w:rFonts w:ascii="Times New Roman" w:hAnsi="Times New Roman" w:eastAsia="仿宋" w:cs="Times New Roman"/>
          <w:b w:val="0"/>
          <w:bCs/>
          <w:kern w:val="2"/>
          <w:sz w:val="32"/>
          <w:szCs w:val="32"/>
          <w:lang w:val="en-US" w:eastAsia="zh-CN" w:bidi="ar-SA"/>
        </w:rPr>
      </w:pPr>
      <w:r>
        <w:rPr>
          <w:rFonts w:ascii="Times New Roman" w:hAnsi="Times New Roman" w:eastAsia="仿宋" w:cs="Times New Roman"/>
          <w:b/>
          <w:bCs/>
          <w:kern w:val="2"/>
          <w:sz w:val="32"/>
          <w:szCs w:val="32"/>
          <w:lang w:val="en-US" w:eastAsia="zh-CN" w:bidi="ar-SA"/>
        </w:rPr>
        <w:t>（2）卫生健康</w:t>
      </w:r>
      <w:r>
        <w:rPr>
          <w:rStyle w:val="20"/>
          <w:rFonts w:ascii="Times New Roman" w:hAnsi="Times New Roman" w:eastAsia="仿宋" w:cs="Times New Roman"/>
          <w:bCs/>
          <w:kern w:val="2"/>
          <w:sz w:val="32"/>
          <w:szCs w:val="32"/>
          <w:lang w:val="en-US" w:eastAsia="zh-CN" w:bidi="ar-SA"/>
        </w:rPr>
        <w:t>（类）行政事业单位医疗（款）事业单位医疗（项）</w:t>
      </w:r>
      <w:r>
        <w:rPr>
          <w:rFonts w:hint="eastAsia" w:ascii="Times New Roman" w:hAnsi="Times New Roman" w:eastAsia="方正仿宋简体" w:cs="Times New Roman"/>
          <w:kern w:val="2"/>
          <w:sz w:val="32"/>
          <w:szCs w:val="32"/>
          <w:lang w:val="en-US" w:eastAsia="zh-CN" w:bidi="ar-SA"/>
        </w:rPr>
        <w:t>支出决算为92.86万元，完成预算100%。</w:t>
      </w:r>
    </w:p>
    <w:p w14:paraId="0DBAAF7B">
      <w:pPr>
        <w:pageBreakBefore w:val="0"/>
        <w:widowControl w:val="0"/>
        <w:suppressAutoHyphens/>
        <w:kinsoku/>
        <w:wordWrap/>
        <w:overflowPunct/>
        <w:topLinePunct w:val="0"/>
        <w:bidi w:val="0"/>
        <w:spacing w:after="120" w:line="600" w:lineRule="exact"/>
        <w:ind w:left="0" w:leftChars="0" w:firstLine="643" w:firstLineChars="200"/>
        <w:jc w:val="left"/>
        <w:rPr>
          <w:rFonts w:hint="eastAsia" w:ascii="Times New Roman" w:hAnsi="Times New Roman" w:eastAsia="方正仿宋简体" w:cs="Times New Roman"/>
          <w:kern w:val="2"/>
          <w:sz w:val="32"/>
          <w:szCs w:val="32"/>
          <w:lang w:val="en-US" w:eastAsia="zh-CN" w:bidi="ar-SA"/>
        </w:rPr>
      </w:pPr>
      <w:r>
        <w:rPr>
          <w:rFonts w:ascii="Times New Roman" w:hAnsi="Times New Roman" w:eastAsia="仿宋" w:cs="Times New Roman"/>
          <w:b/>
          <w:bCs/>
          <w:kern w:val="2"/>
          <w:sz w:val="32"/>
          <w:szCs w:val="32"/>
          <w:lang w:val="en-US" w:eastAsia="zh-CN" w:bidi="ar-SA"/>
        </w:rPr>
        <w:t>（3）卫生健康</w:t>
      </w:r>
      <w:r>
        <w:rPr>
          <w:rStyle w:val="20"/>
          <w:rFonts w:ascii="Times New Roman" w:hAnsi="Times New Roman" w:eastAsia="仿宋" w:cs="Times New Roman"/>
          <w:bCs/>
          <w:kern w:val="2"/>
          <w:sz w:val="32"/>
          <w:szCs w:val="24"/>
          <w:lang w:val="en-US" w:eastAsia="zh-CN" w:bidi="ar-SA"/>
        </w:rPr>
        <w:t>（类）行政事业单位医疗（款）公务员医疗补助（项）</w:t>
      </w:r>
      <w:r>
        <w:rPr>
          <w:rFonts w:hint="eastAsia" w:ascii="Times New Roman" w:hAnsi="Times New Roman" w:eastAsia="方正仿宋简体" w:cs="Times New Roman"/>
          <w:kern w:val="2"/>
          <w:sz w:val="32"/>
          <w:szCs w:val="32"/>
          <w:lang w:val="en-US" w:eastAsia="zh-CN" w:bidi="ar-SA"/>
        </w:rPr>
        <w:t>支出决算为14.31万元，完成预算100%。</w:t>
      </w:r>
    </w:p>
    <w:p w14:paraId="3D1194A9">
      <w:pPr>
        <w:pageBreakBefore w:val="0"/>
        <w:widowControl w:val="0"/>
        <w:suppressAutoHyphens/>
        <w:kinsoku/>
        <w:wordWrap/>
        <w:overflowPunct/>
        <w:topLinePunct w:val="0"/>
        <w:bidi w:val="0"/>
        <w:spacing w:after="120" w:line="600" w:lineRule="exact"/>
        <w:ind w:left="0" w:leftChars="0" w:firstLine="643" w:firstLineChars="200"/>
        <w:jc w:val="left"/>
        <w:rPr>
          <w:rFonts w:hint="eastAsia" w:ascii="Times New Roman" w:hAnsi="Times New Roman" w:eastAsia="方正仿宋简体" w:cs="Times New Roman"/>
          <w:kern w:val="2"/>
          <w:sz w:val="32"/>
          <w:szCs w:val="32"/>
          <w:lang w:val="en-US" w:eastAsia="zh-CN" w:bidi="ar-SA"/>
        </w:rPr>
      </w:pPr>
      <w:r>
        <w:rPr>
          <w:rFonts w:ascii="Times New Roman" w:hAnsi="Times New Roman" w:eastAsia="仿宋" w:cs="Times New Roman"/>
          <w:b/>
          <w:bCs/>
          <w:kern w:val="2"/>
          <w:sz w:val="32"/>
          <w:szCs w:val="32"/>
          <w:lang w:val="en-US" w:eastAsia="zh-CN" w:bidi="ar-SA"/>
        </w:rPr>
        <w:t>（4）卫生健康</w:t>
      </w:r>
      <w:r>
        <w:rPr>
          <w:rStyle w:val="20"/>
          <w:rFonts w:ascii="Times New Roman" w:hAnsi="Times New Roman" w:eastAsia="仿宋" w:cs="Times New Roman"/>
          <w:bCs/>
          <w:kern w:val="2"/>
          <w:sz w:val="32"/>
          <w:szCs w:val="24"/>
          <w:lang w:val="en-US" w:eastAsia="zh-CN" w:bidi="ar-SA"/>
        </w:rPr>
        <w:t>（类）行政事业单位医疗（款）其他行政事业单位医疗支出（项）</w:t>
      </w:r>
      <w:r>
        <w:rPr>
          <w:rFonts w:hint="eastAsia" w:ascii="Times New Roman" w:hAnsi="Times New Roman" w:eastAsia="方正仿宋简体" w:cs="Times New Roman"/>
          <w:kern w:val="2"/>
          <w:sz w:val="32"/>
          <w:szCs w:val="32"/>
          <w:lang w:val="en-US" w:eastAsia="zh-CN" w:bidi="ar-SA"/>
        </w:rPr>
        <w:t>支出决算为6.3万元，完成预算100%。</w:t>
      </w:r>
    </w:p>
    <w:p w14:paraId="46CBFBBB">
      <w:pPr>
        <w:pageBreakBefore w:val="0"/>
        <w:suppressAutoHyphens/>
        <w:kinsoku/>
        <w:wordWrap/>
        <w:overflowPunct/>
        <w:topLinePunct w:val="0"/>
        <w:bidi w:val="0"/>
        <w:ind w:firstLine="643" w:firstLineChars="200"/>
        <w:jc w:val="left"/>
        <w:rPr>
          <w:rFonts w:eastAsia="仿宋_GB2312" w:cs="仿宋_GB2312"/>
          <w:sz w:val="32"/>
          <w:szCs w:val="32"/>
        </w:rPr>
      </w:pPr>
      <w:r>
        <w:rPr>
          <w:rFonts w:hint="eastAsia" w:ascii="Times New Roman" w:hAnsi="Times New Roman" w:eastAsia="仿宋"/>
          <w:b/>
          <w:bCs/>
          <w:sz w:val="32"/>
          <w:szCs w:val="32"/>
          <w:lang w:val="en-US" w:eastAsia="zh-CN"/>
        </w:rPr>
        <w:t>4</w:t>
      </w:r>
      <w:r>
        <w:rPr>
          <w:rFonts w:ascii="Times New Roman" w:hAnsi="Times New Roman" w:eastAsia="仿宋"/>
          <w:b/>
          <w:bCs/>
          <w:sz w:val="32"/>
          <w:szCs w:val="32"/>
        </w:rPr>
        <w:t>.住房保障（类）住房改革支出（款）住房公积金（项）</w:t>
      </w:r>
      <w:r>
        <w:rPr>
          <w:rFonts w:hint="eastAsia" w:ascii="Times New Roman" w:hAnsi="Times New Roman" w:eastAsia="方正仿宋简体" w:cs="Times New Roman"/>
          <w:kern w:val="2"/>
          <w:sz w:val="32"/>
          <w:szCs w:val="32"/>
          <w:lang w:val="en-US" w:eastAsia="zh-CN" w:bidi="ar-SA"/>
        </w:rPr>
        <w:t>支出决算为182.77万元，完成预算100%。</w:t>
      </w:r>
    </w:p>
    <w:p w14:paraId="10D2742B">
      <w:pPr>
        <w:tabs>
          <w:tab w:val="right" w:pos="8306"/>
        </w:tabs>
        <w:spacing w:line="600" w:lineRule="exact"/>
        <w:ind w:firstLine="640"/>
        <w:outlineLvl w:val="1"/>
        <w:rPr>
          <w:rStyle w:val="32"/>
          <w:rFonts w:ascii="Times New Roman" w:hAnsi="Times New Roman"/>
        </w:rPr>
      </w:pPr>
      <w:bookmarkStart w:id="38" w:name="_Toc15396608"/>
      <w:bookmarkStart w:id="39" w:name="_Toc15377214"/>
      <w:r>
        <w:rPr>
          <w:rFonts w:hint="eastAsia" w:ascii="方正黑体_GBK" w:hAnsi="方正黑体_GBK" w:eastAsia="方正黑体_GBK" w:cs="方正黑体_GBK"/>
          <w:b w:val="0"/>
          <w:bCs/>
          <w:kern w:val="44"/>
          <w:sz w:val="32"/>
          <w:szCs w:val="32"/>
          <w:lang w:val="en-US" w:eastAsia="zh-CN" w:bidi="ar-SA"/>
        </w:rPr>
        <w:t>六、一般公共预算财政拨款基本支出决算情况说明</w:t>
      </w:r>
      <w:bookmarkEnd w:id="38"/>
      <w:bookmarkEnd w:id="39"/>
      <w:r>
        <w:rPr>
          <w:rStyle w:val="32"/>
          <w:rFonts w:ascii="Times New Roman" w:hAnsi="Times New Roman" w:eastAsia="黑体"/>
          <w:b w:val="0"/>
        </w:rPr>
        <w:tab/>
      </w:r>
    </w:p>
    <w:p w14:paraId="013C5640">
      <w:pPr>
        <w:spacing w:line="600" w:lineRule="exact"/>
        <w:ind w:firstLine="640"/>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2025年度一般公共预算财政拨款基本支出2789.42万元，其中：</w:t>
      </w:r>
    </w:p>
    <w:p w14:paraId="66E1A97D">
      <w:pPr>
        <w:pageBreakBefore w:val="0"/>
        <w:kinsoku/>
        <w:wordWrap/>
        <w:overflowPunct/>
        <w:topLinePunct w:val="0"/>
        <w:bidi w:val="0"/>
        <w:spacing w:line="600" w:lineRule="exact"/>
        <w:ind w:firstLine="640"/>
        <w:jc w:val="left"/>
        <w:rPr>
          <w:rFonts w:eastAsia="仿宋_GB2312" w:cs="仿宋_GB2312"/>
          <w:sz w:val="32"/>
          <w:szCs w:val="32"/>
        </w:rPr>
      </w:pPr>
      <w:r>
        <w:rPr>
          <w:rFonts w:hint="eastAsia" w:ascii="Times New Roman" w:hAnsi="Times New Roman" w:eastAsia="方正仿宋简体" w:cs="Times New Roman"/>
          <w:kern w:val="2"/>
          <w:sz w:val="32"/>
          <w:szCs w:val="32"/>
          <w:lang w:val="en-US" w:eastAsia="zh-CN" w:bidi="ar-SA"/>
        </w:rPr>
        <w:t>人员经费2584.89万元，主要包括：基本工资、津贴补贴、奖金、绩效工资、机关事业单位基本养老保险缴费、职业年金缴费、其他社会保障缴费、其他工资福利支出、退休费、抚恤金、生活补助、医疗费补助、奖励金、住房公积金、其他对个人和家庭的补助支出等。</w:t>
      </w:r>
      <w:r>
        <w:rPr>
          <w:rFonts w:hint="eastAsia" w:ascii="Times New Roman" w:hAnsi="Times New Roman" w:eastAsia="方正仿宋简体" w:cs="Times New Roman"/>
          <w:kern w:val="2"/>
          <w:sz w:val="32"/>
          <w:szCs w:val="32"/>
          <w:lang w:val="en-US" w:eastAsia="zh-CN" w:bidi="ar-SA"/>
        </w:rPr>
        <w:br w:type="textWrapping"/>
      </w:r>
      <w:r>
        <w:rPr>
          <w:rFonts w:hint="eastAsia" w:ascii="Times New Roman" w:hAnsi="Times New Roman" w:eastAsia="方正仿宋简体" w:cs="Times New Roman"/>
          <w:kern w:val="2"/>
          <w:sz w:val="32"/>
          <w:szCs w:val="32"/>
          <w:lang w:val="en-US" w:eastAsia="zh-CN" w:bidi="ar-SA"/>
        </w:rPr>
        <w:t>　　公用经费204.53万元，主要包括：办公费、水费、电费、邮电费、物业管理费、差旅费、维修（护）费、租赁费、公务接待费、委托业务费、工会经费、福利费、公务用车运行维护费、其他交通费、其他商品和服务支出等。</w:t>
      </w:r>
    </w:p>
    <w:p w14:paraId="7DE89D6F">
      <w:pPr>
        <w:tabs>
          <w:tab w:val="right" w:pos="8306"/>
        </w:tabs>
        <w:spacing w:line="600" w:lineRule="exact"/>
        <w:ind w:firstLine="640"/>
        <w:outlineLvl w:val="1"/>
        <w:rPr>
          <w:rFonts w:hint="eastAsia" w:ascii="方正黑体_GBK" w:hAnsi="方正黑体_GBK" w:eastAsia="方正黑体_GBK" w:cs="方正黑体_GBK"/>
          <w:b w:val="0"/>
          <w:bCs/>
          <w:kern w:val="44"/>
          <w:sz w:val="32"/>
          <w:szCs w:val="32"/>
          <w:lang w:val="en-US" w:eastAsia="zh-CN" w:bidi="ar-SA"/>
        </w:rPr>
      </w:pPr>
      <w:bookmarkStart w:id="40" w:name="_Toc15377215"/>
      <w:bookmarkStart w:id="41" w:name="_Toc15396609"/>
      <w:r>
        <w:rPr>
          <w:rFonts w:hint="eastAsia" w:ascii="方正黑体_GBK" w:hAnsi="方正黑体_GBK" w:eastAsia="方正黑体_GBK" w:cs="方正黑体_GBK"/>
          <w:b w:val="0"/>
          <w:bCs/>
          <w:kern w:val="44"/>
          <w:sz w:val="32"/>
          <w:szCs w:val="32"/>
          <w:lang w:val="en-US" w:eastAsia="zh-CN" w:bidi="ar-SA"/>
        </w:rPr>
        <w:t>七、财政拨款“三公”经费支出决算情况说明</w:t>
      </w:r>
      <w:bookmarkEnd w:id="40"/>
      <w:bookmarkEnd w:id="41"/>
    </w:p>
    <w:p w14:paraId="1599AD4E">
      <w:pPr>
        <w:pageBreakBefore w:val="0"/>
        <w:widowControl w:val="0"/>
        <w:kinsoku/>
        <w:wordWrap/>
        <w:overflowPunct/>
        <w:topLinePunct w:val="0"/>
        <w:autoSpaceDE/>
        <w:autoSpaceDN/>
        <w:bidi w:val="0"/>
        <w:snapToGrid w:val="0"/>
        <w:spacing w:line="560" w:lineRule="exact"/>
        <w:ind w:firstLine="643" w:firstLineChars="200"/>
        <w:jc w:val="left"/>
        <w:rPr>
          <w:rFonts w:hint="eastAsia" w:ascii="Times New Roman" w:hAnsi="Times New Roman" w:eastAsia="方正楷体_GBK" w:cs="Times New Roman"/>
          <w:b/>
          <w:bCs/>
          <w:color w:val="000000"/>
          <w:kern w:val="0"/>
          <w:sz w:val="32"/>
          <w:szCs w:val="32"/>
          <w:shd w:val="clear" w:color="auto" w:fill="FFFFFF"/>
          <w:lang w:val="zh-CN" w:eastAsia="zh-CN" w:bidi="ar-SA"/>
        </w:rPr>
      </w:pPr>
      <w:bookmarkStart w:id="42" w:name="_Toc15377216"/>
      <w:r>
        <w:rPr>
          <w:rFonts w:hint="eastAsia" w:ascii="Times New Roman" w:hAnsi="Times New Roman" w:eastAsia="方正楷体_GBK" w:cs="Times New Roman"/>
          <w:b/>
          <w:bCs/>
          <w:color w:val="000000"/>
          <w:kern w:val="0"/>
          <w:sz w:val="32"/>
          <w:szCs w:val="32"/>
          <w:shd w:val="clear" w:color="auto" w:fill="FFFFFF"/>
          <w:lang w:val="zh-CN" w:eastAsia="zh-CN" w:bidi="ar-SA"/>
        </w:rPr>
        <w:t>（一）财政拨款“三公”经费支出决算总体情况说明</w:t>
      </w:r>
      <w:bookmarkEnd w:id="42"/>
    </w:p>
    <w:p w14:paraId="15C10819">
      <w:pPr>
        <w:spacing w:line="600" w:lineRule="exact"/>
        <w:ind w:firstLine="640"/>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2025年度财政拨款“三公”经费支出决算为21.4万元，完成预算100%，较上年度减少0.76万元，下降3.4%。主要原因是压减预算</w:t>
      </w:r>
      <w:r>
        <w:rPr>
          <w:rFonts w:hint="eastAsia" w:eastAsia="方正仿宋简体" w:cs="Times New Roman"/>
          <w:kern w:val="2"/>
          <w:sz w:val="32"/>
          <w:szCs w:val="32"/>
          <w:lang w:val="en-US" w:eastAsia="zh-CN" w:bidi="ar-SA"/>
        </w:rPr>
        <w:t>开</w:t>
      </w:r>
      <w:r>
        <w:rPr>
          <w:rFonts w:hint="eastAsia" w:ascii="Times New Roman" w:hAnsi="Times New Roman" w:eastAsia="方正仿宋简体" w:cs="Times New Roman"/>
          <w:kern w:val="2"/>
          <w:sz w:val="32"/>
          <w:szCs w:val="32"/>
          <w:lang w:val="en-US" w:eastAsia="zh-CN" w:bidi="ar-SA"/>
        </w:rPr>
        <w:t>支</w:t>
      </w:r>
      <w:r>
        <w:rPr>
          <w:rFonts w:hint="eastAsia" w:eastAsia="方正仿宋简体" w:cs="Times New Roman"/>
          <w:kern w:val="2"/>
          <w:sz w:val="32"/>
          <w:szCs w:val="32"/>
          <w:lang w:val="en-US" w:eastAsia="zh-CN" w:bidi="ar-SA"/>
        </w:rPr>
        <w:t>，公务接待减少</w:t>
      </w:r>
      <w:r>
        <w:rPr>
          <w:rFonts w:hint="eastAsia" w:ascii="Times New Roman" w:hAnsi="Times New Roman" w:eastAsia="方正仿宋简体" w:cs="Times New Roman"/>
          <w:kern w:val="2"/>
          <w:sz w:val="32"/>
          <w:szCs w:val="32"/>
          <w:lang w:val="en-US" w:eastAsia="zh-CN" w:bidi="ar-SA"/>
        </w:rPr>
        <w:t>。</w:t>
      </w:r>
    </w:p>
    <w:p w14:paraId="39F9E0B9">
      <w:pPr>
        <w:pageBreakBefore w:val="0"/>
        <w:widowControl w:val="0"/>
        <w:kinsoku/>
        <w:wordWrap/>
        <w:overflowPunct/>
        <w:topLinePunct w:val="0"/>
        <w:autoSpaceDE/>
        <w:autoSpaceDN/>
        <w:bidi w:val="0"/>
        <w:snapToGrid w:val="0"/>
        <w:spacing w:line="560" w:lineRule="exact"/>
        <w:ind w:firstLine="643" w:firstLineChars="200"/>
        <w:jc w:val="left"/>
        <w:rPr>
          <w:rFonts w:hint="eastAsia" w:ascii="Times New Roman" w:hAnsi="Times New Roman" w:eastAsia="方正楷体_GBK" w:cs="Times New Roman"/>
          <w:b/>
          <w:bCs/>
          <w:color w:val="000000"/>
          <w:kern w:val="0"/>
          <w:sz w:val="32"/>
          <w:szCs w:val="32"/>
          <w:shd w:val="clear" w:color="auto" w:fill="FFFFFF"/>
          <w:lang w:val="zh-CN" w:eastAsia="zh-CN" w:bidi="ar-SA"/>
        </w:rPr>
      </w:pPr>
      <w:bookmarkStart w:id="43" w:name="_Toc15377217"/>
      <w:r>
        <w:rPr>
          <w:rFonts w:hint="eastAsia" w:ascii="Times New Roman" w:hAnsi="Times New Roman" w:eastAsia="方正楷体_GBK" w:cs="Times New Roman"/>
          <w:b/>
          <w:bCs/>
          <w:color w:val="000000"/>
          <w:kern w:val="0"/>
          <w:sz w:val="32"/>
          <w:szCs w:val="32"/>
          <w:shd w:val="clear" w:color="auto" w:fill="FFFFFF"/>
          <w:lang w:val="zh-CN" w:eastAsia="zh-CN" w:bidi="ar-SA"/>
        </w:rPr>
        <w:t>（二）财政拨款“三公”经费支出决算具体情况说明</w:t>
      </w:r>
      <w:bookmarkEnd w:id="43"/>
    </w:p>
    <w:p w14:paraId="00547902">
      <w:pPr>
        <w:spacing w:line="600" w:lineRule="exact"/>
        <w:ind w:firstLine="640"/>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2025年度财政拨款“三公”经费支出决算中，因公出国（境）费支出决算</w:t>
      </w:r>
      <w:r>
        <w:rPr>
          <w:rFonts w:hint="eastAsia" w:eastAsia="方正仿宋简体" w:cs="Times New Roman"/>
          <w:kern w:val="2"/>
          <w:sz w:val="32"/>
          <w:szCs w:val="32"/>
          <w:lang w:val="en-US" w:eastAsia="zh-CN" w:bidi="ar-SA"/>
        </w:rPr>
        <w:t>0</w:t>
      </w:r>
      <w:r>
        <w:rPr>
          <w:rFonts w:hint="eastAsia" w:ascii="Times New Roman" w:hAnsi="Times New Roman" w:eastAsia="方正仿宋简体" w:cs="Times New Roman"/>
          <w:kern w:val="2"/>
          <w:sz w:val="32"/>
          <w:szCs w:val="32"/>
          <w:lang w:val="en-US" w:eastAsia="zh-CN" w:bidi="ar-SA"/>
        </w:rPr>
        <w:t>万元；公务用车购置及运行维护费支出决算</w:t>
      </w:r>
      <w:r>
        <w:rPr>
          <w:rFonts w:hint="eastAsia" w:eastAsia="方正仿宋简体" w:cs="Times New Roman"/>
          <w:kern w:val="2"/>
          <w:sz w:val="32"/>
          <w:szCs w:val="32"/>
          <w:lang w:val="en-US" w:eastAsia="zh-CN" w:bidi="ar-SA"/>
        </w:rPr>
        <w:t>20.44</w:t>
      </w:r>
      <w:r>
        <w:rPr>
          <w:rFonts w:hint="eastAsia" w:ascii="Times New Roman" w:hAnsi="Times New Roman" w:eastAsia="方正仿宋简体" w:cs="Times New Roman"/>
          <w:kern w:val="2"/>
          <w:sz w:val="32"/>
          <w:szCs w:val="32"/>
          <w:lang w:val="en-US" w:eastAsia="zh-CN" w:bidi="ar-SA"/>
        </w:rPr>
        <w:t>万元，占</w:t>
      </w:r>
      <w:r>
        <w:rPr>
          <w:rFonts w:hint="eastAsia" w:eastAsia="方正仿宋简体" w:cs="Times New Roman"/>
          <w:kern w:val="2"/>
          <w:sz w:val="32"/>
          <w:szCs w:val="32"/>
          <w:lang w:val="en-US" w:eastAsia="zh-CN" w:bidi="ar-SA"/>
        </w:rPr>
        <w:t>95.5</w:t>
      </w:r>
      <w:r>
        <w:rPr>
          <w:rFonts w:hint="eastAsia" w:ascii="Times New Roman" w:hAnsi="Times New Roman" w:eastAsia="方正仿宋简体" w:cs="Times New Roman"/>
          <w:kern w:val="2"/>
          <w:sz w:val="32"/>
          <w:szCs w:val="32"/>
          <w:lang w:val="en-US" w:eastAsia="zh-CN" w:bidi="ar-SA"/>
        </w:rPr>
        <w:t>%；公务接待费支出决算</w:t>
      </w:r>
      <w:r>
        <w:rPr>
          <w:rFonts w:hint="eastAsia" w:eastAsia="方正仿宋简体" w:cs="Times New Roman"/>
          <w:kern w:val="2"/>
          <w:sz w:val="32"/>
          <w:szCs w:val="32"/>
          <w:lang w:val="en-US" w:eastAsia="zh-CN" w:bidi="ar-SA"/>
        </w:rPr>
        <w:t>0.96</w:t>
      </w:r>
      <w:r>
        <w:rPr>
          <w:rFonts w:hint="eastAsia" w:ascii="Times New Roman" w:hAnsi="Times New Roman" w:eastAsia="方正仿宋简体" w:cs="Times New Roman"/>
          <w:kern w:val="2"/>
          <w:sz w:val="32"/>
          <w:szCs w:val="32"/>
          <w:lang w:val="en-US" w:eastAsia="zh-CN" w:bidi="ar-SA"/>
        </w:rPr>
        <w:t>万元，占</w:t>
      </w:r>
      <w:r>
        <w:rPr>
          <w:rFonts w:hint="eastAsia" w:eastAsia="方正仿宋简体" w:cs="Times New Roman"/>
          <w:kern w:val="2"/>
          <w:sz w:val="32"/>
          <w:szCs w:val="32"/>
          <w:lang w:val="en-US" w:eastAsia="zh-CN" w:bidi="ar-SA"/>
        </w:rPr>
        <w:t>4.5</w:t>
      </w:r>
      <w:r>
        <w:rPr>
          <w:rFonts w:hint="eastAsia" w:ascii="Times New Roman" w:hAnsi="Times New Roman" w:eastAsia="方正仿宋简体" w:cs="Times New Roman"/>
          <w:kern w:val="2"/>
          <w:sz w:val="32"/>
          <w:szCs w:val="32"/>
          <w:lang w:val="en-US" w:eastAsia="zh-CN" w:bidi="ar-SA"/>
        </w:rPr>
        <w:t>%。具体情况如下：</w:t>
      </w:r>
    </w:p>
    <w:p w14:paraId="1DD390A1">
      <w:pPr>
        <w:pStyle w:val="5"/>
        <w:rPr>
          <w:rFonts w:hint="eastAsia" w:ascii="Times New Roman" w:hAnsi="Times New Roman" w:eastAsia="方正仿宋简体" w:cs="Times New Roman"/>
          <w:kern w:val="2"/>
          <w:sz w:val="32"/>
          <w:szCs w:val="32"/>
          <w:lang w:val="en-US" w:eastAsia="zh-CN" w:bidi="ar-SA"/>
        </w:rPr>
      </w:pPr>
      <w:r>
        <w:drawing>
          <wp:inline distT="0" distB="0" distL="114300" distR="114300">
            <wp:extent cx="5272405" cy="2703830"/>
            <wp:effectExtent l="4445" t="4445" r="19050" b="15875"/>
            <wp:docPr id="4" name="图表 5" descr="7b0a202020202263686172745265734964223a202232303437323230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13485A8">
      <w:pPr>
        <w:spacing w:line="600" w:lineRule="exact"/>
        <w:ind w:firstLine="640"/>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（图7：财政拨款“三公”经费支出结构）</w:t>
      </w:r>
    </w:p>
    <w:p w14:paraId="265715AD">
      <w:pPr>
        <w:spacing w:line="600" w:lineRule="exact"/>
        <w:ind w:firstLine="640"/>
        <w:rPr>
          <w:rFonts w:hint="eastAsia" w:ascii="Times New Roman" w:hAnsi="Times New Roman" w:eastAsia="方正仿宋简体" w:cs="Times New Roman"/>
          <w:kern w:val="2"/>
          <w:sz w:val="32"/>
          <w:szCs w:val="32"/>
          <w:lang w:val="en-US" w:eastAsia="zh-CN" w:bidi="ar-SA"/>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w:t>
      </w:r>
    </w:p>
    <w:p w14:paraId="3597AA75">
      <w:pPr>
        <w:spacing w:line="600" w:lineRule="exact"/>
        <w:ind w:firstLine="640"/>
        <w:rPr>
          <w:rFonts w:hint="eastAsia" w:eastAsia="仿宋_GB2312" w:cs="仿宋_GB2312"/>
          <w:b/>
          <w:bCs/>
          <w:sz w:val="32"/>
          <w:szCs w:val="32"/>
        </w:rPr>
      </w:pPr>
      <w:r>
        <w:rPr>
          <w:rFonts w:hint="eastAsia" w:eastAsia="仿宋_GB2312" w:cs="仿宋_GB2312"/>
          <w:b/>
          <w:bCs/>
          <w:sz w:val="32"/>
          <w:szCs w:val="32"/>
        </w:rPr>
        <w:t>2.公务用车购置及运行维护费支出</w:t>
      </w:r>
      <w:r>
        <w:rPr>
          <w:rFonts w:hint="eastAsia" w:eastAsia="仿宋_GB2312" w:cs="仿宋_GB2312"/>
          <w:b/>
          <w:bCs/>
          <w:sz w:val="32"/>
          <w:szCs w:val="32"/>
          <w:lang w:val="en-US" w:eastAsia="zh-CN"/>
        </w:rPr>
        <w:t>20.44</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p>
    <w:p w14:paraId="060F8D1A">
      <w:pPr>
        <w:spacing w:line="600" w:lineRule="exact"/>
        <w:ind w:firstLine="640"/>
        <w:rPr>
          <w:rFonts w:hint="eastAsia"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公务用车购置及运行维护费支出决算比上年度增加</w:t>
      </w:r>
      <w:r>
        <w:rPr>
          <w:rFonts w:hint="eastAsia" w:eastAsia="方正仿宋简体" w:cs="Times New Roman"/>
          <w:kern w:val="2"/>
          <w:sz w:val="32"/>
          <w:szCs w:val="32"/>
          <w:lang w:val="en-US" w:eastAsia="zh-CN" w:bidi="ar-SA"/>
        </w:rPr>
        <w:t>1.04</w:t>
      </w:r>
      <w:r>
        <w:rPr>
          <w:rFonts w:hint="eastAsia" w:ascii="Times New Roman" w:hAnsi="Times New Roman" w:eastAsia="方正仿宋简体" w:cs="Times New Roman"/>
          <w:kern w:val="2"/>
          <w:sz w:val="32"/>
          <w:szCs w:val="32"/>
          <w:lang w:val="en-US" w:eastAsia="zh-CN" w:bidi="ar-SA"/>
        </w:rPr>
        <w:t>万元，增长</w:t>
      </w:r>
      <w:r>
        <w:rPr>
          <w:rFonts w:hint="eastAsia" w:eastAsia="方正仿宋简体" w:cs="Times New Roman"/>
          <w:kern w:val="2"/>
          <w:sz w:val="32"/>
          <w:szCs w:val="32"/>
          <w:lang w:val="en-US" w:eastAsia="zh-CN" w:bidi="ar-SA"/>
        </w:rPr>
        <w:t>5.4</w:t>
      </w:r>
      <w:r>
        <w:rPr>
          <w:rFonts w:hint="eastAsia" w:ascii="Times New Roman" w:hAnsi="Times New Roman" w:eastAsia="方正仿宋简体" w:cs="Times New Roman"/>
          <w:kern w:val="2"/>
          <w:sz w:val="32"/>
          <w:szCs w:val="32"/>
          <w:lang w:val="en-US" w:eastAsia="zh-CN" w:bidi="ar-SA"/>
        </w:rPr>
        <w:t>%。主要原因是</w:t>
      </w:r>
      <w:r>
        <w:rPr>
          <w:rFonts w:hint="eastAsia" w:eastAsia="方正仿宋简体" w:cs="Times New Roman"/>
          <w:kern w:val="2"/>
          <w:sz w:val="32"/>
          <w:szCs w:val="32"/>
          <w:lang w:val="en-US" w:eastAsia="zh-CN" w:bidi="ar-SA"/>
        </w:rPr>
        <w:t>车辆老化，费用增加。</w:t>
      </w:r>
    </w:p>
    <w:p w14:paraId="47BE0611">
      <w:pPr>
        <w:spacing w:line="600" w:lineRule="exact"/>
        <w:ind w:firstLine="640"/>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其中：公务用车购置支出</w:t>
      </w:r>
      <w:r>
        <w:rPr>
          <w:rFonts w:hint="eastAsia" w:eastAsia="方正仿宋简体" w:cs="Times New Roman"/>
          <w:kern w:val="2"/>
          <w:sz w:val="32"/>
          <w:szCs w:val="32"/>
          <w:lang w:val="en-US" w:eastAsia="zh-CN" w:bidi="ar-SA"/>
        </w:rPr>
        <w:t>0</w:t>
      </w:r>
      <w:r>
        <w:rPr>
          <w:rFonts w:hint="eastAsia" w:ascii="Times New Roman" w:hAnsi="Times New Roman" w:eastAsia="方正仿宋简体" w:cs="Times New Roman"/>
          <w:kern w:val="2"/>
          <w:sz w:val="32"/>
          <w:szCs w:val="32"/>
          <w:lang w:val="en-US" w:eastAsia="zh-CN" w:bidi="ar-SA"/>
        </w:rPr>
        <w:t>万元。全年按规定更新购置公务用车</w:t>
      </w:r>
      <w:r>
        <w:rPr>
          <w:rFonts w:hint="eastAsia" w:eastAsia="方正仿宋简体" w:cs="Times New Roman"/>
          <w:kern w:val="2"/>
          <w:sz w:val="32"/>
          <w:szCs w:val="32"/>
          <w:lang w:val="en-US" w:eastAsia="zh-CN" w:bidi="ar-SA"/>
        </w:rPr>
        <w:t>0</w:t>
      </w:r>
      <w:r>
        <w:rPr>
          <w:rFonts w:hint="eastAsia" w:ascii="Times New Roman" w:hAnsi="Times New Roman" w:eastAsia="方正仿宋简体" w:cs="Times New Roman"/>
          <w:kern w:val="2"/>
          <w:sz w:val="32"/>
          <w:szCs w:val="32"/>
          <w:lang w:val="en-US" w:eastAsia="zh-CN" w:bidi="ar-SA"/>
        </w:rPr>
        <w:t>辆。截至2025年12月31日，单位共有公务用车</w:t>
      </w:r>
      <w:r>
        <w:rPr>
          <w:rFonts w:hint="eastAsia" w:eastAsia="方正仿宋简体" w:cs="Times New Roman"/>
          <w:kern w:val="2"/>
          <w:sz w:val="32"/>
          <w:szCs w:val="32"/>
          <w:lang w:val="en-US" w:eastAsia="zh-CN" w:bidi="ar-SA"/>
        </w:rPr>
        <w:t>17</w:t>
      </w:r>
      <w:r>
        <w:rPr>
          <w:rFonts w:hint="eastAsia" w:ascii="Times New Roman" w:hAnsi="Times New Roman" w:eastAsia="方正仿宋简体" w:cs="Times New Roman"/>
          <w:kern w:val="2"/>
          <w:sz w:val="32"/>
          <w:szCs w:val="32"/>
          <w:lang w:val="en-US" w:eastAsia="zh-CN" w:bidi="ar-SA"/>
        </w:rPr>
        <w:t>辆，其中：</w:t>
      </w:r>
      <w:r>
        <w:rPr>
          <w:rFonts w:hint="eastAsia" w:ascii="Times New Roman" w:hAnsi="Times New Roman" w:eastAsia="方正仿宋简体" w:cs="Times New Roman"/>
          <w:kern w:val="2"/>
          <w:sz w:val="32"/>
          <w:szCs w:val="32"/>
          <w:highlight w:val="none"/>
          <w:lang w:val="en-US" w:eastAsia="zh-CN" w:bidi="ar-SA"/>
        </w:rPr>
        <w:t>轿车</w:t>
      </w:r>
      <w:r>
        <w:rPr>
          <w:rFonts w:hint="eastAsia" w:eastAsia="方正仿宋简体" w:cs="Times New Roman"/>
          <w:kern w:val="2"/>
          <w:sz w:val="32"/>
          <w:szCs w:val="32"/>
          <w:highlight w:val="none"/>
          <w:lang w:val="en-US" w:eastAsia="zh-CN" w:bidi="ar-SA"/>
        </w:rPr>
        <w:t>12</w:t>
      </w:r>
      <w:r>
        <w:rPr>
          <w:rFonts w:hint="eastAsia" w:ascii="Times New Roman" w:hAnsi="Times New Roman" w:eastAsia="方正仿宋简体" w:cs="Times New Roman"/>
          <w:kern w:val="2"/>
          <w:sz w:val="32"/>
          <w:szCs w:val="32"/>
          <w:highlight w:val="none"/>
          <w:lang w:val="en-US" w:eastAsia="zh-CN" w:bidi="ar-SA"/>
        </w:rPr>
        <w:t>辆、越野车</w:t>
      </w:r>
      <w:r>
        <w:rPr>
          <w:rFonts w:hint="eastAsia" w:eastAsia="方正仿宋简体" w:cs="Times New Roman"/>
          <w:kern w:val="2"/>
          <w:sz w:val="32"/>
          <w:szCs w:val="32"/>
          <w:highlight w:val="none"/>
          <w:lang w:val="en-US" w:eastAsia="zh-CN" w:bidi="ar-SA"/>
        </w:rPr>
        <w:t>2</w:t>
      </w:r>
      <w:r>
        <w:rPr>
          <w:rFonts w:hint="eastAsia" w:ascii="Times New Roman" w:hAnsi="Times New Roman" w:eastAsia="方正仿宋简体" w:cs="Times New Roman"/>
          <w:kern w:val="2"/>
          <w:sz w:val="32"/>
          <w:szCs w:val="32"/>
          <w:highlight w:val="none"/>
          <w:lang w:val="en-US" w:eastAsia="zh-CN" w:bidi="ar-SA"/>
        </w:rPr>
        <w:t>辆、载客汽车</w:t>
      </w:r>
      <w:r>
        <w:rPr>
          <w:rFonts w:hint="eastAsia" w:eastAsia="方正仿宋简体" w:cs="Times New Roman"/>
          <w:kern w:val="2"/>
          <w:sz w:val="32"/>
          <w:szCs w:val="32"/>
          <w:highlight w:val="none"/>
          <w:lang w:val="en-US" w:eastAsia="zh-CN" w:bidi="ar-SA"/>
        </w:rPr>
        <w:t>3</w:t>
      </w:r>
      <w:r>
        <w:rPr>
          <w:rFonts w:hint="eastAsia" w:ascii="Times New Roman" w:hAnsi="Times New Roman" w:eastAsia="方正仿宋简体" w:cs="Times New Roman"/>
          <w:kern w:val="2"/>
          <w:sz w:val="32"/>
          <w:szCs w:val="32"/>
          <w:highlight w:val="none"/>
          <w:lang w:val="en-US" w:eastAsia="zh-CN" w:bidi="ar-SA"/>
        </w:rPr>
        <w:t>辆。</w:t>
      </w:r>
    </w:p>
    <w:p w14:paraId="4445C2A0">
      <w:pPr>
        <w:pageBreakBefore w:val="0"/>
        <w:kinsoku/>
        <w:wordWrap/>
        <w:overflowPunct/>
        <w:topLinePunct w:val="0"/>
        <w:bidi w:val="0"/>
        <w:spacing w:line="600" w:lineRule="exact"/>
        <w:ind w:firstLine="640"/>
        <w:jc w:val="left"/>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公务用车运行维护费支出</w:t>
      </w:r>
      <w:r>
        <w:rPr>
          <w:rFonts w:hint="eastAsia" w:eastAsia="方正仿宋简体" w:cs="Times New Roman"/>
          <w:kern w:val="2"/>
          <w:sz w:val="32"/>
          <w:szCs w:val="32"/>
          <w:lang w:val="en-US" w:eastAsia="zh-CN" w:bidi="ar-SA"/>
        </w:rPr>
        <w:t>20.44</w:t>
      </w:r>
      <w:r>
        <w:rPr>
          <w:rFonts w:hint="eastAsia" w:ascii="Times New Roman" w:hAnsi="Times New Roman" w:eastAsia="方正仿宋简体" w:cs="Times New Roman"/>
          <w:kern w:val="2"/>
          <w:sz w:val="32"/>
          <w:szCs w:val="32"/>
          <w:lang w:val="en-US" w:eastAsia="zh-CN" w:bidi="ar-SA"/>
        </w:rPr>
        <w:t>万元。主要用于保障</w:t>
      </w:r>
      <w:r>
        <w:rPr>
          <w:rFonts w:hint="eastAsia" w:eastAsia="方正仿宋简体" w:cs="Times New Roman"/>
          <w:kern w:val="2"/>
          <w:sz w:val="32"/>
          <w:szCs w:val="32"/>
          <w:lang w:val="en-US" w:eastAsia="zh-CN" w:bidi="ar-SA"/>
        </w:rPr>
        <w:t>市民政</w:t>
      </w:r>
      <w:r>
        <w:rPr>
          <w:rFonts w:hint="eastAsia" w:ascii="Times New Roman" w:hAnsi="Times New Roman" w:eastAsia="方正仿宋简体" w:cs="Times New Roman"/>
          <w:kern w:val="2"/>
          <w:sz w:val="32"/>
          <w:szCs w:val="32"/>
          <w:lang w:val="en-US" w:eastAsia="zh-CN" w:bidi="ar-SA"/>
        </w:rPr>
        <w:t>局机关</w:t>
      </w:r>
      <w:r>
        <w:rPr>
          <w:rFonts w:hint="eastAsia" w:eastAsia="方正仿宋简体" w:cs="Times New Roman"/>
          <w:kern w:val="2"/>
          <w:sz w:val="32"/>
          <w:szCs w:val="32"/>
          <w:lang w:val="en-US" w:eastAsia="zh-CN" w:bidi="ar-SA"/>
        </w:rPr>
        <w:t>（含内设事业单位2个）</w:t>
      </w:r>
      <w:r>
        <w:rPr>
          <w:rFonts w:hint="eastAsia" w:ascii="Times New Roman" w:hAnsi="Times New Roman" w:eastAsia="方正仿宋简体" w:cs="Times New Roman"/>
          <w:kern w:val="2"/>
          <w:sz w:val="32"/>
          <w:szCs w:val="32"/>
          <w:lang w:val="en-US" w:eastAsia="zh-CN" w:bidi="ar-SA"/>
        </w:rPr>
        <w:t>及</w:t>
      </w:r>
      <w:r>
        <w:rPr>
          <w:rFonts w:hint="eastAsia" w:eastAsia="方正仿宋简体" w:cs="Times New Roman"/>
          <w:kern w:val="2"/>
          <w:sz w:val="32"/>
          <w:szCs w:val="32"/>
          <w:lang w:val="en-US" w:eastAsia="zh-CN" w:bidi="ar-SA"/>
        </w:rPr>
        <w:t>局</w:t>
      </w:r>
      <w:r>
        <w:rPr>
          <w:rFonts w:hint="eastAsia" w:ascii="Times New Roman" w:hAnsi="Times New Roman" w:eastAsia="方正仿宋简体" w:cs="Times New Roman"/>
          <w:kern w:val="2"/>
          <w:sz w:val="32"/>
          <w:szCs w:val="32"/>
          <w:lang w:val="en-US" w:eastAsia="zh-CN" w:bidi="ar-SA"/>
        </w:rPr>
        <w:t>属事业单位正常开展业务工作等所需的公务用车燃料费、维修费、过路过桥费、保险费等支出。</w:t>
      </w:r>
    </w:p>
    <w:p w14:paraId="4174DAAE">
      <w:pPr>
        <w:numPr>
          <w:ilvl w:val="0"/>
          <w:numId w:val="3"/>
        </w:numPr>
        <w:spacing w:line="600" w:lineRule="exact"/>
        <w:ind w:firstLine="640"/>
        <w:rPr>
          <w:rFonts w:hint="eastAsia" w:eastAsia="仿宋_GB2312" w:cs="仿宋_GB2312"/>
          <w:b/>
          <w:bCs/>
          <w:sz w:val="32"/>
          <w:szCs w:val="32"/>
        </w:rPr>
      </w:pPr>
      <w:r>
        <w:rPr>
          <w:rFonts w:hint="eastAsia" w:eastAsia="仿宋_GB2312" w:cs="仿宋_GB2312"/>
          <w:b/>
          <w:bCs/>
          <w:sz w:val="32"/>
          <w:szCs w:val="32"/>
        </w:rPr>
        <w:t>公务接待费支出</w:t>
      </w:r>
      <w:r>
        <w:rPr>
          <w:rFonts w:hint="eastAsia" w:eastAsia="仿宋_GB2312" w:cs="仿宋_GB2312"/>
          <w:b/>
          <w:bCs/>
          <w:sz w:val="32"/>
          <w:szCs w:val="32"/>
          <w:lang w:val="en-US" w:eastAsia="zh-CN"/>
        </w:rPr>
        <w:t>0.96</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p>
    <w:p w14:paraId="489E26E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公务接待费支出决算比上年度减少</w:t>
      </w:r>
      <w:r>
        <w:rPr>
          <w:rFonts w:hint="eastAsia" w:eastAsia="方正仿宋简体" w:cs="Times New Roman"/>
          <w:kern w:val="2"/>
          <w:sz w:val="32"/>
          <w:szCs w:val="32"/>
          <w:lang w:val="en-US" w:eastAsia="zh-CN" w:bidi="ar-SA"/>
        </w:rPr>
        <w:t>1.8</w:t>
      </w:r>
      <w:r>
        <w:rPr>
          <w:rFonts w:hint="eastAsia" w:ascii="Times New Roman" w:hAnsi="Times New Roman" w:eastAsia="方正仿宋简体" w:cs="Times New Roman"/>
          <w:kern w:val="2"/>
          <w:sz w:val="32"/>
          <w:szCs w:val="32"/>
          <w:lang w:val="en-US" w:eastAsia="zh-CN" w:bidi="ar-SA"/>
        </w:rPr>
        <w:t>万元，下降</w:t>
      </w:r>
      <w:r>
        <w:rPr>
          <w:rFonts w:hint="eastAsia" w:eastAsia="方正仿宋简体" w:cs="Times New Roman"/>
          <w:kern w:val="2"/>
          <w:sz w:val="32"/>
          <w:szCs w:val="32"/>
          <w:lang w:val="en-US" w:eastAsia="zh-CN" w:bidi="ar-SA"/>
        </w:rPr>
        <w:t>65.2</w:t>
      </w:r>
      <w:r>
        <w:rPr>
          <w:rFonts w:hint="eastAsia" w:ascii="Times New Roman" w:hAnsi="Times New Roman" w:eastAsia="方正仿宋简体" w:cs="Times New Roman"/>
          <w:kern w:val="2"/>
          <w:sz w:val="32"/>
          <w:szCs w:val="32"/>
          <w:lang w:val="en-US" w:eastAsia="zh-CN" w:bidi="ar-SA"/>
        </w:rPr>
        <w:t>%。主要原因是</w:t>
      </w:r>
      <w:r>
        <w:rPr>
          <w:rFonts w:hint="eastAsia" w:eastAsia="方正仿宋简体" w:cs="Times New Roman"/>
          <w:kern w:val="2"/>
          <w:sz w:val="32"/>
          <w:szCs w:val="32"/>
          <w:lang w:val="en-US" w:eastAsia="zh-CN" w:bidi="ar-SA"/>
        </w:rPr>
        <w:t>厉行节约，压减支出，来攀人员减少</w:t>
      </w:r>
      <w:r>
        <w:rPr>
          <w:rFonts w:hint="eastAsia" w:ascii="Times New Roman" w:hAnsi="Times New Roman" w:eastAsia="方正仿宋简体" w:cs="Times New Roman"/>
          <w:kern w:val="2"/>
          <w:sz w:val="32"/>
          <w:szCs w:val="32"/>
          <w:lang w:val="en-US" w:eastAsia="zh-CN" w:bidi="ar-SA"/>
        </w:rPr>
        <w:t>。其中：</w:t>
      </w:r>
    </w:p>
    <w:p w14:paraId="3FA334F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eastAsia="仿宋_GB2312" w:cs="仿宋_GB2312"/>
          <w:sz w:val="32"/>
          <w:szCs w:val="32"/>
        </w:rPr>
      </w:pPr>
      <w:r>
        <w:rPr>
          <w:rFonts w:hint="eastAsia" w:ascii="Times New Roman" w:hAnsi="Times New Roman" w:eastAsia="方正仿宋简体" w:cs="Times New Roman"/>
          <w:kern w:val="2"/>
          <w:sz w:val="32"/>
          <w:szCs w:val="32"/>
          <w:lang w:val="en-US" w:eastAsia="zh-CN" w:bidi="ar-SA"/>
        </w:rPr>
        <w:t>国内公务接待支出</w:t>
      </w:r>
      <w:r>
        <w:rPr>
          <w:rFonts w:hint="eastAsia" w:eastAsia="方正仿宋简体" w:cs="Times New Roman"/>
          <w:kern w:val="2"/>
          <w:sz w:val="32"/>
          <w:szCs w:val="32"/>
          <w:lang w:val="en-US" w:eastAsia="zh-CN" w:bidi="ar-SA"/>
        </w:rPr>
        <w:t>0.96</w:t>
      </w:r>
      <w:r>
        <w:rPr>
          <w:rFonts w:hint="eastAsia" w:ascii="Times New Roman" w:hAnsi="Times New Roman" w:eastAsia="方正仿宋简体" w:cs="Times New Roman"/>
          <w:kern w:val="2"/>
          <w:sz w:val="32"/>
          <w:szCs w:val="32"/>
          <w:lang w:val="en-US" w:eastAsia="zh-CN" w:bidi="ar-SA"/>
        </w:rPr>
        <w:t>万元，主要用于执行公务、开展业务活动开支的用餐费。国内公务接待</w:t>
      </w:r>
      <w:r>
        <w:rPr>
          <w:rFonts w:hint="eastAsia" w:eastAsia="方正仿宋简体" w:cs="Times New Roman"/>
          <w:kern w:val="2"/>
          <w:sz w:val="32"/>
          <w:szCs w:val="32"/>
          <w:highlight w:val="none"/>
          <w:lang w:val="en-US" w:eastAsia="zh-CN" w:bidi="ar-SA"/>
        </w:rPr>
        <w:t>11</w:t>
      </w:r>
      <w:r>
        <w:rPr>
          <w:rFonts w:hint="eastAsia" w:ascii="Times New Roman" w:hAnsi="Times New Roman" w:eastAsia="方正仿宋简体" w:cs="Times New Roman"/>
          <w:kern w:val="2"/>
          <w:sz w:val="32"/>
          <w:szCs w:val="32"/>
          <w:highlight w:val="none"/>
          <w:lang w:val="en-US" w:eastAsia="zh-CN" w:bidi="ar-SA"/>
        </w:rPr>
        <w:t>批次，</w:t>
      </w:r>
      <w:r>
        <w:rPr>
          <w:rFonts w:hint="eastAsia" w:eastAsia="方正仿宋简体" w:cs="Times New Roman"/>
          <w:kern w:val="2"/>
          <w:sz w:val="32"/>
          <w:szCs w:val="32"/>
          <w:highlight w:val="none"/>
          <w:lang w:val="en-US" w:eastAsia="zh-CN" w:bidi="ar-SA"/>
        </w:rPr>
        <w:t>53</w:t>
      </w:r>
      <w:r>
        <w:rPr>
          <w:rFonts w:hint="eastAsia" w:ascii="Times New Roman" w:hAnsi="Times New Roman" w:eastAsia="方正仿宋简体" w:cs="Times New Roman"/>
          <w:kern w:val="2"/>
          <w:sz w:val="32"/>
          <w:szCs w:val="32"/>
          <w:highlight w:val="none"/>
          <w:lang w:val="en-US" w:eastAsia="zh-CN" w:bidi="ar-SA"/>
        </w:rPr>
        <w:t>人次（不</w:t>
      </w:r>
      <w:r>
        <w:rPr>
          <w:rFonts w:hint="eastAsia" w:ascii="Times New Roman" w:hAnsi="Times New Roman" w:eastAsia="方正仿宋简体" w:cs="Times New Roman"/>
          <w:kern w:val="2"/>
          <w:sz w:val="32"/>
          <w:szCs w:val="32"/>
          <w:lang w:val="en-US" w:eastAsia="zh-CN" w:bidi="ar-SA"/>
        </w:rPr>
        <w:t>包括陪同人员），共计支出</w:t>
      </w:r>
      <w:r>
        <w:rPr>
          <w:rFonts w:hint="eastAsia" w:eastAsia="方正仿宋简体" w:cs="Times New Roman"/>
          <w:kern w:val="2"/>
          <w:sz w:val="32"/>
          <w:szCs w:val="32"/>
          <w:lang w:val="en-US" w:eastAsia="zh-CN" w:bidi="ar-SA"/>
        </w:rPr>
        <w:t>0.96</w:t>
      </w:r>
      <w:r>
        <w:rPr>
          <w:rFonts w:hint="eastAsia" w:ascii="Times New Roman" w:hAnsi="Times New Roman" w:eastAsia="方正仿宋简体" w:cs="Times New Roman"/>
          <w:kern w:val="2"/>
          <w:sz w:val="32"/>
          <w:szCs w:val="32"/>
          <w:lang w:val="en-US" w:eastAsia="zh-CN" w:bidi="ar-SA"/>
        </w:rPr>
        <w:t>万元。</w:t>
      </w:r>
      <w:bookmarkStart w:id="44" w:name="_Toc15396610"/>
      <w:bookmarkStart w:id="45" w:name="_Toc15377218"/>
    </w:p>
    <w:p w14:paraId="062AF979">
      <w:pPr>
        <w:tabs>
          <w:tab w:val="right" w:pos="8306"/>
        </w:tabs>
        <w:spacing w:line="600" w:lineRule="exact"/>
        <w:ind w:firstLine="640"/>
        <w:outlineLvl w:val="1"/>
        <w:rPr>
          <w:rFonts w:hint="eastAsia" w:ascii="方正黑体_GBK" w:hAnsi="方正黑体_GBK" w:eastAsia="方正黑体_GBK" w:cs="方正黑体_GBK"/>
          <w:b w:val="0"/>
          <w:bCs/>
          <w:kern w:val="44"/>
          <w:sz w:val="32"/>
          <w:szCs w:val="32"/>
          <w:lang w:val="en-US" w:eastAsia="zh-CN" w:bidi="ar-SA"/>
        </w:rPr>
      </w:pPr>
      <w:r>
        <w:rPr>
          <w:rFonts w:hint="eastAsia" w:ascii="方正黑体_GBK" w:hAnsi="方正黑体_GBK" w:eastAsia="方正黑体_GBK" w:cs="方正黑体_GBK"/>
          <w:b w:val="0"/>
          <w:bCs/>
          <w:kern w:val="44"/>
          <w:sz w:val="32"/>
          <w:szCs w:val="32"/>
          <w:lang w:val="en-US" w:eastAsia="zh-CN" w:bidi="ar-SA"/>
        </w:rPr>
        <w:t>八、政府性基金预算支出决算情况说明</w:t>
      </w:r>
      <w:bookmarkEnd w:id="44"/>
      <w:bookmarkEnd w:id="45"/>
    </w:p>
    <w:p w14:paraId="2A180CAC">
      <w:pPr>
        <w:spacing w:line="600" w:lineRule="exact"/>
        <w:ind w:firstLine="640"/>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2025年度政府性基金预算财政拨款支出</w:t>
      </w:r>
      <w:r>
        <w:rPr>
          <w:rFonts w:hint="eastAsia" w:eastAsia="方正仿宋简体" w:cs="Times New Roman"/>
          <w:kern w:val="2"/>
          <w:sz w:val="32"/>
          <w:szCs w:val="32"/>
          <w:lang w:val="en-US" w:eastAsia="zh-CN" w:bidi="ar-SA"/>
        </w:rPr>
        <w:t>287.07</w:t>
      </w:r>
      <w:r>
        <w:rPr>
          <w:rFonts w:hint="eastAsia" w:ascii="Times New Roman" w:hAnsi="Times New Roman" w:eastAsia="方正仿宋简体" w:cs="Times New Roman"/>
          <w:kern w:val="2"/>
          <w:sz w:val="32"/>
          <w:szCs w:val="32"/>
          <w:lang w:val="en-US" w:eastAsia="zh-CN" w:bidi="ar-SA"/>
        </w:rPr>
        <w:t>万元，占本年支出合计的</w:t>
      </w:r>
      <w:r>
        <w:rPr>
          <w:rFonts w:hint="eastAsia" w:eastAsia="方正仿宋简体" w:cs="Times New Roman"/>
          <w:kern w:val="2"/>
          <w:sz w:val="32"/>
          <w:szCs w:val="32"/>
          <w:lang w:val="en-US" w:eastAsia="zh-CN" w:bidi="ar-SA"/>
        </w:rPr>
        <w:t>7.2</w:t>
      </w:r>
      <w:r>
        <w:rPr>
          <w:rFonts w:hint="eastAsia" w:ascii="Times New Roman" w:hAnsi="Times New Roman" w:eastAsia="方正仿宋简体" w:cs="Times New Roman"/>
          <w:kern w:val="2"/>
          <w:sz w:val="32"/>
          <w:szCs w:val="32"/>
          <w:lang w:val="en-US" w:eastAsia="zh-CN" w:bidi="ar-SA"/>
        </w:rPr>
        <w:t>%。与上年度相比，政府性基金预算财政拨款支出减少</w:t>
      </w:r>
      <w:r>
        <w:rPr>
          <w:rFonts w:hint="eastAsia" w:eastAsia="方正仿宋简体" w:cs="Times New Roman"/>
          <w:kern w:val="2"/>
          <w:sz w:val="32"/>
          <w:szCs w:val="32"/>
          <w:lang w:val="en-US" w:eastAsia="zh-CN" w:bidi="ar-SA"/>
        </w:rPr>
        <w:t>206.9</w:t>
      </w:r>
      <w:r>
        <w:rPr>
          <w:rFonts w:hint="eastAsia" w:ascii="Times New Roman" w:hAnsi="Times New Roman" w:eastAsia="方正仿宋简体" w:cs="Times New Roman"/>
          <w:kern w:val="2"/>
          <w:sz w:val="32"/>
          <w:szCs w:val="32"/>
          <w:lang w:val="en-US" w:eastAsia="zh-CN" w:bidi="ar-SA"/>
        </w:rPr>
        <w:t>万元，下降</w:t>
      </w:r>
      <w:r>
        <w:rPr>
          <w:rFonts w:hint="eastAsia" w:eastAsia="方正仿宋简体" w:cs="Times New Roman"/>
          <w:kern w:val="2"/>
          <w:sz w:val="32"/>
          <w:szCs w:val="32"/>
          <w:lang w:val="en-US" w:eastAsia="zh-CN" w:bidi="ar-SA"/>
        </w:rPr>
        <w:t>41.9</w:t>
      </w:r>
      <w:r>
        <w:rPr>
          <w:rFonts w:hint="eastAsia" w:ascii="Times New Roman" w:hAnsi="Times New Roman" w:eastAsia="方正仿宋简体" w:cs="Times New Roman"/>
          <w:kern w:val="2"/>
          <w:sz w:val="32"/>
          <w:szCs w:val="32"/>
          <w:lang w:val="en-US" w:eastAsia="zh-CN" w:bidi="ar-SA"/>
        </w:rPr>
        <w:t>%。主要变动原因</w:t>
      </w:r>
      <w:r>
        <w:rPr>
          <w:rFonts w:hint="eastAsia" w:ascii="Times New Roman" w:hAnsi="Times New Roman" w:eastAsia="方正仿宋_GBK" w:cs="Times New Roman"/>
          <w:kern w:val="2"/>
          <w:sz w:val="32"/>
          <w:szCs w:val="32"/>
          <w:lang w:val="en-US" w:eastAsia="zh-CN" w:bidi="ar-SA"/>
        </w:rPr>
        <w:t>202</w:t>
      </w:r>
      <w:r>
        <w:rPr>
          <w:rFonts w:hint="eastAsia" w:eastAsia="方正仿宋_GBK" w:cs="Times New Roman"/>
          <w:kern w:val="2"/>
          <w:sz w:val="32"/>
          <w:szCs w:val="32"/>
          <w:lang w:val="en-US" w:eastAsia="zh-CN" w:bidi="ar-SA"/>
        </w:rPr>
        <w:t>5</w:t>
      </w:r>
      <w:r>
        <w:rPr>
          <w:rFonts w:hint="eastAsia" w:ascii="Times New Roman" w:hAnsi="Times New Roman" w:eastAsia="方正仿宋_GBK" w:cs="Times New Roman"/>
          <w:kern w:val="2"/>
          <w:sz w:val="32"/>
          <w:szCs w:val="32"/>
          <w:lang w:val="en-US" w:eastAsia="zh-CN" w:bidi="ar-SA"/>
        </w:rPr>
        <w:t>年比202</w:t>
      </w:r>
      <w:r>
        <w:rPr>
          <w:rFonts w:hint="eastAsia" w:eastAsia="方正仿宋_GBK" w:cs="Times New Roman"/>
          <w:kern w:val="2"/>
          <w:sz w:val="32"/>
          <w:szCs w:val="32"/>
          <w:lang w:val="en-US" w:eastAsia="zh-CN" w:bidi="ar-SA"/>
        </w:rPr>
        <w:t>4</w:t>
      </w:r>
      <w:r>
        <w:rPr>
          <w:rFonts w:hint="eastAsia" w:ascii="Times New Roman" w:hAnsi="Times New Roman" w:eastAsia="方正仿宋_GBK" w:cs="Times New Roman"/>
          <w:kern w:val="2"/>
          <w:sz w:val="32"/>
          <w:szCs w:val="32"/>
          <w:lang w:val="en-US" w:eastAsia="zh-CN" w:bidi="ar-SA"/>
        </w:rPr>
        <w:t>年政府性基金预算项目支出减少</w:t>
      </w:r>
      <w:bookmarkStart w:id="46" w:name="_Toc15377219"/>
      <w:bookmarkStart w:id="47" w:name="_Toc15396611"/>
      <w:r>
        <w:rPr>
          <w:rFonts w:hint="eastAsia" w:ascii="Times New Roman" w:hAnsi="Times New Roman" w:eastAsia="方正仿宋简体" w:cs="Times New Roman"/>
          <w:kern w:val="2"/>
          <w:sz w:val="32"/>
          <w:szCs w:val="32"/>
          <w:lang w:val="en-US" w:eastAsia="zh-CN" w:bidi="ar-SA"/>
        </w:rPr>
        <w:t>。</w:t>
      </w:r>
    </w:p>
    <w:p w14:paraId="5A09CA53">
      <w:pPr>
        <w:spacing w:line="600" w:lineRule="exact"/>
        <w:ind w:firstLine="640"/>
        <w:rPr>
          <w:rFonts w:hint="eastAsia" w:ascii="方正黑体_GBK" w:hAnsi="方正黑体_GBK" w:eastAsia="方正黑体_GBK" w:cs="方正黑体_GBK"/>
          <w:b w:val="0"/>
          <w:bCs/>
          <w:kern w:val="44"/>
          <w:sz w:val="32"/>
          <w:szCs w:val="32"/>
          <w:lang w:val="en-US" w:eastAsia="zh-CN" w:bidi="ar-SA"/>
        </w:rPr>
      </w:pPr>
      <w:r>
        <w:rPr>
          <w:rFonts w:hint="eastAsia" w:ascii="方正黑体_GBK" w:hAnsi="方正黑体_GBK" w:eastAsia="方正黑体_GBK" w:cs="方正黑体_GBK"/>
          <w:b w:val="0"/>
          <w:bCs/>
          <w:kern w:val="44"/>
          <w:sz w:val="32"/>
          <w:szCs w:val="32"/>
          <w:lang w:val="en-US" w:eastAsia="zh-CN" w:bidi="ar-SA"/>
        </w:rPr>
        <w:t>九、国有资本经营预算支出决算情况说明</w:t>
      </w:r>
      <w:bookmarkEnd w:id="46"/>
      <w:bookmarkEnd w:id="47"/>
    </w:p>
    <w:p w14:paraId="4C337294">
      <w:pPr>
        <w:pageBreakBefore w:val="0"/>
        <w:kinsoku/>
        <w:wordWrap/>
        <w:overflowPunct/>
        <w:topLinePunct w:val="0"/>
        <w:bidi w:val="0"/>
        <w:spacing w:line="600" w:lineRule="exact"/>
        <w:ind w:firstLine="640"/>
        <w:jc w:val="left"/>
        <w:rPr>
          <w:rFonts w:eastAsia="仿宋_GB2312" w:cs="仿宋_GB2312"/>
          <w:sz w:val="32"/>
          <w:szCs w:val="32"/>
        </w:rPr>
      </w:pPr>
      <w:bookmarkStart w:id="48" w:name="_Toc15377221"/>
      <w:bookmarkStart w:id="49" w:name="_Toc15396612"/>
      <w:r>
        <w:rPr>
          <w:rFonts w:hint="eastAsia" w:ascii="Times New Roman" w:hAnsi="Times New Roman" w:eastAsia="方正仿宋简体" w:cs="Times New Roman"/>
          <w:kern w:val="2"/>
          <w:sz w:val="32"/>
          <w:szCs w:val="32"/>
          <w:lang w:val="en-US" w:eastAsia="zh-CN" w:bidi="ar-SA"/>
        </w:rPr>
        <w:t>202</w:t>
      </w:r>
      <w:r>
        <w:rPr>
          <w:rFonts w:hint="eastAsia" w:eastAsia="方正仿宋简体" w:cs="Times New Roman"/>
          <w:kern w:val="2"/>
          <w:sz w:val="32"/>
          <w:szCs w:val="32"/>
          <w:lang w:val="en-US" w:eastAsia="zh-CN" w:bidi="ar-SA"/>
        </w:rPr>
        <w:t>5</w:t>
      </w:r>
      <w:r>
        <w:rPr>
          <w:rFonts w:hint="eastAsia" w:ascii="Times New Roman" w:hAnsi="Times New Roman" w:eastAsia="方正仿宋简体" w:cs="Times New Roman"/>
          <w:kern w:val="2"/>
          <w:sz w:val="32"/>
          <w:szCs w:val="32"/>
          <w:lang w:val="en-US" w:eastAsia="zh-CN" w:bidi="ar-SA"/>
        </w:rPr>
        <w:t>年度国有资本经营预算财政拨款支出0万元。</w:t>
      </w:r>
    </w:p>
    <w:p w14:paraId="27084E03">
      <w:pPr>
        <w:tabs>
          <w:tab w:val="right" w:pos="8306"/>
        </w:tabs>
        <w:spacing w:line="600" w:lineRule="exact"/>
        <w:ind w:firstLine="640"/>
        <w:outlineLvl w:val="1"/>
        <w:rPr>
          <w:rFonts w:hint="eastAsia" w:ascii="方正黑体_GBK" w:hAnsi="方正黑体_GBK" w:eastAsia="方正黑体_GBK" w:cs="方正黑体_GBK"/>
          <w:b w:val="0"/>
          <w:bCs/>
          <w:kern w:val="44"/>
          <w:sz w:val="32"/>
          <w:szCs w:val="32"/>
          <w:lang w:val="en-US" w:eastAsia="zh-CN" w:bidi="ar-SA"/>
        </w:rPr>
      </w:pPr>
      <w:r>
        <w:rPr>
          <w:rFonts w:hint="eastAsia" w:ascii="方正黑体_GBK" w:hAnsi="方正黑体_GBK" w:eastAsia="方正黑体_GBK" w:cs="方正黑体_GBK"/>
          <w:b w:val="0"/>
          <w:bCs/>
          <w:kern w:val="44"/>
          <w:sz w:val="32"/>
          <w:szCs w:val="32"/>
          <w:lang w:val="en-US" w:eastAsia="zh-CN" w:bidi="ar-SA"/>
        </w:rPr>
        <w:t>十、其他重要事项的情况说明</w:t>
      </w:r>
      <w:bookmarkEnd w:id="48"/>
      <w:bookmarkEnd w:id="49"/>
    </w:p>
    <w:p w14:paraId="3E700418">
      <w:pPr>
        <w:pageBreakBefore w:val="0"/>
        <w:widowControl w:val="0"/>
        <w:kinsoku/>
        <w:wordWrap/>
        <w:overflowPunct/>
        <w:topLinePunct w:val="0"/>
        <w:autoSpaceDE/>
        <w:autoSpaceDN/>
        <w:bidi w:val="0"/>
        <w:snapToGrid w:val="0"/>
        <w:spacing w:line="560" w:lineRule="exact"/>
        <w:ind w:firstLine="643" w:firstLineChars="200"/>
        <w:jc w:val="left"/>
        <w:rPr>
          <w:rFonts w:hint="eastAsia" w:ascii="Times New Roman" w:hAnsi="Times New Roman" w:eastAsia="方正楷体_GBK" w:cs="Times New Roman"/>
          <w:b/>
          <w:bCs/>
          <w:color w:val="000000"/>
          <w:kern w:val="0"/>
          <w:sz w:val="32"/>
          <w:szCs w:val="32"/>
          <w:shd w:val="clear" w:color="auto" w:fill="FFFFFF"/>
          <w:lang w:val="zh-CN" w:eastAsia="zh-CN" w:bidi="ar-SA"/>
        </w:rPr>
      </w:pPr>
      <w:bookmarkStart w:id="50" w:name="_Toc15377222"/>
      <w:r>
        <w:rPr>
          <w:rFonts w:hint="eastAsia" w:ascii="Times New Roman" w:hAnsi="Times New Roman" w:eastAsia="方正楷体_GBK" w:cs="Times New Roman"/>
          <w:b/>
          <w:bCs/>
          <w:color w:val="000000"/>
          <w:kern w:val="0"/>
          <w:sz w:val="32"/>
          <w:szCs w:val="32"/>
          <w:shd w:val="clear" w:color="auto" w:fill="FFFFFF"/>
          <w:lang w:val="zh-CN" w:eastAsia="zh-CN" w:bidi="ar-SA"/>
        </w:rPr>
        <w:t>（一）机关运行经费支出情况</w:t>
      </w:r>
      <w:bookmarkEnd w:id="50"/>
    </w:p>
    <w:p w14:paraId="273FC11E">
      <w:pPr>
        <w:spacing w:line="600" w:lineRule="exact"/>
        <w:ind w:firstLine="640"/>
        <w:rPr>
          <w:rFonts w:hint="default" w:eastAsia="仿宋_GB2312" w:cs="仿宋_GB2312"/>
          <w:sz w:val="32"/>
          <w:szCs w:val="32"/>
          <w:lang w:val="en-US"/>
        </w:rPr>
      </w:pPr>
      <w:r>
        <w:rPr>
          <w:rFonts w:hint="eastAsia" w:ascii="Times New Roman" w:hAnsi="Times New Roman" w:eastAsia="方正仿宋简体" w:cs="Times New Roman"/>
          <w:kern w:val="2"/>
          <w:sz w:val="32"/>
          <w:szCs w:val="32"/>
          <w:lang w:val="en-US" w:eastAsia="zh-CN" w:bidi="ar-SA"/>
        </w:rPr>
        <w:t>2025年度，攀枝花市民政局机关运行经费支出</w:t>
      </w:r>
      <w:r>
        <w:rPr>
          <w:rFonts w:hint="eastAsia" w:eastAsia="方正仿宋简体" w:cs="Times New Roman"/>
          <w:kern w:val="2"/>
          <w:sz w:val="32"/>
          <w:szCs w:val="32"/>
          <w:lang w:val="en-US" w:eastAsia="zh-CN" w:bidi="ar-SA"/>
        </w:rPr>
        <w:t>94.08</w:t>
      </w:r>
      <w:r>
        <w:rPr>
          <w:rFonts w:hint="eastAsia" w:ascii="Times New Roman" w:hAnsi="Times New Roman" w:eastAsia="方正仿宋简体" w:cs="Times New Roman"/>
          <w:kern w:val="2"/>
          <w:sz w:val="32"/>
          <w:szCs w:val="32"/>
          <w:lang w:val="en-US" w:eastAsia="zh-CN" w:bidi="ar-SA"/>
        </w:rPr>
        <w:t>万元，比上年度减少</w:t>
      </w:r>
      <w:r>
        <w:rPr>
          <w:rFonts w:hint="eastAsia" w:eastAsia="方正仿宋简体" w:cs="Times New Roman"/>
          <w:kern w:val="2"/>
          <w:sz w:val="32"/>
          <w:szCs w:val="32"/>
          <w:lang w:val="en-US" w:eastAsia="zh-CN" w:bidi="ar-SA"/>
        </w:rPr>
        <w:t>39.76</w:t>
      </w:r>
      <w:r>
        <w:rPr>
          <w:rFonts w:hint="eastAsia" w:ascii="Times New Roman" w:hAnsi="Times New Roman" w:eastAsia="方正仿宋简体" w:cs="Times New Roman"/>
          <w:kern w:val="2"/>
          <w:sz w:val="32"/>
          <w:szCs w:val="32"/>
          <w:lang w:val="en-US" w:eastAsia="zh-CN" w:bidi="ar-SA"/>
        </w:rPr>
        <w:t>万元，下降</w:t>
      </w:r>
      <w:r>
        <w:rPr>
          <w:rFonts w:hint="eastAsia" w:eastAsia="方正仿宋简体" w:cs="Times New Roman"/>
          <w:kern w:val="2"/>
          <w:sz w:val="32"/>
          <w:szCs w:val="32"/>
          <w:lang w:val="en-US" w:eastAsia="zh-CN" w:bidi="ar-SA"/>
        </w:rPr>
        <w:t>29.7</w:t>
      </w:r>
      <w:r>
        <w:rPr>
          <w:rFonts w:hint="eastAsia" w:ascii="Times New Roman" w:hAnsi="Times New Roman" w:eastAsia="方正仿宋简体" w:cs="Times New Roman"/>
          <w:kern w:val="2"/>
          <w:sz w:val="32"/>
          <w:szCs w:val="32"/>
          <w:lang w:val="en-US" w:eastAsia="zh-CN" w:bidi="ar-SA"/>
        </w:rPr>
        <w:t>%。主要原因是</w:t>
      </w:r>
      <w:r>
        <w:rPr>
          <w:rFonts w:hint="eastAsia" w:eastAsia="方正仿宋简体" w:cs="Times New Roman"/>
          <w:kern w:val="2"/>
          <w:sz w:val="32"/>
          <w:szCs w:val="32"/>
          <w:lang w:val="en-US" w:eastAsia="zh-CN" w:bidi="ar-SA"/>
        </w:rPr>
        <w:t>基本支出减少</w:t>
      </w:r>
      <w:r>
        <w:rPr>
          <w:rFonts w:hint="eastAsia" w:ascii="Times New Roman" w:hAnsi="Times New Roman" w:eastAsia="方正仿宋简体" w:cs="Times New Roman"/>
          <w:kern w:val="2"/>
          <w:sz w:val="32"/>
          <w:szCs w:val="32"/>
          <w:lang w:val="en-US" w:eastAsia="zh-CN" w:bidi="ar-SA"/>
        </w:rPr>
        <w:t>。</w:t>
      </w:r>
    </w:p>
    <w:p w14:paraId="7CCB38C3">
      <w:pPr>
        <w:pageBreakBefore w:val="0"/>
        <w:widowControl w:val="0"/>
        <w:kinsoku/>
        <w:wordWrap/>
        <w:overflowPunct/>
        <w:topLinePunct w:val="0"/>
        <w:autoSpaceDE/>
        <w:autoSpaceDN/>
        <w:bidi w:val="0"/>
        <w:snapToGrid w:val="0"/>
        <w:spacing w:line="560" w:lineRule="exact"/>
        <w:ind w:firstLine="643" w:firstLineChars="200"/>
        <w:jc w:val="left"/>
        <w:rPr>
          <w:rFonts w:hint="eastAsia" w:ascii="Times New Roman" w:hAnsi="Times New Roman" w:eastAsia="方正楷体_GBK" w:cs="Times New Roman"/>
          <w:b/>
          <w:bCs/>
          <w:color w:val="000000"/>
          <w:kern w:val="0"/>
          <w:sz w:val="32"/>
          <w:szCs w:val="32"/>
          <w:shd w:val="clear" w:color="auto" w:fill="FFFFFF"/>
          <w:lang w:val="zh-CN" w:eastAsia="zh-CN" w:bidi="ar-SA"/>
        </w:rPr>
      </w:pPr>
      <w:bookmarkStart w:id="51" w:name="_Toc15377223"/>
      <w:r>
        <w:rPr>
          <w:rFonts w:hint="eastAsia" w:ascii="Times New Roman" w:hAnsi="Times New Roman" w:eastAsia="方正楷体_GBK" w:cs="Times New Roman"/>
          <w:b/>
          <w:bCs/>
          <w:color w:val="000000"/>
          <w:kern w:val="0"/>
          <w:sz w:val="32"/>
          <w:szCs w:val="32"/>
          <w:shd w:val="clear" w:color="auto" w:fill="FFFFFF"/>
          <w:lang w:val="zh-CN" w:eastAsia="zh-CN" w:bidi="ar-SA"/>
        </w:rPr>
        <w:t>（二）政府采购支出情况</w:t>
      </w:r>
      <w:bookmarkEnd w:id="51"/>
    </w:p>
    <w:p w14:paraId="70F627A0">
      <w:pPr>
        <w:spacing w:line="600" w:lineRule="exact"/>
        <w:ind w:firstLine="640"/>
        <w:rPr>
          <w:rFonts w:eastAsia="仿宋_GB2312" w:cs="仿宋_GB2312"/>
          <w:sz w:val="32"/>
          <w:szCs w:val="32"/>
        </w:rPr>
      </w:pPr>
      <w:r>
        <w:rPr>
          <w:rFonts w:hint="eastAsia" w:ascii="Times New Roman" w:hAnsi="Times New Roman" w:eastAsia="方正仿宋简体" w:cs="Times New Roman"/>
          <w:kern w:val="2"/>
          <w:sz w:val="32"/>
          <w:szCs w:val="32"/>
          <w:lang w:val="en-US" w:eastAsia="zh-CN" w:bidi="ar-SA"/>
        </w:rPr>
        <w:t>2025年度，攀枝花市民政局政府采购支出总额</w:t>
      </w:r>
      <w:r>
        <w:rPr>
          <w:rFonts w:hint="eastAsia" w:eastAsia="方正仿宋简体" w:cs="Times New Roman"/>
          <w:kern w:val="2"/>
          <w:sz w:val="32"/>
          <w:szCs w:val="32"/>
          <w:lang w:val="en-US" w:eastAsia="zh-CN" w:bidi="ar-SA"/>
        </w:rPr>
        <w:t>1039.72</w:t>
      </w:r>
      <w:r>
        <w:rPr>
          <w:rFonts w:hint="eastAsia" w:ascii="Times New Roman" w:hAnsi="Times New Roman" w:eastAsia="方正仿宋简体" w:cs="Times New Roman"/>
          <w:kern w:val="2"/>
          <w:sz w:val="32"/>
          <w:szCs w:val="32"/>
          <w:lang w:val="en-US" w:eastAsia="zh-CN" w:bidi="ar-SA"/>
        </w:rPr>
        <w:t>万元，其中：政府采购货物支出</w:t>
      </w:r>
      <w:r>
        <w:rPr>
          <w:rFonts w:hint="eastAsia" w:eastAsia="方正仿宋简体" w:cs="Times New Roman"/>
          <w:kern w:val="2"/>
          <w:sz w:val="32"/>
          <w:szCs w:val="32"/>
          <w:lang w:val="en-US" w:eastAsia="zh-CN" w:bidi="ar-SA"/>
        </w:rPr>
        <w:t>344.95</w:t>
      </w:r>
      <w:r>
        <w:rPr>
          <w:rFonts w:hint="eastAsia" w:ascii="Times New Roman" w:hAnsi="Times New Roman" w:eastAsia="方正仿宋简体" w:cs="Times New Roman"/>
          <w:kern w:val="2"/>
          <w:sz w:val="32"/>
          <w:szCs w:val="32"/>
          <w:lang w:val="en-US" w:eastAsia="zh-CN" w:bidi="ar-SA"/>
        </w:rPr>
        <w:t>万元、政府采购工程支出</w:t>
      </w:r>
      <w:r>
        <w:rPr>
          <w:rFonts w:hint="eastAsia" w:eastAsia="方正仿宋简体" w:cs="Times New Roman"/>
          <w:kern w:val="2"/>
          <w:sz w:val="32"/>
          <w:szCs w:val="32"/>
          <w:lang w:val="en-US" w:eastAsia="zh-CN" w:bidi="ar-SA"/>
        </w:rPr>
        <w:t>404.77</w:t>
      </w:r>
      <w:r>
        <w:rPr>
          <w:rFonts w:hint="eastAsia" w:ascii="Times New Roman" w:hAnsi="Times New Roman" w:eastAsia="方正仿宋简体" w:cs="Times New Roman"/>
          <w:kern w:val="2"/>
          <w:sz w:val="32"/>
          <w:szCs w:val="32"/>
          <w:lang w:val="en-US" w:eastAsia="zh-CN" w:bidi="ar-SA"/>
        </w:rPr>
        <w:t>万元、政府采购服务支出</w:t>
      </w:r>
      <w:r>
        <w:rPr>
          <w:rFonts w:hint="eastAsia" w:eastAsia="方正仿宋简体" w:cs="Times New Roman"/>
          <w:kern w:val="2"/>
          <w:sz w:val="32"/>
          <w:szCs w:val="32"/>
          <w:lang w:val="en-US" w:eastAsia="zh-CN" w:bidi="ar-SA"/>
        </w:rPr>
        <w:t>290.01</w:t>
      </w:r>
      <w:r>
        <w:rPr>
          <w:rFonts w:hint="eastAsia" w:ascii="Times New Roman" w:hAnsi="Times New Roman" w:eastAsia="方正仿宋简体" w:cs="Times New Roman"/>
          <w:kern w:val="2"/>
          <w:sz w:val="32"/>
          <w:szCs w:val="32"/>
          <w:lang w:val="en-US" w:eastAsia="zh-CN" w:bidi="ar-SA"/>
        </w:rPr>
        <w:t>万元。主要用于</w:t>
      </w:r>
      <w:r>
        <w:rPr>
          <w:rFonts w:hint="eastAsia" w:ascii="Times New Roman" w:hAnsi="Times New Roman" w:eastAsia="方正仿宋简体" w:cs="Times New Roman"/>
          <w:kern w:val="2"/>
          <w:sz w:val="32"/>
          <w:szCs w:val="32"/>
          <w:highlight w:val="none"/>
          <w:lang w:val="en-US" w:eastAsia="zh-CN" w:bidi="ar-SA"/>
        </w:rPr>
        <w:t>公务车维</w:t>
      </w:r>
      <w:r>
        <w:rPr>
          <w:rFonts w:hint="eastAsia" w:ascii="Times New Roman" w:hAnsi="Times New Roman" w:eastAsia="方正仿宋简体" w:cs="Times New Roman"/>
          <w:kern w:val="2"/>
          <w:sz w:val="32"/>
          <w:szCs w:val="32"/>
          <w:lang w:val="en-US" w:eastAsia="zh-CN" w:bidi="ar-SA"/>
        </w:rPr>
        <w:t>修和油料费、公车财产保险、火化棺、办公设备</w:t>
      </w:r>
      <w:r>
        <w:rPr>
          <w:rFonts w:hint="eastAsia" w:eastAsia="方正仿宋简体" w:cs="Times New Roman"/>
          <w:kern w:val="2"/>
          <w:sz w:val="32"/>
          <w:szCs w:val="32"/>
          <w:lang w:val="en-US" w:eastAsia="zh-CN" w:bidi="ar-SA"/>
        </w:rPr>
        <w:t>、</w:t>
      </w:r>
      <w:r>
        <w:rPr>
          <w:rFonts w:hint="eastAsia" w:ascii="Times New Roman" w:hAnsi="Times New Roman" w:eastAsia="方正仿宋简体" w:cs="Times New Roman"/>
          <w:kern w:val="2"/>
          <w:sz w:val="32"/>
          <w:szCs w:val="32"/>
          <w:lang w:val="en-US" w:eastAsia="zh-CN" w:bidi="ar-SA"/>
        </w:rPr>
        <w:t>孤弃儿童后勤保障服务、食堂食材等采购支出。授予中小企业合同金额</w:t>
      </w:r>
      <w:r>
        <w:rPr>
          <w:rFonts w:hint="eastAsia" w:eastAsia="方正仿宋简体" w:cs="Times New Roman"/>
          <w:kern w:val="2"/>
          <w:sz w:val="32"/>
          <w:szCs w:val="32"/>
          <w:lang w:val="en-US" w:eastAsia="zh-CN" w:bidi="ar-SA"/>
        </w:rPr>
        <w:t>1038.03</w:t>
      </w:r>
      <w:r>
        <w:rPr>
          <w:rFonts w:hint="eastAsia" w:ascii="Times New Roman" w:hAnsi="Times New Roman" w:eastAsia="方正仿宋简体" w:cs="Times New Roman"/>
          <w:kern w:val="2"/>
          <w:sz w:val="32"/>
          <w:szCs w:val="32"/>
          <w:lang w:val="en-US" w:eastAsia="zh-CN" w:bidi="ar-SA"/>
        </w:rPr>
        <w:t>万元，占政府采购支出总额的</w:t>
      </w:r>
      <w:r>
        <w:rPr>
          <w:rFonts w:hint="eastAsia" w:eastAsia="方正仿宋简体" w:cs="Times New Roman"/>
          <w:kern w:val="2"/>
          <w:sz w:val="32"/>
          <w:szCs w:val="32"/>
          <w:lang w:val="en-US" w:eastAsia="zh-CN" w:bidi="ar-SA"/>
        </w:rPr>
        <w:t>99.8</w:t>
      </w:r>
      <w:r>
        <w:rPr>
          <w:rFonts w:hint="eastAsia" w:ascii="Times New Roman" w:hAnsi="Times New Roman" w:eastAsia="方正仿宋简体" w:cs="Times New Roman"/>
          <w:kern w:val="2"/>
          <w:sz w:val="32"/>
          <w:szCs w:val="32"/>
          <w:lang w:val="en-US" w:eastAsia="zh-CN" w:bidi="ar-SA"/>
        </w:rPr>
        <w:t>%，其中：授予小微企业合同金额</w:t>
      </w:r>
      <w:r>
        <w:rPr>
          <w:rFonts w:hint="eastAsia" w:eastAsia="方正仿宋简体" w:cs="Times New Roman"/>
          <w:kern w:val="2"/>
          <w:sz w:val="32"/>
          <w:szCs w:val="32"/>
          <w:lang w:val="en-US" w:eastAsia="zh-CN" w:bidi="ar-SA"/>
        </w:rPr>
        <w:t>943.93</w:t>
      </w:r>
      <w:r>
        <w:rPr>
          <w:rFonts w:hint="eastAsia" w:ascii="Times New Roman" w:hAnsi="Times New Roman" w:eastAsia="方正仿宋简体" w:cs="Times New Roman"/>
          <w:kern w:val="2"/>
          <w:sz w:val="32"/>
          <w:szCs w:val="32"/>
          <w:lang w:val="en-US" w:eastAsia="zh-CN" w:bidi="ar-SA"/>
        </w:rPr>
        <w:t>万元，占政府采购支出总额的</w:t>
      </w:r>
      <w:r>
        <w:rPr>
          <w:rFonts w:hint="eastAsia" w:eastAsia="方正仿宋简体" w:cs="Times New Roman"/>
          <w:kern w:val="2"/>
          <w:sz w:val="32"/>
          <w:szCs w:val="32"/>
          <w:lang w:val="en-US" w:eastAsia="zh-CN" w:bidi="ar-SA"/>
        </w:rPr>
        <w:t>90.8</w:t>
      </w:r>
      <w:r>
        <w:rPr>
          <w:rFonts w:hint="eastAsia" w:ascii="Times New Roman" w:hAnsi="Times New Roman" w:eastAsia="方正仿宋简体" w:cs="Times New Roman"/>
          <w:kern w:val="2"/>
          <w:sz w:val="32"/>
          <w:szCs w:val="32"/>
          <w:lang w:val="en-US" w:eastAsia="zh-CN" w:bidi="ar-SA"/>
        </w:rPr>
        <w:t>%。</w:t>
      </w:r>
    </w:p>
    <w:p w14:paraId="4FA2CF51">
      <w:pPr>
        <w:pageBreakBefore w:val="0"/>
        <w:widowControl w:val="0"/>
        <w:kinsoku/>
        <w:wordWrap/>
        <w:overflowPunct/>
        <w:topLinePunct w:val="0"/>
        <w:autoSpaceDE/>
        <w:autoSpaceDN/>
        <w:bidi w:val="0"/>
        <w:snapToGrid w:val="0"/>
        <w:spacing w:line="560" w:lineRule="exact"/>
        <w:ind w:firstLine="643" w:firstLineChars="200"/>
        <w:jc w:val="left"/>
        <w:rPr>
          <w:rFonts w:hint="eastAsia" w:ascii="Times New Roman" w:hAnsi="Times New Roman" w:eastAsia="方正楷体_GBK" w:cs="Times New Roman"/>
          <w:b/>
          <w:bCs/>
          <w:color w:val="000000"/>
          <w:kern w:val="0"/>
          <w:sz w:val="32"/>
          <w:szCs w:val="32"/>
          <w:shd w:val="clear" w:color="auto" w:fill="FFFFFF"/>
          <w:lang w:val="zh-CN" w:eastAsia="zh-CN" w:bidi="ar-SA"/>
        </w:rPr>
      </w:pPr>
      <w:bookmarkStart w:id="52" w:name="_Toc15377224"/>
      <w:r>
        <w:rPr>
          <w:rFonts w:hint="eastAsia" w:ascii="Times New Roman" w:hAnsi="Times New Roman" w:eastAsia="方正楷体_GBK" w:cs="Times New Roman"/>
          <w:b/>
          <w:bCs/>
          <w:color w:val="000000"/>
          <w:kern w:val="0"/>
          <w:sz w:val="32"/>
          <w:szCs w:val="32"/>
          <w:shd w:val="clear" w:color="auto" w:fill="FFFFFF"/>
          <w:lang w:val="zh-CN" w:eastAsia="zh-CN" w:bidi="ar-SA"/>
        </w:rPr>
        <w:t>（三）国有资产占有使用情况</w:t>
      </w:r>
      <w:bookmarkEnd w:id="52"/>
    </w:p>
    <w:p w14:paraId="36139C51">
      <w:pPr>
        <w:pageBreakBefore w:val="0"/>
        <w:kinsoku/>
        <w:wordWrap/>
        <w:overflowPunct/>
        <w:topLinePunct w:val="0"/>
        <w:bidi w:val="0"/>
        <w:spacing w:line="600" w:lineRule="exact"/>
        <w:ind w:firstLine="640"/>
        <w:jc w:val="left"/>
        <w:rPr>
          <w:rFonts w:eastAsia="仿宋_GB2312" w:cs="仿宋_GB2312"/>
          <w:sz w:val="32"/>
          <w:szCs w:val="32"/>
        </w:rPr>
      </w:pPr>
      <w:r>
        <w:rPr>
          <w:rFonts w:hint="eastAsia" w:ascii="Times New Roman" w:hAnsi="Times New Roman" w:eastAsia="方正仿宋简体" w:cs="Times New Roman"/>
          <w:kern w:val="2"/>
          <w:sz w:val="32"/>
          <w:szCs w:val="32"/>
          <w:lang w:val="en-US" w:eastAsia="zh-CN" w:bidi="ar-SA"/>
        </w:rPr>
        <w:t>截至202</w:t>
      </w:r>
      <w:r>
        <w:rPr>
          <w:rFonts w:hint="eastAsia" w:eastAsia="方正仿宋简体" w:cs="Times New Roman"/>
          <w:kern w:val="2"/>
          <w:sz w:val="32"/>
          <w:szCs w:val="32"/>
          <w:lang w:val="en-US" w:eastAsia="zh-CN" w:bidi="ar-SA"/>
        </w:rPr>
        <w:t>5</w:t>
      </w:r>
      <w:r>
        <w:rPr>
          <w:rFonts w:hint="eastAsia" w:ascii="Times New Roman" w:hAnsi="Times New Roman" w:eastAsia="方正仿宋简体" w:cs="Times New Roman"/>
          <w:kern w:val="2"/>
          <w:sz w:val="32"/>
          <w:szCs w:val="32"/>
          <w:lang w:val="en-US" w:eastAsia="zh-CN" w:bidi="ar-SA"/>
        </w:rPr>
        <w:t>年12月31日，攀枝花市民政局共有车辆17辆，其中：主要负责人用车0辆、机要通信用车0辆、应急保障用车</w:t>
      </w:r>
      <w:r>
        <w:rPr>
          <w:rFonts w:hint="eastAsia" w:eastAsia="方正仿宋简体" w:cs="Times New Roman"/>
          <w:kern w:val="2"/>
          <w:sz w:val="32"/>
          <w:szCs w:val="32"/>
          <w:lang w:val="en-US" w:eastAsia="zh-CN" w:bidi="ar-SA"/>
        </w:rPr>
        <w:t>0</w:t>
      </w:r>
      <w:r>
        <w:rPr>
          <w:rFonts w:hint="eastAsia" w:ascii="Times New Roman" w:hAnsi="Times New Roman" w:eastAsia="方正仿宋简体" w:cs="Times New Roman"/>
          <w:kern w:val="2"/>
          <w:sz w:val="32"/>
          <w:szCs w:val="32"/>
          <w:lang w:val="en-US" w:eastAsia="zh-CN" w:bidi="ar-SA"/>
        </w:rPr>
        <w:t>辆、其他用车</w:t>
      </w:r>
      <w:r>
        <w:rPr>
          <w:rFonts w:hint="eastAsia" w:eastAsia="方正仿宋简体" w:cs="Times New Roman"/>
          <w:kern w:val="2"/>
          <w:sz w:val="32"/>
          <w:szCs w:val="32"/>
          <w:lang w:val="en-US" w:eastAsia="zh-CN" w:bidi="ar-SA"/>
        </w:rPr>
        <w:t>17</w:t>
      </w:r>
      <w:r>
        <w:rPr>
          <w:rFonts w:hint="eastAsia" w:ascii="Times New Roman" w:hAnsi="Times New Roman" w:eastAsia="方正仿宋简体" w:cs="Times New Roman"/>
          <w:kern w:val="2"/>
          <w:sz w:val="32"/>
          <w:szCs w:val="32"/>
          <w:lang w:val="en-US" w:eastAsia="zh-CN" w:bidi="ar-SA"/>
        </w:rPr>
        <w:t>辆，主要用于保障业务工作需要支出。单价100万元（含）以上设备（不含车辆）0台（套）。</w:t>
      </w:r>
    </w:p>
    <w:p w14:paraId="5E237C73">
      <w:pPr>
        <w:pageBreakBefore w:val="0"/>
        <w:widowControl w:val="0"/>
        <w:kinsoku/>
        <w:wordWrap/>
        <w:overflowPunct/>
        <w:topLinePunct w:val="0"/>
        <w:autoSpaceDE/>
        <w:autoSpaceDN/>
        <w:bidi w:val="0"/>
        <w:snapToGrid w:val="0"/>
        <w:spacing w:line="560" w:lineRule="exact"/>
        <w:ind w:firstLine="643" w:firstLineChars="200"/>
        <w:jc w:val="left"/>
        <w:rPr>
          <w:rFonts w:hint="eastAsia" w:ascii="Times New Roman" w:hAnsi="Times New Roman" w:eastAsia="方正楷体_GBK" w:cs="Times New Roman"/>
          <w:b/>
          <w:bCs/>
          <w:color w:val="000000"/>
          <w:kern w:val="0"/>
          <w:sz w:val="32"/>
          <w:szCs w:val="32"/>
          <w:shd w:val="clear" w:color="auto" w:fill="FFFFFF"/>
          <w:lang w:val="zh-CN" w:eastAsia="zh-CN" w:bidi="ar-SA"/>
        </w:rPr>
      </w:pPr>
      <w:r>
        <w:rPr>
          <w:rFonts w:hint="eastAsia" w:ascii="Times New Roman" w:hAnsi="Times New Roman" w:eastAsia="方正楷体_GBK" w:cs="Times New Roman"/>
          <w:b/>
          <w:bCs/>
          <w:color w:val="000000"/>
          <w:kern w:val="0"/>
          <w:sz w:val="32"/>
          <w:szCs w:val="32"/>
          <w:shd w:val="clear" w:color="auto" w:fill="FFFFFF"/>
          <w:lang w:val="zh-CN" w:eastAsia="zh-CN" w:bidi="ar-SA"/>
        </w:rPr>
        <w:t>（四）预算绩效管理情况</w:t>
      </w:r>
    </w:p>
    <w:p w14:paraId="78FDA29F">
      <w:pPr>
        <w:pageBreakBefore w:val="0"/>
        <w:kinsoku/>
        <w:wordWrap/>
        <w:overflowPunct/>
        <w:topLinePunct w:val="0"/>
        <w:bidi w:val="0"/>
        <w:spacing w:line="600" w:lineRule="exact"/>
        <w:ind w:firstLine="640"/>
        <w:jc w:val="left"/>
        <w:rPr>
          <w:rFonts w:hint="eastAsia" w:ascii="Times New Roman" w:hAnsi="Times New Roman" w:eastAsia="方正仿宋简体" w:cs="Times New Roman"/>
          <w:kern w:val="2"/>
          <w:sz w:val="32"/>
          <w:szCs w:val="32"/>
          <w:highlight w:val="none"/>
          <w:lang w:val="en-US" w:eastAsia="zh-CN" w:bidi="ar-SA"/>
        </w:rPr>
      </w:pPr>
      <w:r>
        <w:rPr>
          <w:rFonts w:hint="eastAsia" w:ascii="Times New Roman" w:hAnsi="Times New Roman" w:eastAsia="方正仿宋简体" w:cs="Times New Roman"/>
          <w:kern w:val="2"/>
          <w:sz w:val="32"/>
          <w:szCs w:val="32"/>
          <w:lang w:val="en-US" w:eastAsia="zh-CN" w:bidi="ar-SA"/>
        </w:rPr>
        <w:t>根据预算绩效管理要求，</w:t>
      </w:r>
      <w:r>
        <w:rPr>
          <w:rFonts w:hint="eastAsia" w:eastAsia="方正仿宋简体" w:cs="Times New Roman"/>
          <w:kern w:val="2"/>
          <w:sz w:val="32"/>
          <w:szCs w:val="32"/>
          <w:lang w:val="en-US" w:eastAsia="zh-CN" w:bidi="ar-SA"/>
        </w:rPr>
        <w:t>攀枝花</w:t>
      </w:r>
      <w:r>
        <w:rPr>
          <w:rFonts w:hint="eastAsia" w:ascii="Times New Roman" w:hAnsi="Times New Roman" w:eastAsia="方正仿宋简体" w:cs="Times New Roman"/>
          <w:kern w:val="2"/>
          <w:sz w:val="32"/>
          <w:szCs w:val="32"/>
          <w:lang w:val="en-US" w:eastAsia="zh-CN" w:bidi="ar-SA"/>
        </w:rPr>
        <w:t>市民政局在2025年度，组织会理康复院</w:t>
      </w:r>
      <w:r>
        <w:rPr>
          <w:rFonts w:hint="eastAsia" w:eastAsia="方正仿宋简体" w:cs="Times New Roman"/>
          <w:kern w:val="2"/>
          <w:sz w:val="32"/>
          <w:szCs w:val="32"/>
          <w:lang w:val="en-US" w:eastAsia="zh-CN" w:bidi="ar-SA"/>
        </w:rPr>
        <w:t>麻风</w:t>
      </w:r>
      <w:r>
        <w:rPr>
          <w:rFonts w:hint="eastAsia" w:ascii="Times New Roman" w:hAnsi="Times New Roman" w:eastAsia="方正仿宋简体" w:cs="Times New Roman"/>
          <w:kern w:val="2"/>
          <w:sz w:val="32"/>
          <w:szCs w:val="32"/>
          <w:lang w:val="en-US" w:eastAsia="zh-CN" w:bidi="ar-SA"/>
        </w:rPr>
        <w:t>病人生活补助、202</w:t>
      </w:r>
      <w:r>
        <w:rPr>
          <w:rFonts w:hint="eastAsia" w:eastAsia="方正仿宋简体" w:cs="Times New Roman"/>
          <w:kern w:val="2"/>
          <w:sz w:val="32"/>
          <w:szCs w:val="32"/>
          <w:lang w:val="en-US" w:eastAsia="zh-CN" w:bidi="ar-SA"/>
        </w:rPr>
        <w:t>5</w:t>
      </w:r>
      <w:r>
        <w:rPr>
          <w:rFonts w:hint="eastAsia" w:ascii="Times New Roman" w:hAnsi="Times New Roman" w:eastAsia="方正仿宋简体" w:cs="Times New Roman"/>
          <w:kern w:val="2"/>
          <w:sz w:val="32"/>
          <w:szCs w:val="32"/>
          <w:lang w:val="en-US" w:eastAsia="zh-CN" w:bidi="ar-SA"/>
        </w:rPr>
        <w:t>年走访慰问和困难群众临时生活补助</w:t>
      </w:r>
      <w:r>
        <w:rPr>
          <w:rFonts w:hint="eastAsia" w:ascii="Times New Roman" w:hAnsi="Times New Roman" w:eastAsia="方正仿宋简体" w:cs="Times New Roman"/>
          <w:kern w:val="2"/>
          <w:sz w:val="32"/>
          <w:szCs w:val="32"/>
          <w:highlight w:val="none"/>
          <w:lang w:val="en-US" w:eastAsia="zh-CN" w:bidi="ar-SA"/>
        </w:rPr>
        <w:t>、慈善福利事业发展经费、</w:t>
      </w:r>
      <w:r>
        <w:rPr>
          <w:rFonts w:hint="default" w:ascii="Times New Roman" w:hAnsi="Times New Roman" w:eastAsia="方正仿宋_GBK" w:cs="Times New Roman"/>
          <w:bCs/>
          <w:color w:val="000000"/>
          <w:kern w:val="2"/>
          <w:sz w:val="32"/>
          <w:szCs w:val="32"/>
          <w:highlight w:val="none"/>
          <w:lang w:val="en-US" w:eastAsia="zh-CN" w:bidi="ar-SA"/>
        </w:rPr>
        <w:t>城市特困人员支出</w:t>
      </w:r>
      <w:r>
        <w:rPr>
          <w:rFonts w:hint="eastAsia" w:eastAsia="方正仿宋_GBK" w:cs="Times New Roman"/>
          <w:bCs/>
          <w:color w:val="000000"/>
          <w:kern w:val="2"/>
          <w:sz w:val="32"/>
          <w:szCs w:val="32"/>
          <w:highlight w:val="none"/>
          <w:lang w:val="en-US" w:eastAsia="zh-CN" w:bidi="ar-SA"/>
        </w:rPr>
        <w:t>、</w:t>
      </w:r>
      <w:r>
        <w:rPr>
          <w:rFonts w:hint="default" w:ascii="Times New Roman" w:hAnsi="Times New Roman" w:eastAsia="方正仿宋_GBK" w:cs="Times New Roman"/>
          <w:bCs/>
          <w:color w:val="000000"/>
          <w:kern w:val="2"/>
          <w:sz w:val="32"/>
          <w:szCs w:val="32"/>
          <w:highlight w:val="none"/>
          <w:lang w:val="en-US" w:eastAsia="zh-CN" w:bidi="ar-SA"/>
        </w:rPr>
        <w:t>戒毒代养人员支出</w:t>
      </w:r>
      <w:r>
        <w:rPr>
          <w:rFonts w:hint="eastAsia" w:eastAsia="方正仿宋_GBK" w:cs="Times New Roman"/>
          <w:bCs/>
          <w:color w:val="000000"/>
          <w:kern w:val="2"/>
          <w:sz w:val="32"/>
          <w:szCs w:val="32"/>
          <w:highlight w:val="none"/>
          <w:lang w:val="en-US" w:eastAsia="zh-CN" w:bidi="ar-SA"/>
        </w:rPr>
        <w:t>、</w:t>
      </w:r>
      <w:r>
        <w:rPr>
          <w:rFonts w:hint="default" w:ascii="Times New Roman" w:hAnsi="Times New Roman" w:eastAsia="方正仿宋_GBK" w:cs="Times New Roman"/>
          <w:bCs/>
          <w:color w:val="000000"/>
          <w:kern w:val="2"/>
          <w:sz w:val="32"/>
          <w:szCs w:val="32"/>
          <w:highlight w:val="none"/>
          <w:lang w:val="en-US" w:eastAsia="zh-CN" w:bidi="ar-SA"/>
        </w:rPr>
        <w:t>自费代养人员支出</w:t>
      </w:r>
      <w:r>
        <w:rPr>
          <w:rFonts w:hint="eastAsia" w:eastAsia="方正仿宋_GBK" w:cs="Times New Roman"/>
          <w:bCs/>
          <w:color w:val="000000"/>
          <w:kern w:val="2"/>
          <w:sz w:val="32"/>
          <w:szCs w:val="32"/>
          <w:highlight w:val="none"/>
          <w:lang w:val="en-US" w:eastAsia="zh-CN" w:bidi="ar-SA"/>
        </w:rPr>
        <w:t>、</w:t>
      </w:r>
      <w:r>
        <w:rPr>
          <w:rFonts w:ascii="Times New Roman" w:hAnsi="Times New Roman" w:eastAsia="方正仿宋简体"/>
          <w:color w:val="auto"/>
          <w:sz w:val="32"/>
          <w:szCs w:val="32"/>
          <w:highlight w:val="none"/>
        </w:rPr>
        <w:t>殡葬业务运行费</w:t>
      </w:r>
      <w:r>
        <w:rPr>
          <w:rFonts w:hint="eastAsia" w:ascii="Times New Roman" w:hAnsi="Times New Roman" w:eastAsia="方正仿宋简体"/>
          <w:color w:val="auto"/>
          <w:sz w:val="32"/>
          <w:szCs w:val="32"/>
          <w:highlight w:val="none"/>
          <w:lang w:eastAsia="zh-CN"/>
        </w:rPr>
        <w:t>、</w:t>
      </w:r>
      <w:r>
        <w:rPr>
          <w:rFonts w:hint="default" w:ascii="Times New Roman" w:hAnsi="Times New Roman" w:eastAsia="方正仿宋_GBK" w:cs="Times New Roman"/>
          <w:sz w:val="32"/>
          <w:szCs w:val="32"/>
        </w:rPr>
        <w:t>火化炉环保改造</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kern w:val="2"/>
          <w:sz w:val="32"/>
          <w:szCs w:val="32"/>
          <w:highlight w:val="none"/>
          <w:lang w:val="en-US" w:eastAsia="zh-CN" w:bidi="ar-SA"/>
        </w:rPr>
        <w:t>流浪乞讨人员救助（省级）项目、救助专项经费项目、市救助站安全隐患整改及设施设备维护维修项目</w:t>
      </w:r>
      <w:r>
        <w:rPr>
          <w:rFonts w:hint="eastAsia" w:eastAsia="方正仿宋_GBK" w:cs="Times New Roman"/>
          <w:kern w:val="2"/>
          <w:sz w:val="32"/>
          <w:szCs w:val="32"/>
          <w:highlight w:val="none"/>
          <w:lang w:val="en-US" w:eastAsia="zh-CN" w:bidi="ar-SA"/>
        </w:rPr>
        <w:t>、孤儿收养费、特殊儿童群体基本生活保障、儿童福利专项支出、孤弃儿童后勤保障服务</w:t>
      </w:r>
      <w:r>
        <w:rPr>
          <w:rFonts w:hint="eastAsia" w:ascii="Times New Roman" w:hAnsi="Times New Roman" w:eastAsia="方正仿宋简体" w:cs="Times New Roman"/>
          <w:kern w:val="2"/>
          <w:sz w:val="32"/>
          <w:szCs w:val="32"/>
          <w:highlight w:val="none"/>
          <w:lang w:val="en-US" w:eastAsia="zh-CN" w:bidi="ar-SA"/>
        </w:rPr>
        <w:t>等</w:t>
      </w:r>
      <w:r>
        <w:rPr>
          <w:rFonts w:hint="eastAsia" w:eastAsia="方正仿宋简体" w:cs="Times New Roman"/>
          <w:kern w:val="2"/>
          <w:sz w:val="32"/>
          <w:szCs w:val="32"/>
          <w:highlight w:val="none"/>
          <w:lang w:val="en-US" w:eastAsia="zh-CN" w:bidi="ar-SA"/>
        </w:rPr>
        <w:t>44</w:t>
      </w:r>
      <w:r>
        <w:rPr>
          <w:rFonts w:hint="eastAsia" w:ascii="Times New Roman" w:hAnsi="Times New Roman" w:eastAsia="方正仿宋简体" w:cs="Times New Roman"/>
          <w:kern w:val="2"/>
          <w:sz w:val="32"/>
          <w:szCs w:val="32"/>
          <w:highlight w:val="none"/>
          <w:lang w:val="en-US" w:eastAsia="zh-CN" w:bidi="ar-SA"/>
        </w:rPr>
        <w:t>个项目</w:t>
      </w:r>
      <w:r>
        <w:rPr>
          <w:rFonts w:hint="eastAsia" w:eastAsia="方正仿宋简体" w:cs="Times New Roman"/>
          <w:kern w:val="2"/>
          <w:sz w:val="32"/>
          <w:szCs w:val="32"/>
          <w:highlight w:val="none"/>
          <w:lang w:val="en-US" w:eastAsia="zh-CN" w:bidi="ar-SA"/>
        </w:rPr>
        <w:t>涉及金额1483.58万元，</w:t>
      </w:r>
      <w:r>
        <w:rPr>
          <w:rFonts w:hint="eastAsia" w:ascii="Times New Roman" w:hAnsi="Times New Roman" w:eastAsia="方正仿宋简体" w:cs="Times New Roman"/>
          <w:kern w:val="2"/>
          <w:sz w:val="32"/>
          <w:szCs w:val="32"/>
          <w:highlight w:val="none"/>
          <w:lang w:val="en-US" w:eastAsia="zh-CN" w:bidi="ar-SA"/>
        </w:rPr>
        <w:t>开展了预算事前绩效评估，对</w:t>
      </w:r>
      <w:r>
        <w:rPr>
          <w:rFonts w:hint="eastAsia" w:eastAsia="方正仿宋简体" w:cs="Times New Roman"/>
          <w:kern w:val="2"/>
          <w:sz w:val="32"/>
          <w:szCs w:val="32"/>
          <w:highlight w:val="none"/>
          <w:lang w:val="en-US" w:eastAsia="zh-CN" w:bidi="ar-SA"/>
        </w:rPr>
        <w:t>45</w:t>
      </w:r>
      <w:r>
        <w:rPr>
          <w:rFonts w:hint="eastAsia" w:ascii="Times New Roman" w:hAnsi="Times New Roman" w:eastAsia="方正仿宋简体" w:cs="Times New Roman"/>
          <w:kern w:val="2"/>
          <w:sz w:val="32"/>
          <w:szCs w:val="32"/>
          <w:highlight w:val="none"/>
          <w:lang w:val="en-US" w:eastAsia="zh-CN" w:bidi="ar-SA"/>
        </w:rPr>
        <w:t>个项目编制了绩效目标，</w:t>
      </w:r>
      <w:r>
        <w:rPr>
          <w:rFonts w:hint="eastAsia" w:eastAsia="方正仿宋简体" w:cs="Times New Roman"/>
          <w:kern w:val="2"/>
          <w:sz w:val="32"/>
          <w:szCs w:val="32"/>
          <w:highlight w:val="none"/>
          <w:lang w:val="en-US" w:eastAsia="zh-CN" w:bidi="ar-SA"/>
        </w:rPr>
        <w:t>在</w:t>
      </w:r>
      <w:r>
        <w:rPr>
          <w:rFonts w:hint="eastAsia" w:ascii="Times New Roman" w:hAnsi="Times New Roman" w:eastAsia="方正仿宋简体" w:cs="Times New Roman"/>
          <w:kern w:val="2"/>
          <w:sz w:val="32"/>
          <w:szCs w:val="32"/>
          <w:highlight w:val="none"/>
          <w:lang w:val="en-US" w:eastAsia="zh-CN" w:bidi="ar-SA"/>
        </w:rPr>
        <w:t>预算执行过程中，选取</w:t>
      </w:r>
      <w:r>
        <w:rPr>
          <w:rFonts w:hint="eastAsia" w:eastAsia="方正仿宋简体" w:cs="Times New Roman"/>
          <w:kern w:val="2"/>
          <w:sz w:val="32"/>
          <w:szCs w:val="32"/>
          <w:highlight w:val="none"/>
          <w:lang w:val="en-US" w:eastAsia="zh-CN" w:bidi="ar-SA"/>
        </w:rPr>
        <w:t>45</w:t>
      </w:r>
      <w:r>
        <w:rPr>
          <w:rFonts w:hint="eastAsia" w:ascii="Times New Roman" w:hAnsi="Times New Roman" w:eastAsia="方正仿宋简体" w:cs="Times New Roman"/>
          <w:kern w:val="2"/>
          <w:sz w:val="32"/>
          <w:szCs w:val="32"/>
          <w:highlight w:val="none"/>
          <w:lang w:val="en-US" w:eastAsia="zh-CN" w:bidi="ar-SA"/>
        </w:rPr>
        <w:t>个项目开展绩效监控。</w:t>
      </w:r>
    </w:p>
    <w:p w14:paraId="41BBF06F">
      <w:pPr>
        <w:pageBreakBefore w:val="0"/>
        <w:widowControl w:val="0"/>
        <w:kinsoku/>
        <w:wordWrap/>
        <w:overflowPunct/>
        <w:topLinePunct w:val="0"/>
        <w:autoSpaceDE/>
        <w:autoSpaceDN/>
        <w:bidi w:val="0"/>
        <w:snapToGrid w:val="0"/>
        <w:spacing w:line="560" w:lineRule="exact"/>
        <w:ind w:firstLine="640" w:firstLineChars="200"/>
        <w:jc w:val="left"/>
        <w:rPr>
          <w:rFonts w:hint="default" w:ascii="Times New Roman" w:hAnsi="Times New Roman" w:eastAsia="方正仿宋_GBK" w:cs="Times New Roman"/>
          <w:kern w:val="2"/>
          <w:position w:val="0"/>
          <w:sz w:val="32"/>
          <w:szCs w:val="32"/>
          <w:lang w:val="en-US" w:eastAsia="zh-CN" w:bidi="ar-SA"/>
        </w:rPr>
      </w:pPr>
      <w:r>
        <w:rPr>
          <w:rFonts w:hint="eastAsia" w:ascii="Times New Roman" w:hAnsi="Times New Roman" w:eastAsia="方正仿宋简体" w:cs="Times New Roman"/>
          <w:kern w:val="2"/>
          <w:sz w:val="32"/>
          <w:szCs w:val="32"/>
          <w:lang w:val="en-US" w:eastAsia="zh-CN" w:bidi="ar-SA"/>
        </w:rPr>
        <w:t>组织对2025年度一般公共预算、政府性基金预算全面开展绩效自评，形成</w:t>
      </w:r>
      <w:r>
        <w:rPr>
          <w:rFonts w:hint="eastAsia" w:eastAsia="方正仿宋简体" w:cs="Times New Roman"/>
          <w:kern w:val="2"/>
          <w:sz w:val="32"/>
          <w:szCs w:val="32"/>
          <w:lang w:val="en-US" w:eastAsia="zh-CN" w:bidi="ar-SA"/>
        </w:rPr>
        <w:t>攀枝花市民政局</w:t>
      </w:r>
      <w:r>
        <w:rPr>
          <w:rFonts w:hint="eastAsia" w:ascii="Times New Roman" w:hAnsi="Times New Roman" w:eastAsia="方正仿宋简体" w:cs="Times New Roman"/>
          <w:kern w:val="2"/>
          <w:sz w:val="32"/>
          <w:szCs w:val="32"/>
          <w:lang w:val="en-US" w:eastAsia="zh-CN" w:bidi="ar-SA"/>
        </w:rPr>
        <w:t>部门预算（含部门预算项目）绩效自评报告</w:t>
      </w:r>
      <w:r>
        <w:rPr>
          <w:rFonts w:hint="eastAsia" w:ascii="Times New Roman" w:hAnsi="Times New Roman" w:eastAsia="方正仿宋_GBK" w:cs="Times New Roman"/>
          <w:kern w:val="2"/>
          <w:sz w:val="32"/>
          <w:szCs w:val="32"/>
          <w:highlight w:val="none"/>
          <w:lang w:val="en-US" w:eastAsia="zh-CN" w:bidi="ar-SA"/>
        </w:rPr>
        <w:t>《攀枝花市民政局关于2025年社会救助救济补助资金专项绩效自评情况的报告》《攀枝花市民政局关于2025年养老服务发展补助资金专项绩效自评情况的报告》《攀枝花市民政局关于2025年民政事业补助资金专项绩效自评情况的报告》《攀枝花市民政局2025年市级福利彩票公益金专项预算项目绩效自评报告》</w:t>
      </w:r>
      <w:r>
        <w:rPr>
          <w:rFonts w:hint="eastAsia" w:eastAsia="方正仿宋_GBK" w:cs="Times New Roman"/>
          <w:kern w:val="2"/>
          <w:sz w:val="32"/>
          <w:szCs w:val="32"/>
          <w:highlight w:val="none"/>
          <w:lang w:val="en-US" w:eastAsia="zh-CN" w:bidi="ar-SA"/>
        </w:rPr>
        <w:t>（已在民政局网站公示，在此不再公示）</w:t>
      </w:r>
      <w:r>
        <w:rPr>
          <w:rFonts w:hint="eastAsia" w:ascii="Times New Roman" w:hAnsi="Times New Roman" w:eastAsia="方正仿宋简体" w:cs="Times New Roman"/>
          <w:kern w:val="2"/>
          <w:sz w:val="32"/>
          <w:szCs w:val="32"/>
          <w:lang w:val="en-US" w:eastAsia="zh-CN" w:bidi="ar-SA"/>
        </w:rPr>
        <w:t>等专项预算项目绩效自评报告，其中，</w:t>
      </w:r>
      <w:r>
        <w:rPr>
          <w:rFonts w:hint="eastAsia" w:ascii="Times New Roman" w:hAnsi="Times New Roman" w:eastAsia="方正仿宋_GBK" w:cs="Times New Roman"/>
          <w:kern w:val="2"/>
          <w:sz w:val="32"/>
          <w:szCs w:val="32"/>
          <w:highlight w:val="none"/>
          <w:lang w:val="en-US" w:eastAsia="zh-CN" w:bidi="ar-SA"/>
        </w:rPr>
        <w:t>社会救助救济补助资金专项绩效部门预算（含部门预算项目）绩效自评得分为100分，</w:t>
      </w:r>
      <w:r>
        <w:rPr>
          <w:rFonts w:hint="eastAsia" w:ascii="Times New Roman" w:hAnsi="Times New Roman" w:eastAsia="方正仿宋简体" w:cs="Times New Roman"/>
          <w:kern w:val="2"/>
          <w:sz w:val="32"/>
          <w:szCs w:val="32"/>
          <w:lang w:val="en-US" w:eastAsia="zh-CN" w:bidi="ar-SA"/>
        </w:rPr>
        <w:t>绩效自评综述</w:t>
      </w:r>
      <w:r>
        <w:rPr>
          <w:rFonts w:hint="default" w:ascii="Times New Roman" w:hAnsi="Times New Roman" w:eastAsia="方正仿宋_GBK" w:cs="Times New Roman"/>
          <w:kern w:val="2"/>
          <w:position w:val="0"/>
          <w:sz w:val="32"/>
          <w:szCs w:val="32"/>
          <w:lang w:val="en-US" w:eastAsia="zh-CN" w:bidi="ar-SA"/>
        </w:rPr>
        <w:t>社会救助救济项目整体绩效</w:t>
      </w:r>
      <w:r>
        <w:rPr>
          <w:rFonts w:hint="eastAsia" w:ascii="Times New Roman" w:eastAsia="方正仿宋_GBK" w:cs="Times New Roman"/>
          <w:kern w:val="2"/>
          <w:position w:val="0"/>
          <w:sz w:val="32"/>
          <w:szCs w:val="32"/>
          <w:lang w:val="en-US" w:eastAsia="zh-CN" w:bidi="ar-SA"/>
        </w:rPr>
        <w:t>优秀，</w:t>
      </w:r>
      <w:r>
        <w:rPr>
          <w:rFonts w:hint="default" w:ascii="Times New Roman" w:hAnsi="Times New Roman" w:eastAsia="方正仿宋_GBK" w:cs="Times New Roman"/>
          <w:kern w:val="2"/>
          <w:position w:val="0"/>
          <w:sz w:val="32"/>
          <w:szCs w:val="32"/>
          <w:lang w:val="en-US" w:eastAsia="zh-CN" w:bidi="ar-SA"/>
        </w:rPr>
        <w:t>民生保障导向突出，管理较为规范，实施成效明显，资金使用合规有效，达到预期目标。</w:t>
      </w:r>
      <w:r>
        <w:rPr>
          <w:rFonts w:hint="default" w:ascii="Times New Roman" w:hAnsi="Times New Roman" w:eastAsia="方正仿宋_GBK" w:cs="Times New Roman"/>
          <w:kern w:val="2"/>
          <w:position w:val="0"/>
          <w:sz w:val="32"/>
          <w:szCs w:val="32"/>
          <w:lang w:val="en" w:eastAsia="zh-CN" w:bidi="ar-SA"/>
        </w:rPr>
        <w:t>为维护社会稳定和谐发挥了积极作用，取得了较好的社会效益。</w:t>
      </w:r>
    </w:p>
    <w:p w14:paraId="0E825752">
      <w:pPr>
        <w:spacing w:line="560" w:lineRule="exact"/>
        <w:ind w:firstLine="641"/>
        <w:rPr>
          <w:rFonts w:hint="default" w:ascii="Times New Roman" w:hAnsi="Times New Roman" w:eastAsia="方正仿宋_GBK" w:cs="Times New Roman"/>
          <w:kern w:val="2"/>
          <w:sz w:val="32"/>
          <w:szCs w:val="32"/>
          <w:highlight w:val="none"/>
          <w:lang w:val="en-US" w:eastAsia="zh-CN" w:bidi="ar-SA"/>
        </w:rPr>
      </w:pPr>
      <w:r>
        <w:rPr>
          <w:rFonts w:hint="eastAsia" w:ascii="Times New Roman" w:hAnsi="Times New Roman" w:eastAsia="方正仿宋_GBK" w:cs="Times New Roman"/>
          <w:kern w:val="2"/>
          <w:sz w:val="32"/>
          <w:szCs w:val="32"/>
          <w:highlight w:val="none"/>
          <w:lang w:val="en-US" w:eastAsia="zh-CN" w:bidi="ar-SA"/>
        </w:rPr>
        <w:t>2025年</w:t>
      </w:r>
      <w:r>
        <w:rPr>
          <w:rFonts w:hint="eastAsia" w:eastAsia="方正仿宋_GBK" w:cs="Times New Roman"/>
          <w:kern w:val="2"/>
          <w:sz w:val="32"/>
          <w:szCs w:val="32"/>
          <w:highlight w:val="none"/>
          <w:lang w:val="en-US" w:eastAsia="zh-CN" w:bidi="ar-SA"/>
        </w:rPr>
        <w:t>度</w:t>
      </w:r>
      <w:r>
        <w:rPr>
          <w:rFonts w:hint="eastAsia" w:ascii="Times New Roman" w:hAnsi="Times New Roman" w:eastAsia="方正仿宋_GBK" w:cs="Times New Roman"/>
          <w:kern w:val="2"/>
          <w:sz w:val="32"/>
          <w:szCs w:val="32"/>
          <w:highlight w:val="none"/>
          <w:lang w:val="en-US" w:eastAsia="zh-CN" w:bidi="ar-SA"/>
        </w:rPr>
        <w:t>养老服务发展补助专项预算项目绩效自评得分为96分</w:t>
      </w:r>
      <w:r>
        <w:rPr>
          <w:rFonts w:hint="eastAsia" w:ascii="Times New Roman" w:hAnsi="Times New Roman" w:eastAsia="方正仿宋简体" w:cs="Times New Roman"/>
          <w:kern w:val="2"/>
          <w:sz w:val="32"/>
          <w:szCs w:val="32"/>
          <w:lang w:val="en-US" w:eastAsia="zh-CN" w:bidi="ar-SA"/>
        </w:rPr>
        <w:t>，</w:t>
      </w:r>
      <w:r>
        <w:rPr>
          <w:rFonts w:hint="default" w:ascii="Times New Roman" w:hAnsi="Times New Roman" w:eastAsia="方正仿宋_GBK" w:cs="Times New Roman"/>
          <w:kern w:val="2"/>
          <w:sz w:val="32"/>
          <w:szCs w:val="32"/>
          <w:highlight w:val="none"/>
          <w:lang w:val="en-US" w:eastAsia="zh-CN" w:bidi="ar-SA"/>
        </w:rPr>
        <w:t>攀枝花市民政局严格按照养老服务发展规划及绩效目标推进项目实施，养老服务补助资金使用规范、效益显著。参照评分结果，项目设立程序规范、资金投向符合政策方向、项目制度办法齐全，项目实施符合相关规定。累计开展志愿服务197场次，服务17495人次，有效发挥了老年群体在社会发展中的积极作用，“银耀花城”品牌影响力逐步显现。通过本项目实施，进一步提升了攀枝花市养老服务专业化水平，不断完善老年人居住环境，保障老年人居住安全，进一步提升老年群体生活满足感、幸福感。但项目完成时效性、服务补贴资金分配下达进度方面存在问题。</w:t>
      </w:r>
    </w:p>
    <w:p w14:paraId="7FC070A1">
      <w:pPr>
        <w:keepNext w:val="0"/>
        <w:keepLines w:val="0"/>
        <w:pageBreakBefore w:val="0"/>
        <w:kinsoku/>
        <w:wordWrap/>
        <w:overflowPunct/>
        <w:topLinePunct w:val="0"/>
        <w:autoSpaceDE/>
        <w:bidi w:val="0"/>
        <w:adjustRightInd w:val="0"/>
        <w:snapToGrid w:val="0"/>
        <w:spacing w:line="560" w:lineRule="exact"/>
        <w:ind w:firstLine="640" w:firstLineChars="200"/>
        <w:jc w:val="both"/>
        <w:textAlignment w:val="auto"/>
        <w:rPr>
          <w:rFonts w:hint="default" w:ascii="Times New Roman" w:hAnsi="Times New Roman" w:eastAsia="方正仿宋_GBK" w:cs="Times New Roman"/>
          <w:spacing w:val="-17"/>
          <w:sz w:val="32"/>
          <w:szCs w:val="32"/>
          <w:lang w:bidi="ar-SA"/>
        </w:rPr>
      </w:pPr>
      <w:r>
        <w:rPr>
          <w:rFonts w:hint="default" w:ascii="Times New Roman" w:hAnsi="Times New Roman" w:eastAsia="方正仿宋_GBK" w:cs="Times New Roman"/>
          <w:kern w:val="2"/>
          <w:sz w:val="32"/>
          <w:szCs w:val="32"/>
          <w:highlight w:val="none"/>
          <w:lang w:val="en-US" w:eastAsia="zh-CN" w:bidi="ar-SA"/>
        </w:rPr>
        <w:t>从民生获得感看，精神障碍社区康复服务覆盖面显著提升；康复辅助器具租赁服务在便利性、可负担性方面对家庭照护压力具有直接缓解作用。同时，福彩圆梦·孤儿助学工程、孤儿医疗康复明天计划、事实无人抚养儿童年满18周岁后</w:t>
      </w:r>
      <w:r>
        <w:rPr>
          <w:rFonts w:hint="default" w:ascii="Times New Roman" w:hAnsi="Times New Roman" w:eastAsia="方正仿宋_GBK" w:cs="Times New Roman"/>
          <w:sz w:val="32"/>
          <w:szCs w:val="32"/>
          <w:lang w:bidi="ar-SA"/>
        </w:rPr>
        <w:t>助学等项目聚焦困难儿童教育与医疗康复需求，资助（救助）措施落实到位、流程规范，切实减轻了家庭负担，增强了受助对象及监护人的获得感与认可度</w:t>
      </w:r>
      <w:r>
        <w:rPr>
          <w:rFonts w:hint="eastAsia" w:eastAsia="方正仿宋_GBK" w:cs="Times New Roman"/>
          <w:sz w:val="32"/>
          <w:szCs w:val="32"/>
          <w:lang w:eastAsia="zh-CN" w:bidi="ar-SA"/>
        </w:rPr>
        <w:t>，</w:t>
      </w:r>
      <w:r>
        <w:rPr>
          <w:rFonts w:hint="default" w:ascii="Times New Roman" w:hAnsi="Times New Roman" w:eastAsia="方正仿宋_GBK" w:cs="Times New Roman"/>
          <w:spacing w:val="-17"/>
          <w:sz w:val="32"/>
          <w:szCs w:val="32"/>
          <w:lang w:bidi="ar-SA"/>
        </w:rPr>
        <w:t>项目总体获得了群众较高的满意度。</w:t>
      </w:r>
    </w:p>
    <w:p w14:paraId="11DD93A3">
      <w:pPr>
        <w:pStyle w:val="5"/>
        <w:keepNext w:val="0"/>
        <w:keepLines w:val="0"/>
        <w:pageBreakBefore w:val="0"/>
        <w:numPr>
          <w:ilvl w:val="0"/>
          <w:numId w:val="0"/>
        </w:numPr>
        <w:tabs>
          <w:tab w:val="left" w:pos="2160"/>
        </w:tabs>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Times New Roman" w:hAnsi="Times New Roman" w:eastAsia="方正仿宋_GBK" w:cs="Times New Roman"/>
          <w:kern w:val="2"/>
          <w:sz w:val="32"/>
          <w:szCs w:val="32"/>
          <w:highlight w:val="none"/>
          <w:lang w:val="en-US" w:eastAsia="zh-CN" w:bidi="ar-SA"/>
        </w:rPr>
      </w:pPr>
    </w:p>
    <w:p w14:paraId="1DAD6B43">
      <w:pPr>
        <w:pStyle w:val="5"/>
        <w:keepNext w:val="0"/>
        <w:keepLines w:val="0"/>
        <w:pageBreakBefore w:val="0"/>
        <w:numPr>
          <w:ilvl w:val="0"/>
          <w:numId w:val="0"/>
        </w:numPr>
        <w:tabs>
          <w:tab w:val="left" w:pos="2160"/>
        </w:tabs>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Times New Roman" w:hAnsi="Times New Roman" w:eastAsia="方正仿宋_GBK" w:cs="Times New Roman"/>
          <w:kern w:val="2"/>
          <w:sz w:val="32"/>
          <w:szCs w:val="32"/>
          <w:highlight w:val="none"/>
          <w:lang w:val="en-US" w:eastAsia="zh-CN" w:bidi="ar-SA"/>
        </w:rPr>
        <w:sectPr>
          <w:footerReference r:id="rId12" w:type="default"/>
          <w:pgSz w:w="11906" w:h="16838"/>
          <w:pgMar w:top="1440" w:right="1800" w:bottom="1440" w:left="1800" w:header="851" w:footer="992" w:gutter="0"/>
          <w:pgNumType w:fmt="numberInDash" w:start="1"/>
          <w:cols w:space="425" w:num="1"/>
          <w:docGrid w:type="lines" w:linePitch="312" w:charSpace="0"/>
        </w:sectPr>
      </w:pPr>
    </w:p>
    <w:p w14:paraId="676431A5">
      <w:pPr>
        <w:spacing w:line="600" w:lineRule="exact"/>
        <w:rPr>
          <w:rFonts w:eastAsia="仿宋_GB2312" w:cs="仿宋_GB2312"/>
          <w:sz w:val="32"/>
          <w:szCs w:val="32"/>
        </w:rPr>
      </w:pPr>
    </w:p>
    <w:p w14:paraId="6D01A24A">
      <w:pPr>
        <w:spacing w:line="600" w:lineRule="exact"/>
        <w:jc w:val="center"/>
        <w:outlineLvl w:val="0"/>
        <w:rPr>
          <w:rFonts w:hint="eastAsia" w:ascii="Times New Roman" w:hAnsi="Times New Roman" w:eastAsia="黑体" w:cs="Times New Roman"/>
          <w:sz w:val="32"/>
          <w:szCs w:val="32"/>
        </w:rPr>
      </w:pPr>
      <w:bookmarkStart w:id="53" w:name="_Toc15377225"/>
      <w:bookmarkStart w:id="54" w:name="_Toc15396613"/>
      <w:r>
        <w:rPr>
          <w:rFonts w:hint="eastAsia" w:ascii="Times New Roman" w:hAnsi="Times New Roman" w:eastAsia="黑体" w:cs="Times New Roman"/>
          <w:sz w:val="32"/>
          <w:szCs w:val="32"/>
        </w:rPr>
        <w:t>第三部分  名词解释</w:t>
      </w:r>
      <w:bookmarkEnd w:id="53"/>
      <w:bookmarkEnd w:id="54"/>
    </w:p>
    <w:p w14:paraId="2F866219">
      <w:pPr>
        <w:spacing w:line="600" w:lineRule="exact"/>
        <w:jc w:val="left"/>
        <w:rPr>
          <w:b/>
          <w:sz w:val="44"/>
          <w:szCs w:val="44"/>
        </w:rPr>
      </w:pPr>
    </w:p>
    <w:p w14:paraId="7EC9E989">
      <w:pPr>
        <w:pageBreakBefore w:val="0"/>
        <w:widowControl w:val="0"/>
        <w:suppressAutoHyphens/>
        <w:kinsoku/>
        <w:wordWrap/>
        <w:overflowPunct/>
        <w:topLinePunct w:val="0"/>
        <w:bidi w:val="0"/>
        <w:spacing w:line="600" w:lineRule="exact"/>
        <w:ind w:firstLine="640"/>
        <w:jc w:val="left"/>
        <w:rPr>
          <w:rFonts w:hint="eastAsia" w:ascii="Times New Roman" w:hAnsi="Times New Roman" w:eastAsia="方正仿宋简体" w:cs="Times New Roman"/>
          <w:kern w:val="2"/>
          <w:sz w:val="32"/>
          <w:szCs w:val="32"/>
          <w:lang w:val="en-US" w:eastAsia="zh-CN" w:bidi="ar-SA"/>
        </w:rPr>
      </w:pPr>
      <w:bookmarkStart w:id="55" w:name="_Toc15396614"/>
      <w:bookmarkStart w:id="56" w:name="_Toc15377226"/>
      <w:r>
        <w:rPr>
          <w:rFonts w:hint="default" w:ascii="Times New Roman" w:hAnsi="Times New Roman" w:eastAsia="方正仿宋简体" w:cs="Times New Roman"/>
          <w:b/>
          <w:bCs/>
          <w:kern w:val="2"/>
          <w:sz w:val="32"/>
          <w:szCs w:val="32"/>
          <w:lang w:val="en-US" w:eastAsia="zh-CN" w:bidi="ar-SA"/>
        </w:rPr>
        <w:t>1.财政拨款收入</w:t>
      </w:r>
      <w:r>
        <w:rPr>
          <w:rFonts w:hint="eastAsia" w:ascii="Times New Roman" w:hAnsi="Times New Roman" w:eastAsia="方正仿宋简体" w:cs="Times New Roman"/>
          <w:b/>
          <w:bCs/>
          <w:kern w:val="2"/>
          <w:sz w:val="32"/>
          <w:szCs w:val="32"/>
          <w:lang w:val="en-US" w:eastAsia="zh-CN" w:bidi="ar-SA"/>
        </w:rPr>
        <w:t>：</w:t>
      </w:r>
      <w:r>
        <w:rPr>
          <w:rFonts w:hint="eastAsia" w:ascii="Times New Roman" w:hAnsi="Times New Roman" w:eastAsia="方正仿宋简体" w:cs="Times New Roman"/>
          <w:kern w:val="2"/>
          <w:sz w:val="32"/>
          <w:szCs w:val="32"/>
          <w:lang w:val="en-US" w:eastAsia="zh-CN" w:bidi="ar-SA"/>
        </w:rPr>
        <w:t>指单位从同级财政部门取得的财政预算资金。</w:t>
      </w:r>
    </w:p>
    <w:p w14:paraId="408FBC5E">
      <w:pPr>
        <w:pageBreakBefore w:val="0"/>
        <w:widowControl w:val="0"/>
        <w:suppressAutoHyphens/>
        <w:kinsoku/>
        <w:wordWrap/>
        <w:overflowPunct/>
        <w:topLinePunct w:val="0"/>
        <w:bidi w:val="0"/>
        <w:spacing w:line="600" w:lineRule="exact"/>
        <w:ind w:firstLine="640"/>
        <w:jc w:val="left"/>
        <w:rPr>
          <w:rFonts w:hint="eastAsia"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b/>
          <w:bCs/>
          <w:kern w:val="2"/>
          <w:sz w:val="32"/>
          <w:szCs w:val="32"/>
          <w:lang w:val="en-US" w:eastAsia="zh-CN" w:bidi="ar-SA"/>
        </w:rPr>
        <w:t>2.一般公共服务支出（类）组织事务（款）其他组织事务支出（项）：</w:t>
      </w:r>
      <w:r>
        <w:rPr>
          <w:rFonts w:hint="eastAsia" w:ascii="Times New Roman" w:hAnsi="Times New Roman" w:eastAsia="方正仿宋简体" w:cs="Times New Roman"/>
          <w:kern w:val="2"/>
          <w:sz w:val="32"/>
          <w:szCs w:val="32"/>
          <w:lang w:val="en-US" w:eastAsia="zh-CN" w:bidi="ar-SA"/>
        </w:rPr>
        <w:t>反映</w:t>
      </w:r>
      <w:r>
        <w:rPr>
          <w:rFonts w:hint="eastAsia" w:eastAsia="方正仿宋简体" w:cs="Times New Roman"/>
          <w:kern w:val="2"/>
          <w:sz w:val="32"/>
          <w:szCs w:val="32"/>
          <w:lang w:val="en-US" w:eastAsia="zh-CN" w:bidi="ar-SA"/>
        </w:rPr>
        <w:t>除上述项目以外其他</w:t>
      </w:r>
      <w:r>
        <w:rPr>
          <w:rFonts w:hint="eastAsia" w:ascii="Times New Roman" w:hAnsi="Times New Roman" w:eastAsia="方正仿宋简体" w:cs="Times New Roman"/>
          <w:kern w:val="2"/>
          <w:sz w:val="32"/>
          <w:szCs w:val="32"/>
          <w:lang w:val="en-US" w:eastAsia="zh-CN" w:bidi="ar-SA"/>
        </w:rPr>
        <w:t>用于</w:t>
      </w:r>
      <w:r>
        <w:rPr>
          <w:rFonts w:hint="eastAsia" w:eastAsia="方正仿宋简体" w:cs="Times New Roman"/>
          <w:kern w:val="2"/>
          <w:sz w:val="32"/>
          <w:szCs w:val="32"/>
          <w:lang w:val="en-US" w:eastAsia="zh-CN" w:bidi="ar-SA"/>
        </w:rPr>
        <w:t>中国共产党组织部门</w:t>
      </w:r>
      <w:r>
        <w:rPr>
          <w:rFonts w:hint="eastAsia" w:ascii="Times New Roman" w:hAnsi="Times New Roman" w:eastAsia="方正仿宋简体" w:cs="Times New Roman"/>
          <w:kern w:val="2"/>
          <w:sz w:val="32"/>
          <w:szCs w:val="32"/>
          <w:lang w:val="en-US" w:eastAsia="zh-CN" w:bidi="ar-SA"/>
        </w:rPr>
        <w:t>的</w:t>
      </w:r>
      <w:r>
        <w:rPr>
          <w:rFonts w:hint="eastAsia" w:eastAsia="方正仿宋简体" w:cs="Times New Roman"/>
          <w:kern w:val="2"/>
          <w:sz w:val="32"/>
          <w:szCs w:val="32"/>
          <w:lang w:val="en-US" w:eastAsia="zh-CN" w:bidi="ar-SA"/>
        </w:rPr>
        <w:t>事务</w:t>
      </w:r>
      <w:r>
        <w:rPr>
          <w:rFonts w:hint="eastAsia" w:ascii="Times New Roman" w:hAnsi="Times New Roman" w:eastAsia="方正仿宋简体" w:cs="Times New Roman"/>
          <w:kern w:val="2"/>
          <w:sz w:val="32"/>
          <w:szCs w:val="32"/>
          <w:lang w:val="en-US" w:eastAsia="zh-CN" w:bidi="ar-SA"/>
        </w:rPr>
        <w:t>支出。</w:t>
      </w:r>
    </w:p>
    <w:p w14:paraId="75F3B3DA">
      <w:pPr>
        <w:pageBreakBefore w:val="0"/>
        <w:widowControl w:val="0"/>
        <w:suppressAutoHyphens/>
        <w:kinsoku/>
        <w:wordWrap/>
        <w:overflowPunct/>
        <w:topLinePunct w:val="0"/>
        <w:bidi w:val="0"/>
        <w:spacing w:line="600" w:lineRule="exact"/>
        <w:ind w:firstLine="640"/>
        <w:jc w:val="left"/>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b/>
          <w:bCs/>
          <w:kern w:val="2"/>
          <w:sz w:val="32"/>
          <w:szCs w:val="32"/>
          <w:lang w:val="en-US" w:eastAsia="zh-CN" w:bidi="ar-SA"/>
        </w:rPr>
        <w:t>3.社会保障和就业（类）行政事业单位养老支出（款）事业单位离退休（项）：</w:t>
      </w:r>
      <w:r>
        <w:rPr>
          <w:rFonts w:hint="eastAsia" w:ascii="Times New Roman" w:hAnsi="Times New Roman" w:eastAsia="方正仿宋简体" w:cs="Times New Roman"/>
          <w:kern w:val="2"/>
          <w:sz w:val="32"/>
          <w:szCs w:val="32"/>
          <w:lang w:val="en-US" w:eastAsia="zh-CN" w:bidi="ar-SA"/>
        </w:rPr>
        <w:t>反映事业单位开支的离退休经费。</w:t>
      </w:r>
    </w:p>
    <w:p w14:paraId="74E29DFB">
      <w:pPr>
        <w:pageBreakBefore w:val="0"/>
        <w:widowControl w:val="0"/>
        <w:suppressAutoHyphens/>
        <w:kinsoku/>
        <w:wordWrap/>
        <w:overflowPunct/>
        <w:topLinePunct w:val="0"/>
        <w:bidi w:val="0"/>
        <w:spacing w:line="600" w:lineRule="exact"/>
        <w:ind w:firstLine="640"/>
        <w:jc w:val="left"/>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b/>
          <w:bCs/>
          <w:kern w:val="2"/>
          <w:sz w:val="32"/>
          <w:szCs w:val="32"/>
          <w:lang w:val="en-US" w:eastAsia="zh-CN" w:bidi="ar-SA"/>
        </w:rPr>
        <w:t>4.社会保障和就业（类）行政事业单位养老支出（款）机关事业单位基本养老保险缴费支出（项）：</w:t>
      </w:r>
      <w:r>
        <w:rPr>
          <w:rFonts w:hint="eastAsia" w:ascii="Times New Roman" w:hAnsi="Times New Roman" w:eastAsia="方正仿宋简体" w:cs="Times New Roman"/>
          <w:kern w:val="2"/>
          <w:sz w:val="32"/>
          <w:szCs w:val="32"/>
          <w:lang w:val="en-US" w:eastAsia="zh-CN" w:bidi="ar-SA"/>
        </w:rPr>
        <w:t>反映机关事业单位实施养老保险制度由单位缴纳的基本保险费支出。</w:t>
      </w:r>
    </w:p>
    <w:p w14:paraId="6B3BB7F5">
      <w:pPr>
        <w:pageBreakBefore w:val="0"/>
        <w:widowControl w:val="0"/>
        <w:suppressAutoHyphens/>
        <w:kinsoku/>
        <w:wordWrap/>
        <w:overflowPunct/>
        <w:topLinePunct w:val="0"/>
        <w:bidi w:val="0"/>
        <w:spacing w:line="600" w:lineRule="exact"/>
        <w:ind w:firstLine="640"/>
        <w:jc w:val="left"/>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b/>
          <w:bCs/>
          <w:kern w:val="2"/>
          <w:sz w:val="32"/>
          <w:szCs w:val="32"/>
          <w:lang w:val="en-US" w:eastAsia="zh-CN" w:bidi="ar-SA"/>
        </w:rPr>
        <w:t>5.社会保障和就业（类）社会福利（款）社会福利事业单位（项）：</w:t>
      </w:r>
      <w:r>
        <w:rPr>
          <w:rFonts w:hint="eastAsia" w:ascii="Times New Roman" w:hAnsi="Times New Roman" w:eastAsia="方正仿宋简体" w:cs="Times New Roman"/>
          <w:kern w:val="2"/>
          <w:sz w:val="32"/>
          <w:szCs w:val="32"/>
          <w:lang w:val="en-US" w:eastAsia="zh-CN" w:bidi="ar-SA"/>
        </w:rPr>
        <w:t>反映民政部门举办的社会福利事业单位的支出，以及对集体社会福利事业单位的补助费。</w:t>
      </w:r>
    </w:p>
    <w:p w14:paraId="3EEC469B">
      <w:pPr>
        <w:pageBreakBefore w:val="0"/>
        <w:widowControl w:val="0"/>
        <w:suppressAutoHyphens/>
        <w:kinsoku/>
        <w:wordWrap/>
        <w:overflowPunct/>
        <w:topLinePunct w:val="0"/>
        <w:bidi w:val="0"/>
        <w:spacing w:line="600" w:lineRule="exact"/>
        <w:ind w:firstLine="640"/>
        <w:jc w:val="left"/>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b/>
          <w:bCs/>
          <w:kern w:val="2"/>
          <w:sz w:val="32"/>
          <w:szCs w:val="32"/>
          <w:lang w:val="en-US" w:eastAsia="zh-CN" w:bidi="ar-SA"/>
        </w:rPr>
        <w:t>6.社会保障和就业（类）社会福利（款）养老服务（项）：</w:t>
      </w:r>
      <w:r>
        <w:rPr>
          <w:rFonts w:hint="eastAsia" w:ascii="Times New Roman" w:hAnsi="Times New Roman" w:eastAsia="方正仿宋简体" w:cs="Times New Roman"/>
          <w:kern w:val="2"/>
          <w:sz w:val="32"/>
          <w:szCs w:val="32"/>
          <w:lang w:val="en-US" w:eastAsia="zh-CN" w:bidi="ar-SA"/>
        </w:rPr>
        <w:t>反映财政在养老服务方面的补助支出，包括支持居家养老服务、社区养老服务和机构养老服务的支出，对养老服务机构的运营、建设补助支出等，不包括对社会福利事业单位的补助支出。</w:t>
      </w:r>
    </w:p>
    <w:p w14:paraId="5924546E">
      <w:pPr>
        <w:pageBreakBefore w:val="0"/>
        <w:widowControl w:val="0"/>
        <w:suppressAutoHyphens/>
        <w:kinsoku/>
        <w:wordWrap/>
        <w:overflowPunct/>
        <w:topLinePunct w:val="0"/>
        <w:bidi w:val="0"/>
        <w:spacing w:line="600" w:lineRule="exact"/>
        <w:ind w:firstLine="640"/>
        <w:jc w:val="left"/>
        <w:rPr>
          <w:rFonts w:hint="eastAsia" w:ascii="Times New Roman" w:hAnsi="Times New Roman" w:eastAsia="方正仿宋简体" w:cs="Times New Roman"/>
          <w:color w:val="000000"/>
          <w:kern w:val="2"/>
          <w:sz w:val="32"/>
          <w:szCs w:val="32"/>
          <w:lang w:val="en-US" w:eastAsia="zh-CN" w:bidi="ar-SA"/>
        </w:rPr>
      </w:pPr>
      <w:r>
        <w:rPr>
          <w:rFonts w:hint="eastAsia" w:ascii="Times New Roman" w:hAnsi="Times New Roman" w:eastAsia="方正仿宋简体" w:cs="Times New Roman"/>
          <w:b/>
          <w:bCs/>
          <w:kern w:val="2"/>
          <w:sz w:val="32"/>
          <w:szCs w:val="32"/>
          <w:lang w:val="en-US" w:eastAsia="zh-CN" w:bidi="ar-SA"/>
        </w:rPr>
        <w:t>7.</w:t>
      </w:r>
      <w:r>
        <w:rPr>
          <w:rFonts w:hint="eastAsia" w:ascii="Times New Roman" w:hAnsi="Times New Roman" w:eastAsia="方正仿宋简体" w:cs="Times New Roman"/>
          <w:b/>
          <w:bCs/>
          <w:color w:val="000000"/>
          <w:kern w:val="2"/>
          <w:sz w:val="32"/>
          <w:szCs w:val="32"/>
          <w:lang w:val="en-US" w:eastAsia="zh-CN" w:bidi="ar-SA"/>
        </w:rPr>
        <w:t>社会保障和就业（类）社会福利（款）儿童福利（项）：</w:t>
      </w:r>
      <w:r>
        <w:rPr>
          <w:rFonts w:hint="eastAsia" w:ascii="Times New Roman" w:hAnsi="Times New Roman" w:eastAsia="方正仿宋简体" w:cs="Times New Roman"/>
          <w:color w:val="000000"/>
          <w:kern w:val="2"/>
          <w:sz w:val="32"/>
          <w:szCs w:val="32"/>
          <w:lang w:val="en-US" w:eastAsia="zh-CN" w:bidi="ar-SA"/>
        </w:rPr>
        <w:t>反映对儿童提供福利服务方面的支出。</w:t>
      </w:r>
    </w:p>
    <w:p w14:paraId="015530B1">
      <w:pPr>
        <w:pageBreakBefore w:val="0"/>
        <w:widowControl w:val="0"/>
        <w:suppressAutoHyphens/>
        <w:kinsoku/>
        <w:wordWrap/>
        <w:overflowPunct/>
        <w:topLinePunct w:val="0"/>
        <w:bidi w:val="0"/>
        <w:spacing w:line="578" w:lineRule="exact"/>
        <w:ind w:firstLine="643" w:firstLineChars="200"/>
        <w:jc w:val="left"/>
        <w:rPr>
          <w:rFonts w:hint="eastAsia" w:ascii="Times New Roman" w:hAnsi="Times New Roman" w:eastAsia="方正仿宋简体" w:cs="Times New Roman"/>
          <w:color w:val="000000"/>
          <w:kern w:val="2"/>
          <w:sz w:val="32"/>
          <w:szCs w:val="32"/>
          <w:lang w:val="en-US" w:eastAsia="zh-CN" w:bidi="ar-SA"/>
        </w:rPr>
      </w:pPr>
      <w:r>
        <w:rPr>
          <w:rFonts w:hint="eastAsia" w:ascii="Times New Roman" w:hAnsi="Times New Roman" w:eastAsia="方正仿宋简体" w:cs="Times New Roman"/>
          <w:b/>
          <w:bCs/>
          <w:color w:val="000000"/>
          <w:kern w:val="2"/>
          <w:sz w:val="32"/>
          <w:szCs w:val="32"/>
          <w:lang w:val="en-US" w:eastAsia="zh-CN" w:bidi="ar-SA"/>
        </w:rPr>
        <w:t>8.社会保障和就业（类）社会福利（款）殡葬（项）：</w:t>
      </w:r>
      <w:r>
        <w:rPr>
          <w:rFonts w:hint="eastAsia" w:ascii="Times New Roman" w:hAnsi="Times New Roman" w:eastAsia="方正仿宋简体" w:cs="Times New Roman"/>
          <w:color w:val="000000"/>
          <w:kern w:val="2"/>
          <w:sz w:val="32"/>
          <w:szCs w:val="32"/>
          <w:lang w:val="en-US" w:eastAsia="zh-CN" w:bidi="ar-SA"/>
        </w:rPr>
        <w:t>反映殡葬管理和殡葬服务方面的支出，包括民政部门直属的殡仪馆、公墓、殡葬管理服务机构的支出。</w:t>
      </w:r>
    </w:p>
    <w:p w14:paraId="41B2D199">
      <w:pPr>
        <w:pageBreakBefore w:val="0"/>
        <w:widowControl w:val="0"/>
        <w:suppressAutoHyphens/>
        <w:kinsoku/>
        <w:wordWrap/>
        <w:overflowPunct/>
        <w:topLinePunct w:val="0"/>
        <w:bidi w:val="0"/>
        <w:spacing w:line="600" w:lineRule="exact"/>
        <w:ind w:firstLine="640"/>
        <w:jc w:val="left"/>
        <w:rPr>
          <w:rFonts w:hint="eastAsia" w:ascii="Times New Roman" w:hAnsi="Times New Roman" w:eastAsia="方正仿宋简体" w:cs="Times New Roman"/>
          <w:b/>
          <w:bCs/>
          <w:kern w:val="2"/>
          <w:sz w:val="32"/>
          <w:szCs w:val="32"/>
          <w:lang w:val="en-US" w:eastAsia="zh-CN" w:bidi="ar-SA"/>
        </w:rPr>
      </w:pPr>
      <w:r>
        <w:rPr>
          <w:rFonts w:hint="eastAsia" w:ascii="Times New Roman" w:hAnsi="Times New Roman" w:eastAsia="方正仿宋简体" w:cs="Times New Roman"/>
          <w:color w:val="000000"/>
          <w:kern w:val="2"/>
          <w:sz w:val="32"/>
          <w:szCs w:val="32"/>
          <w:lang w:val="en-US" w:eastAsia="zh-CN" w:bidi="ar-SA"/>
        </w:rPr>
        <w:t>9.</w:t>
      </w:r>
      <w:r>
        <w:rPr>
          <w:rFonts w:hint="eastAsia" w:ascii="Times New Roman" w:hAnsi="Times New Roman" w:eastAsia="方正仿宋简体" w:cs="Times New Roman"/>
          <w:b/>
          <w:bCs/>
          <w:color w:val="000000"/>
          <w:kern w:val="2"/>
          <w:sz w:val="32"/>
          <w:szCs w:val="32"/>
          <w:lang w:val="en-US" w:eastAsia="zh-CN" w:bidi="ar-SA"/>
        </w:rPr>
        <w:t>社会保障和就业（类）抚恤（款）死亡抚恤（项）：</w:t>
      </w:r>
      <w:r>
        <w:rPr>
          <w:rFonts w:hint="eastAsia" w:ascii="Times New Roman" w:hAnsi="Times New Roman" w:eastAsia="方正仿宋简体" w:cs="Times New Roman"/>
          <w:color w:val="000000"/>
          <w:kern w:val="2"/>
          <w:sz w:val="32"/>
          <w:szCs w:val="32"/>
          <w:lang w:val="en-US" w:eastAsia="zh-CN" w:bidi="ar-SA"/>
        </w:rPr>
        <w:t>反映按规定用于烈士和牺牲、病故人员家属的一次性和定期抚恤金以及丧葬费补助。</w:t>
      </w:r>
    </w:p>
    <w:p w14:paraId="3C6E6D97">
      <w:pPr>
        <w:pageBreakBefore w:val="0"/>
        <w:widowControl w:val="0"/>
        <w:suppressAutoHyphens/>
        <w:kinsoku/>
        <w:wordWrap/>
        <w:overflowPunct/>
        <w:topLinePunct w:val="0"/>
        <w:bidi w:val="0"/>
        <w:spacing w:line="600" w:lineRule="exact"/>
        <w:ind w:firstLine="640"/>
        <w:jc w:val="left"/>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b/>
          <w:bCs/>
          <w:kern w:val="2"/>
          <w:sz w:val="32"/>
          <w:szCs w:val="32"/>
          <w:lang w:val="en-US" w:eastAsia="zh-CN" w:bidi="ar-SA"/>
        </w:rPr>
        <w:t>10.社会保障和就业（类）其他社会保障和就业支出（款）其他社会保障和就业支出（项）：</w:t>
      </w:r>
      <w:r>
        <w:rPr>
          <w:rFonts w:hint="eastAsia" w:ascii="Times New Roman" w:hAnsi="Times New Roman" w:eastAsia="方正仿宋简体" w:cs="Times New Roman"/>
          <w:kern w:val="2"/>
          <w:sz w:val="32"/>
          <w:szCs w:val="32"/>
          <w:lang w:val="en-US" w:eastAsia="zh-CN" w:bidi="ar-SA"/>
        </w:rPr>
        <w:t>反映除上述项目以外其他用于社会保障和就业方面的支出。</w:t>
      </w:r>
    </w:p>
    <w:p w14:paraId="71CB2A9D">
      <w:pPr>
        <w:pageBreakBefore w:val="0"/>
        <w:widowControl w:val="0"/>
        <w:suppressAutoHyphens/>
        <w:kinsoku/>
        <w:wordWrap/>
        <w:overflowPunct/>
        <w:topLinePunct w:val="0"/>
        <w:bidi w:val="0"/>
        <w:spacing w:line="600" w:lineRule="exact"/>
        <w:ind w:firstLine="640"/>
        <w:jc w:val="left"/>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b/>
          <w:bCs/>
          <w:kern w:val="2"/>
          <w:sz w:val="32"/>
          <w:szCs w:val="32"/>
          <w:lang w:val="en-US" w:eastAsia="zh-CN" w:bidi="ar-SA"/>
        </w:rPr>
        <w:t>11.卫生健康支出（类）行政事业单位医疗（款）事业单位医疗（项）：</w:t>
      </w:r>
      <w:r>
        <w:rPr>
          <w:rFonts w:hint="eastAsia" w:ascii="Times New Roman" w:hAnsi="Times New Roman" w:eastAsia="方正仿宋简体" w:cs="Times New Roman"/>
          <w:kern w:val="2"/>
          <w:sz w:val="32"/>
          <w:szCs w:val="32"/>
          <w:lang w:val="en-US" w:eastAsia="zh-CN" w:bidi="ar-SA"/>
        </w:rPr>
        <w:t>反映财政部门安排的事业单位基本医疗保险缴费经费，未参加医疗保险的事业单位的公费医疗经费，按国家规定享受离休人员待遇医疗经费。</w:t>
      </w:r>
    </w:p>
    <w:p w14:paraId="5094AE9E">
      <w:pPr>
        <w:pageBreakBefore w:val="0"/>
        <w:widowControl w:val="0"/>
        <w:suppressAutoHyphens/>
        <w:kinsoku/>
        <w:wordWrap/>
        <w:overflowPunct/>
        <w:topLinePunct w:val="0"/>
        <w:bidi w:val="0"/>
        <w:spacing w:line="600" w:lineRule="exact"/>
        <w:ind w:firstLine="640"/>
        <w:jc w:val="left"/>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b/>
          <w:bCs/>
          <w:kern w:val="2"/>
          <w:sz w:val="32"/>
          <w:szCs w:val="32"/>
          <w:lang w:val="en-US" w:eastAsia="zh-CN" w:bidi="ar-SA"/>
        </w:rPr>
        <w:t>12.卫生健康支出（类）行政事业单位医疗（款）公务员医疗补助（项）：</w:t>
      </w:r>
      <w:r>
        <w:rPr>
          <w:rFonts w:hint="eastAsia" w:ascii="Times New Roman" w:hAnsi="Times New Roman" w:eastAsia="方正仿宋简体" w:cs="Times New Roman"/>
          <w:kern w:val="2"/>
          <w:sz w:val="32"/>
          <w:szCs w:val="32"/>
          <w:lang w:val="en-US" w:eastAsia="zh-CN" w:bidi="ar-SA"/>
        </w:rPr>
        <w:t>反映财政部门安排的公务员医疗补助经费。</w:t>
      </w:r>
    </w:p>
    <w:p w14:paraId="39B33287">
      <w:pPr>
        <w:pageBreakBefore w:val="0"/>
        <w:widowControl w:val="0"/>
        <w:suppressAutoHyphens/>
        <w:kinsoku/>
        <w:wordWrap/>
        <w:overflowPunct/>
        <w:topLinePunct w:val="0"/>
        <w:bidi w:val="0"/>
        <w:spacing w:line="600" w:lineRule="exact"/>
        <w:ind w:firstLine="640"/>
        <w:jc w:val="left"/>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b/>
          <w:bCs/>
          <w:kern w:val="2"/>
          <w:sz w:val="32"/>
          <w:szCs w:val="32"/>
          <w:lang w:val="en-US" w:eastAsia="zh-CN" w:bidi="ar-SA"/>
        </w:rPr>
        <w:t>13.卫生健康支出（类）行政事业单位医疗（款）其他行政事业单位医疗支出（项）：</w:t>
      </w:r>
      <w:r>
        <w:rPr>
          <w:rFonts w:hint="eastAsia" w:ascii="Times New Roman" w:hAnsi="Times New Roman" w:eastAsia="方正仿宋简体" w:cs="Times New Roman"/>
          <w:kern w:val="2"/>
          <w:sz w:val="32"/>
          <w:szCs w:val="32"/>
          <w:lang w:val="en-US" w:eastAsia="zh-CN" w:bidi="ar-SA"/>
        </w:rPr>
        <w:t>反映除上述项目以外的其他用于行政事业单位医疗方面的支出。</w:t>
      </w:r>
    </w:p>
    <w:p w14:paraId="32FAA164">
      <w:pPr>
        <w:pageBreakBefore w:val="0"/>
        <w:widowControl w:val="0"/>
        <w:suppressAutoHyphens/>
        <w:kinsoku/>
        <w:wordWrap/>
        <w:overflowPunct/>
        <w:topLinePunct w:val="0"/>
        <w:bidi w:val="0"/>
        <w:spacing w:line="600" w:lineRule="exact"/>
        <w:ind w:firstLine="640"/>
        <w:jc w:val="left"/>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b/>
          <w:bCs/>
          <w:kern w:val="2"/>
          <w:sz w:val="32"/>
          <w:szCs w:val="32"/>
          <w:lang w:val="en-US" w:eastAsia="zh-CN" w:bidi="ar-SA"/>
        </w:rPr>
        <w:t>14.住房保障支出（类）住房改革支出（款）住房公积金（项）：</w:t>
      </w:r>
      <w:r>
        <w:rPr>
          <w:rFonts w:hint="eastAsia" w:ascii="Times New Roman" w:hAnsi="Times New Roman" w:eastAsia="方正仿宋简体" w:cs="Times New Roman"/>
          <w:kern w:val="2"/>
          <w:sz w:val="32"/>
          <w:szCs w:val="32"/>
          <w:lang w:val="en-US" w:eastAsia="zh-CN" w:bidi="ar-SA"/>
        </w:rPr>
        <w:t>反映行政事业单位按人力资源和社会保障部、财政部规定的基本工资和津贴补贴以及规定比例为职工缴纳的住房公积金。</w:t>
      </w:r>
    </w:p>
    <w:p w14:paraId="536588AE">
      <w:pPr>
        <w:pageBreakBefore w:val="0"/>
        <w:widowControl w:val="0"/>
        <w:suppressAutoHyphens/>
        <w:kinsoku/>
        <w:wordWrap/>
        <w:overflowPunct/>
        <w:topLinePunct w:val="0"/>
        <w:bidi w:val="0"/>
        <w:spacing w:line="600" w:lineRule="exact"/>
        <w:ind w:firstLine="640"/>
        <w:jc w:val="left"/>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b/>
          <w:bCs/>
          <w:kern w:val="2"/>
          <w:sz w:val="32"/>
          <w:szCs w:val="32"/>
          <w:lang w:val="en-US" w:eastAsia="zh-CN" w:bidi="ar-SA"/>
        </w:rPr>
        <w:t>15.基本支出：</w:t>
      </w:r>
      <w:r>
        <w:rPr>
          <w:rFonts w:hint="eastAsia" w:ascii="Times New Roman" w:hAnsi="Times New Roman" w:eastAsia="方正仿宋简体" w:cs="Times New Roman"/>
          <w:kern w:val="2"/>
          <w:sz w:val="32"/>
          <w:szCs w:val="32"/>
          <w:lang w:val="en-US" w:eastAsia="zh-CN" w:bidi="ar-SA"/>
        </w:rPr>
        <w:t>指为保障机构正常运转、完成日常工作任务而发生的人员支出和公用支出。</w:t>
      </w:r>
    </w:p>
    <w:p w14:paraId="4F6AA686">
      <w:pPr>
        <w:pageBreakBefore w:val="0"/>
        <w:widowControl w:val="0"/>
        <w:suppressAutoHyphens/>
        <w:kinsoku/>
        <w:wordWrap/>
        <w:overflowPunct/>
        <w:topLinePunct w:val="0"/>
        <w:bidi w:val="0"/>
        <w:spacing w:line="600" w:lineRule="exact"/>
        <w:ind w:firstLine="640"/>
        <w:jc w:val="left"/>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b/>
          <w:bCs/>
          <w:kern w:val="2"/>
          <w:sz w:val="32"/>
          <w:szCs w:val="32"/>
          <w:lang w:val="en-US" w:eastAsia="zh-CN" w:bidi="ar-SA"/>
        </w:rPr>
        <w:t>16.项目支出：</w:t>
      </w:r>
      <w:r>
        <w:rPr>
          <w:rFonts w:hint="eastAsia" w:ascii="Times New Roman" w:hAnsi="Times New Roman" w:eastAsia="方正仿宋简体" w:cs="Times New Roman"/>
          <w:kern w:val="2"/>
          <w:sz w:val="32"/>
          <w:szCs w:val="32"/>
          <w:lang w:val="en-US" w:eastAsia="zh-CN" w:bidi="ar-SA"/>
        </w:rPr>
        <w:t>指在基本支出之外为完成特定行政任务和事业发展目标所发生的支出。</w:t>
      </w:r>
    </w:p>
    <w:p w14:paraId="6CEEACD3">
      <w:pPr>
        <w:pageBreakBefore w:val="0"/>
        <w:widowControl w:val="0"/>
        <w:suppressAutoHyphens/>
        <w:kinsoku/>
        <w:wordWrap/>
        <w:overflowPunct/>
        <w:topLinePunct w:val="0"/>
        <w:bidi w:val="0"/>
        <w:spacing w:line="600" w:lineRule="exact"/>
        <w:ind w:firstLine="640"/>
        <w:jc w:val="left"/>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b/>
          <w:bCs/>
          <w:kern w:val="2"/>
          <w:sz w:val="32"/>
          <w:szCs w:val="32"/>
          <w:lang w:val="en-US" w:eastAsia="zh-CN" w:bidi="ar-SA"/>
        </w:rPr>
        <w:t>17.“三公”经费：</w:t>
      </w:r>
      <w:r>
        <w:rPr>
          <w:rFonts w:hint="eastAsia" w:ascii="Times New Roman" w:hAnsi="Times New Roman" w:eastAsia="方正仿宋简体" w:cs="Times New Roman"/>
          <w:kern w:val="2"/>
          <w:sz w:val="32"/>
          <w:szCs w:val="32"/>
          <w:lang w:val="en-US" w:eastAsia="zh-CN" w:bidi="ar-SA"/>
        </w:rPr>
        <w:t>指单位用财政拨款安排的因公出国（境）费、公务用车购置及运行费和公务接待费。其中：公务用车购置及运行费反映单位公务用车车辆购置支出（含车辆购置税）及租用费、燃料费、维修费、过路过桥费、保险费等支出；公务接待费反映单位按规定开支的各类公务接待（含外宾接待）支出。</w:t>
      </w:r>
    </w:p>
    <w:p w14:paraId="295A2F1A">
      <w:pPr>
        <w:pageBreakBefore w:val="0"/>
        <w:kinsoku/>
        <w:wordWrap/>
        <w:overflowPunct/>
        <w:topLinePunct w:val="0"/>
        <w:bidi w:val="0"/>
        <w:spacing w:line="600" w:lineRule="exact"/>
        <w:ind w:firstLine="643" w:firstLineChars="200"/>
        <w:jc w:val="left"/>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b/>
          <w:bCs/>
          <w:kern w:val="2"/>
          <w:sz w:val="32"/>
          <w:szCs w:val="32"/>
          <w:lang w:val="en-US" w:eastAsia="zh-CN" w:bidi="ar-SA"/>
        </w:rPr>
        <w:t>18.机关运行经费：</w:t>
      </w:r>
      <w:r>
        <w:rPr>
          <w:rFonts w:hint="eastAsia" w:ascii="Times New Roman" w:hAnsi="Times New Roman" w:eastAsia="方正仿宋简体" w:cs="Times New Roman"/>
          <w:kern w:val="2"/>
          <w:sz w:val="32"/>
          <w:szCs w:val="32"/>
          <w:lang w:val="en-US" w:eastAsia="zh-CN" w:bidi="ar-SA"/>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95B178F">
      <w:pPr>
        <w:pageBreakBefore w:val="0"/>
        <w:kinsoku/>
        <w:wordWrap/>
        <w:overflowPunct/>
        <w:topLinePunct w:val="0"/>
        <w:bidi w:val="0"/>
        <w:spacing w:line="600" w:lineRule="exact"/>
        <w:jc w:val="left"/>
        <w:rPr>
          <w:rFonts w:hint="eastAsia" w:ascii="Times New Roman" w:hAnsi="Times New Roman" w:eastAsia="方正仿宋简体" w:cs="Times New Roman"/>
          <w:kern w:val="2"/>
          <w:sz w:val="32"/>
          <w:szCs w:val="32"/>
          <w:lang w:val="en-US" w:eastAsia="zh-CN" w:bidi="ar-SA"/>
        </w:rPr>
      </w:pPr>
    </w:p>
    <w:p w14:paraId="0177C45B">
      <w:pPr>
        <w:pageBreakBefore w:val="0"/>
        <w:kinsoku/>
        <w:wordWrap/>
        <w:overflowPunct/>
        <w:topLinePunct w:val="0"/>
        <w:bidi w:val="0"/>
        <w:spacing w:line="600" w:lineRule="exact"/>
        <w:jc w:val="left"/>
        <w:rPr>
          <w:rFonts w:hint="eastAsia" w:eastAsia="黑体"/>
          <w:sz w:val="44"/>
          <w:szCs w:val="44"/>
        </w:rPr>
      </w:pPr>
    </w:p>
    <w:p w14:paraId="43916CA0">
      <w:pPr>
        <w:pageBreakBefore w:val="0"/>
        <w:widowControl w:val="0"/>
        <w:numPr>
          <w:ilvl w:val="0"/>
          <w:numId w:val="0"/>
        </w:numPr>
        <w:suppressAutoHyphens/>
        <w:kinsoku/>
        <w:wordWrap/>
        <w:overflowPunct/>
        <w:topLinePunct w:val="0"/>
        <w:bidi w:val="0"/>
        <w:spacing w:line="600" w:lineRule="exact"/>
        <w:jc w:val="center"/>
        <w:outlineLvl w:val="0"/>
        <w:rPr>
          <w:rStyle w:val="31"/>
          <w:rFonts w:hint="eastAsia" w:ascii="方正小标宋_GBK" w:hAnsi="方正小标宋_GBK" w:eastAsia="方正小标宋_GBK" w:cs="方正小标宋_GBK"/>
          <w:b/>
        </w:rPr>
      </w:pPr>
    </w:p>
    <w:p w14:paraId="266EC401">
      <w:pPr>
        <w:pageBreakBefore w:val="0"/>
        <w:widowControl w:val="0"/>
        <w:numPr>
          <w:ilvl w:val="0"/>
          <w:numId w:val="0"/>
        </w:numPr>
        <w:suppressAutoHyphens/>
        <w:kinsoku/>
        <w:wordWrap/>
        <w:overflowPunct/>
        <w:topLinePunct w:val="0"/>
        <w:bidi w:val="0"/>
        <w:spacing w:line="600" w:lineRule="exact"/>
        <w:jc w:val="center"/>
        <w:outlineLvl w:val="0"/>
        <w:rPr>
          <w:rStyle w:val="31"/>
          <w:rFonts w:hint="eastAsia" w:ascii="方正小标宋_GBK" w:hAnsi="方正小标宋_GBK" w:eastAsia="方正小标宋_GBK" w:cs="方正小标宋_GBK"/>
          <w:b/>
        </w:rPr>
      </w:pPr>
    </w:p>
    <w:p w14:paraId="3E7ADD52">
      <w:pPr>
        <w:pageBreakBefore w:val="0"/>
        <w:widowControl w:val="0"/>
        <w:numPr>
          <w:ilvl w:val="0"/>
          <w:numId w:val="0"/>
        </w:numPr>
        <w:suppressAutoHyphens/>
        <w:kinsoku/>
        <w:wordWrap/>
        <w:overflowPunct/>
        <w:topLinePunct w:val="0"/>
        <w:bidi w:val="0"/>
        <w:spacing w:line="600" w:lineRule="exact"/>
        <w:jc w:val="center"/>
        <w:outlineLvl w:val="0"/>
        <w:rPr>
          <w:rStyle w:val="31"/>
          <w:rFonts w:hint="eastAsia" w:ascii="方正小标宋_GBK" w:hAnsi="方正小标宋_GBK" w:eastAsia="方正小标宋_GBK" w:cs="方正小标宋_GBK"/>
          <w:b/>
        </w:rPr>
      </w:pPr>
    </w:p>
    <w:p w14:paraId="30F762FF">
      <w:pPr>
        <w:pageBreakBefore w:val="0"/>
        <w:widowControl w:val="0"/>
        <w:numPr>
          <w:ilvl w:val="0"/>
          <w:numId w:val="0"/>
        </w:numPr>
        <w:suppressAutoHyphens/>
        <w:kinsoku/>
        <w:wordWrap/>
        <w:overflowPunct/>
        <w:topLinePunct w:val="0"/>
        <w:bidi w:val="0"/>
        <w:spacing w:line="600" w:lineRule="exact"/>
        <w:jc w:val="center"/>
        <w:outlineLvl w:val="0"/>
        <w:rPr>
          <w:rStyle w:val="31"/>
          <w:rFonts w:hint="eastAsia" w:ascii="方正小标宋_GBK" w:hAnsi="方正小标宋_GBK" w:eastAsia="方正小标宋_GBK" w:cs="方正小标宋_GBK"/>
          <w:b/>
        </w:rPr>
      </w:pPr>
    </w:p>
    <w:p w14:paraId="2C51F844">
      <w:pPr>
        <w:pageBreakBefore w:val="0"/>
        <w:widowControl w:val="0"/>
        <w:numPr>
          <w:ilvl w:val="0"/>
          <w:numId w:val="0"/>
        </w:numPr>
        <w:suppressAutoHyphens/>
        <w:kinsoku/>
        <w:wordWrap/>
        <w:overflowPunct/>
        <w:topLinePunct w:val="0"/>
        <w:bidi w:val="0"/>
        <w:spacing w:line="600" w:lineRule="exact"/>
        <w:jc w:val="center"/>
        <w:outlineLvl w:val="0"/>
        <w:rPr>
          <w:rStyle w:val="31"/>
          <w:rFonts w:hint="eastAsia" w:ascii="方正小标宋_GBK" w:hAnsi="方正小标宋_GBK" w:eastAsia="方正小标宋_GBK" w:cs="方正小标宋_GBK"/>
          <w:b/>
        </w:rPr>
      </w:pPr>
    </w:p>
    <w:p w14:paraId="19779D89">
      <w:pPr>
        <w:pageBreakBefore w:val="0"/>
        <w:widowControl w:val="0"/>
        <w:numPr>
          <w:ilvl w:val="0"/>
          <w:numId w:val="0"/>
        </w:numPr>
        <w:suppressAutoHyphens/>
        <w:kinsoku/>
        <w:wordWrap/>
        <w:overflowPunct/>
        <w:topLinePunct w:val="0"/>
        <w:bidi w:val="0"/>
        <w:spacing w:line="600" w:lineRule="exact"/>
        <w:jc w:val="center"/>
        <w:outlineLvl w:val="0"/>
        <w:rPr>
          <w:rStyle w:val="31"/>
          <w:rFonts w:hint="eastAsia" w:ascii="方正小标宋_GBK" w:hAnsi="方正小标宋_GBK" w:eastAsia="方正小标宋_GBK" w:cs="方正小标宋_GBK"/>
          <w:b/>
        </w:rPr>
      </w:pPr>
    </w:p>
    <w:p w14:paraId="6568D9BC">
      <w:pPr>
        <w:pageBreakBefore w:val="0"/>
        <w:widowControl w:val="0"/>
        <w:numPr>
          <w:ilvl w:val="0"/>
          <w:numId w:val="0"/>
        </w:numPr>
        <w:suppressAutoHyphens/>
        <w:kinsoku/>
        <w:wordWrap/>
        <w:overflowPunct/>
        <w:topLinePunct w:val="0"/>
        <w:bidi w:val="0"/>
        <w:spacing w:line="600" w:lineRule="exact"/>
        <w:jc w:val="center"/>
        <w:outlineLvl w:val="0"/>
        <w:rPr>
          <w:rStyle w:val="31"/>
          <w:rFonts w:hint="eastAsia" w:ascii="方正小标宋_GBK" w:hAnsi="方正小标宋_GBK" w:eastAsia="方正小标宋_GBK" w:cs="方正小标宋_GBK"/>
          <w:b/>
        </w:rPr>
      </w:pPr>
      <w:r>
        <w:rPr>
          <w:rStyle w:val="31"/>
          <w:rFonts w:hint="eastAsia" w:ascii="方正小标宋_GBK" w:hAnsi="方正小标宋_GBK" w:eastAsia="方正小标宋_GBK" w:cs="方正小标宋_GBK"/>
          <w:b/>
        </w:rPr>
        <w:t>第四部分  附件</w:t>
      </w:r>
      <w:bookmarkEnd w:id="55"/>
    </w:p>
    <w:p w14:paraId="4C6182F7">
      <w:pPr>
        <w:spacing w:line="572" w:lineRule="exact"/>
        <w:jc w:val="left"/>
        <w:outlineLvl w:val="0"/>
        <w:rPr>
          <w:rFonts w:eastAsia="黑体" w:cs="黑体"/>
          <w:color w:val="FF0000"/>
          <w:sz w:val="32"/>
          <w:szCs w:val="32"/>
        </w:rPr>
      </w:pPr>
    </w:p>
    <w:p w14:paraId="1361E2E2">
      <w:pPr>
        <w:pStyle w:val="14"/>
      </w:pPr>
    </w:p>
    <w:p w14:paraId="3DC6C73C">
      <w:pPr>
        <w:spacing w:line="572" w:lineRule="exact"/>
        <w:jc w:val="left"/>
        <w:outlineLvl w:val="0"/>
        <w:rPr>
          <w:rFonts w:hint="default" w:ascii="Times New Roman" w:hAnsi="Times New Roman" w:eastAsia="方正小标宋简体" w:cs="Times New Roman"/>
          <w:bCs/>
          <w:sz w:val="44"/>
          <w:szCs w:val="44"/>
          <w:shd w:val="clear" w:color="auto" w:fill="FFFFFF"/>
        </w:rPr>
      </w:pPr>
      <w:r>
        <w:rPr>
          <w:rFonts w:hint="default" w:ascii="Times New Roman" w:hAnsi="Times New Roman" w:eastAsia="黑体" w:cs="Times New Roman"/>
          <w:sz w:val="32"/>
          <w:szCs w:val="32"/>
        </w:rPr>
        <w:t>附件1</w:t>
      </w:r>
    </w:p>
    <w:p w14:paraId="0203FD9A">
      <w:pPr>
        <w:keepNext w:val="0"/>
        <w:keepLines w:val="0"/>
        <w:pageBreakBefore w:val="0"/>
        <w:widowControl/>
        <w:kinsoku/>
        <w:wordWrap/>
        <w:overflowPunct/>
        <w:topLinePunct w:val="0"/>
        <w:autoSpaceDE/>
        <w:autoSpaceDN/>
        <w:bidi w:val="0"/>
        <w:adjustRightInd/>
        <w:snapToGrid/>
        <w:spacing w:line="700" w:lineRule="exact"/>
        <w:ind w:left="0" w:firstLine="880" w:firstLineChars="200"/>
        <w:contextualSpacing/>
        <w:jc w:val="center"/>
        <w:textAlignment w:val="auto"/>
        <w:rPr>
          <w:rFonts w:hint="default" w:ascii="Times New Roman" w:hAnsi="Times New Roman" w:eastAsia="方正小标宋_GBK" w:cs="Times New Roman"/>
          <w:b w:val="0"/>
          <w:bCs w:val="0"/>
          <w:sz w:val="44"/>
          <w:szCs w:val="44"/>
          <w:shd w:val="clear" w:color="auto" w:fill="FFFFFF"/>
          <w:lang w:bidi="ar-SA"/>
        </w:rPr>
      </w:pPr>
      <w:r>
        <w:rPr>
          <w:rFonts w:hint="default" w:ascii="Times New Roman" w:hAnsi="Times New Roman" w:eastAsia="方正小标宋_GBK" w:cs="Times New Roman"/>
          <w:b w:val="0"/>
          <w:bCs w:val="0"/>
          <w:sz w:val="44"/>
          <w:szCs w:val="44"/>
          <w:shd w:val="clear" w:color="auto" w:fill="FFFFFF"/>
          <w:lang w:eastAsia="zh-CN" w:bidi="ar-SA"/>
        </w:rPr>
        <w:t>攀枝花市民政局</w:t>
      </w:r>
    </w:p>
    <w:p w14:paraId="223E69C9">
      <w:pPr>
        <w:keepNext w:val="0"/>
        <w:keepLines w:val="0"/>
        <w:pageBreakBefore w:val="0"/>
        <w:widowControl/>
        <w:kinsoku/>
        <w:wordWrap/>
        <w:overflowPunct/>
        <w:topLinePunct w:val="0"/>
        <w:autoSpaceDE/>
        <w:autoSpaceDN/>
        <w:bidi w:val="0"/>
        <w:adjustRightInd/>
        <w:snapToGrid/>
        <w:spacing w:line="700" w:lineRule="exact"/>
        <w:ind w:left="0" w:firstLine="880" w:firstLineChars="200"/>
        <w:contextualSpacing/>
        <w:jc w:val="center"/>
        <w:textAlignment w:val="auto"/>
        <w:rPr>
          <w:rFonts w:hint="default" w:ascii="Times New Roman" w:hAnsi="Times New Roman" w:eastAsia="方正小标宋_GBK" w:cs="Times New Roman"/>
          <w:b w:val="0"/>
          <w:bCs w:val="0"/>
          <w:sz w:val="44"/>
          <w:szCs w:val="44"/>
          <w:shd w:val="clear" w:color="auto" w:fill="FFFFFF"/>
          <w:lang w:bidi="ar-SA"/>
        </w:rPr>
      </w:pPr>
      <w:r>
        <w:rPr>
          <w:rFonts w:hint="default" w:ascii="Times New Roman" w:hAnsi="Times New Roman" w:eastAsia="方正小标宋_GBK" w:cs="Times New Roman"/>
          <w:b w:val="0"/>
          <w:bCs w:val="0"/>
          <w:sz w:val="44"/>
          <w:szCs w:val="44"/>
          <w:shd w:val="clear" w:color="auto" w:fill="FFFFFF"/>
          <w:lang w:val="en-US" w:eastAsia="zh-CN" w:bidi="ar-SA"/>
        </w:rPr>
        <w:t>2025年度</w:t>
      </w:r>
      <w:r>
        <w:rPr>
          <w:rFonts w:hint="default" w:ascii="Times New Roman" w:hAnsi="Times New Roman" w:eastAsia="方正小标宋_GBK" w:cs="Times New Roman"/>
          <w:b w:val="0"/>
          <w:bCs w:val="0"/>
          <w:sz w:val="44"/>
          <w:szCs w:val="44"/>
          <w:shd w:val="clear" w:color="auto" w:fill="FFFFFF"/>
          <w:lang w:bidi="ar-SA"/>
        </w:rPr>
        <w:t>预算绩效自评报告</w:t>
      </w:r>
    </w:p>
    <w:p w14:paraId="2FBF7A98">
      <w:pPr>
        <w:pageBreakBefore w:val="0"/>
        <w:widowControl/>
        <w:kinsoku/>
        <w:wordWrap/>
        <w:overflowPunct/>
        <w:topLinePunct w:val="0"/>
        <w:autoSpaceDE/>
        <w:autoSpaceDN/>
        <w:bidi w:val="0"/>
        <w:adjustRightInd w:val="0"/>
        <w:snapToGrid w:val="0"/>
        <w:spacing w:line="600" w:lineRule="exact"/>
        <w:ind w:firstLine="480" w:firstLineChars="200"/>
        <w:contextualSpacing/>
        <w:jc w:val="left"/>
        <w:rPr>
          <w:rFonts w:hint="default" w:ascii="Times New Roman" w:hAnsi="Times New Roman" w:eastAsia="黑体" w:cs="Times New Roman"/>
          <w:color w:val="000000"/>
          <w:kern w:val="0"/>
          <w:sz w:val="24"/>
          <w:szCs w:val="32"/>
          <w:shd w:val="clear" w:color="auto" w:fill="FFFFFF"/>
        </w:rPr>
      </w:pPr>
    </w:p>
    <w:p w14:paraId="55A73A90">
      <w:pPr>
        <w:pageBreakBefore w:val="0"/>
        <w:widowControl/>
        <w:kinsoku/>
        <w:wordWrap/>
        <w:overflowPunct/>
        <w:topLinePunct w:val="0"/>
        <w:autoSpaceDE/>
        <w:autoSpaceDN/>
        <w:bidi w:val="0"/>
        <w:adjustRightInd w:val="0"/>
        <w:snapToGrid w:val="0"/>
        <w:spacing w:line="600" w:lineRule="exact"/>
        <w:ind w:firstLine="640" w:firstLineChars="200"/>
        <w:contextualSpacing/>
        <w:rPr>
          <w:rFonts w:hint="default" w:ascii="Times New Roman" w:hAnsi="Times New Roman" w:eastAsia="方正黑体_GBK" w:cs="Times New Roman"/>
          <w:color w:val="000000"/>
          <w:kern w:val="0"/>
          <w:sz w:val="32"/>
          <w:szCs w:val="32"/>
          <w:shd w:val="clear" w:color="auto" w:fill="FFFFFF"/>
          <w:lang w:val="zh-CN" w:eastAsia="zh-CN" w:bidi="ar-SA"/>
        </w:rPr>
      </w:pPr>
      <w:r>
        <w:rPr>
          <w:rFonts w:hint="default" w:ascii="Times New Roman" w:hAnsi="Times New Roman" w:eastAsia="方正黑体_GBK" w:cs="Times New Roman"/>
          <w:color w:val="000000"/>
          <w:kern w:val="0"/>
          <w:sz w:val="32"/>
          <w:szCs w:val="32"/>
          <w:shd w:val="clear" w:color="auto" w:fill="FFFFFF"/>
          <w:lang w:val="en-US" w:eastAsia="zh-CN" w:bidi="ar-SA"/>
        </w:rPr>
        <w:t xml:space="preserve">    </w:t>
      </w:r>
      <w:r>
        <w:rPr>
          <w:rFonts w:hint="default" w:ascii="Times New Roman" w:hAnsi="Times New Roman" w:eastAsia="方正黑体_GBK" w:cs="Times New Roman"/>
          <w:color w:val="000000"/>
          <w:kern w:val="0"/>
          <w:sz w:val="32"/>
          <w:szCs w:val="32"/>
          <w:shd w:val="clear" w:color="auto" w:fill="FFFFFF"/>
          <w:lang w:val="zh-CN" w:eastAsia="zh-CN" w:bidi="ar-SA"/>
        </w:rPr>
        <w:t>一、基本情况</w:t>
      </w:r>
    </w:p>
    <w:p w14:paraId="4F094230">
      <w:pPr>
        <w:spacing w:line="600" w:lineRule="exact"/>
        <w:ind w:firstLine="643" w:firstLineChars="200"/>
        <w:outlineLvl w:val="2"/>
        <w:rPr>
          <w:rFonts w:hint="default" w:ascii="Times New Roman" w:hAnsi="Times New Roman" w:eastAsia="楷体_GB2312" w:cs="Times New Roman"/>
          <w:b/>
          <w:sz w:val="32"/>
          <w:szCs w:val="32"/>
          <w:lang w:val="zh-CN" w:eastAsia="zh-CN"/>
        </w:rPr>
      </w:pPr>
      <w:r>
        <w:rPr>
          <w:rFonts w:hint="default" w:ascii="Times New Roman" w:hAnsi="Times New Roman" w:eastAsia="楷体_GB2312" w:cs="Times New Roman"/>
          <w:b/>
          <w:sz w:val="32"/>
          <w:szCs w:val="32"/>
          <w:lang w:val="zh-CN" w:eastAsia="zh-CN"/>
        </w:rPr>
        <w:t>（一）机构组成</w:t>
      </w:r>
    </w:p>
    <w:p w14:paraId="5D710C36">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方正仿宋_GBK" w:cs="Times New Roman"/>
          <w:sz w:val="32"/>
          <w:szCs w:val="32"/>
          <w:highlight w:val="none"/>
          <w:lang w:val="zh-CN" w:eastAsia="zh-CN" w:bidi="ar-SA"/>
        </w:rPr>
      </w:pPr>
      <w:r>
        <w:rPr>
          <w:rFonts w:hint="default" w:ascii="Times New Roman" w:hAnsi="Times New Roman" w:eastAsia="方正仿宋_GBK" w:cs="Times New Roman"/>
          <w:sz w:val="32"/>
          <w:szCs w:val="32"/>
          <w:highlight w:val="none"/>
          <w:lang w:val="zh-CN" w:eastAsia="zh-CN" w:bidi="ar-SA"/>
        </w:rPr>
        <w:t>市民政局属正县级行政单位，内设8个科室，分别为办公室、规划财务科（政策法规与行政审批科）、社会组织管理科、社会救助科、社会事务科（区划地名科）、社会福利科（儿童保障科）、养老服务与事业发展科（老龄工作科）、慈善事业促进科。</w:t>
      </w:r>
    </w:p>
    <w:p w14:paraId="1B5BBD53">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highlight w:val="none"/>
          <w:lang w:bidi="ar-SA"/>
        </w:rPr>
        <w:t>市民政局下属单位</w:t>
      </w:r>
      <w:r>
        <w:rPr>
          <w:rFonts w:hint="default" w:ascii="Times New Roman" w:hAnsi="Times New Roman" w:eastAsia="方正仿宋_GBK" w:cs="Times New Roman"/>
          <w:sz w:val="32"/>
          <w:szCs w:val="32"/>
          <w:highlight w:val="none"/>
          <w:lang w:val="en-US" w:eastAsia="zh-CN" w:bidi="ar-SA"/>
        </w:rPr>
        <w:t>6</w:t>
      </w:r>
      <w:r>
        <w:rPr>
          <w:rFonts w:hint="default" w:ascii="Times New Roman" w:hAnsi="Times New Roman" w:eastAsia="方正仿宋_GBK" w:cs="Times New Roman"/>
          <w:sz w:val="32"/>
          <w:szCs w:val="32"/>
          <w:highlight w:val="none"/>
          <w:lang w:bidi="ar-SA"/>
        </w:rPr>
        <w:t>个，参照公务员法管理的事业单位</w:t>
      </w:r>
      <w:r>
        <w:rPr>
          <w:rFonts w:hint="default" w:ascii="Times New Roman" w:hAnsi="Times New Roman" w:eastAsia="方正仿宋_GBK" w:cs="Times New Roman"/>
          <w:sz w:val="32"/>
          <w:szCs w:val="32"/>
          <w:highlight w:val="none"/>
          <w:lang w:val="en-US" w:eastAsia="zh-CN" w:bidi="ar-SA"/>
        </w:rPr>
        <w:t>1</w:t>
      </w:r>
      <w:r>
        <w:rPr>
          <w:rFonts w:hint="default" w:ascii="Times New Roman" w:hAnsi="Times New Roman" w:eastAsia="方正仿宋_GBK" w:cs="Times New Roman"/>
          <w:sz w:val="32"/>
          <w:szCs w:val="32"/>
          <w:highlight w:val="none"/>
          <w:lang w:bidi="ar-SA"/>
        </w:rPr>
        <w:t>个</w:t>
      </w:r>
      <w:r>
        <w:rPr>
          <w:rFonts w:hint="default" w:ascii="Times New Roman" w:hAnsi="Times New Roman" w:eastAsia="方正仿宋_GBK" w:cs="Times New Roman"/>
          <w:sz w:val="32"/>
          <w:szCs w:val="32"/>
          <w:highlight w:val="none"/>
          <w:lang w:eastAsia="zh-CN" w:bidi="ar-SA"/>
        </w:rPr>
        <w:t>（市老龄事业发展中心）</w:t>
      </w:r>
      <w:r>
        <w:rPr>
          <w:rFonts w:hint="default" w:ascii="Times New Roman" w:hAnsi="Times New Roman" w:eastAsia="方正仿宋_GBK" w:cs="Times New Roman"/>
          <w:sz w:val="32"/>
          <w:szCs w:val="32"/>
          <w:highlight w:val="none"/>
          <w:lang w:bidi="ar-SA"/>
        </w:rPr>
        <w:t>，其他事业单位</w:t>
      </w:r>
      <w:r>
        <w:rPr>
          <w:rFonts w:hint="default" w:ascii="Times New Roman" w:hAnsi="Times New Roman" w:eastAsia="方正仿宋_GBK" w:cs="Times New Roman"/>
          <w:sz w:val="32"/>
          <w:szCs w:val="32"/>
          <w:highlight w:val="none"/>
          <w:lang w:val="en-US" w:eastAsia="zh-CN" w:bidi="ar-SA"/>
        </w:rPr>
        <w:t>5</w:t>
      </w:r>
      <w:r>
        <w:rPr>
          <w:rFonts w:hint="default" w:ascii="Times New Roman" w:hAnsi="Times New Roman" w:eastAsia="方正仿宋_GBK" w:cs="Times New Roman"/>
          <w:sz w:val="32"/>
          <w:szCs w:val="32"/>
          <w:highlight w:val="none"/>
          <w:lang w:bidi="ar-SA"/>
        </w:rPr>
        <w:t>个</w:t>
      </w:r>
      <w:r>
        <w:rPr>
          <w:rFonts w:hint="default" w:ascii="Times New Roman" w:hAnsi="Times New Roman" w:eastAsia="方正仿宋_GBK" w:cs="Times New Roman"/>
          <w:sz w:val="32"/>
          <w:szCs w:val="32"/>
          <w:highlight w:val="none"/>
          <w:lang w:eastAsia="zh-CN" w:bidi="ar-SA"/>
        </w:rPr>
        <w:t>（市民政事业发展促进中心、市社会福利院、市殡葬服务中心、市救助站、市儿童福利院），其中独立核算的事业单位</w:t>
      </w:r>
      <w:r>
        <w:rPr>
          <w:rFonts w:hint="default" w:ascii="Times New Roman" w:hAnsi="Times New Roman" w:eastAsia="方正仿宋_GBK" w:cs="Times New Roman"/>
          <w:sz w:val="32"/>
          <w:szCs w:val="32"/>
          <w:highlight w:val="none"/>
          <w:lang w:val="en-US" w:eastAsia="zh-CN" w:bidi="ar-SA"/>
        </w:rPr>
        <w:t>4个</w:t>
      </w:r>
      <w:r>
        <w:rPr>
          <w:rFonts w:hint="default" w:ascii="Times New Roman" w:hAnsi="Times New Roman" w:eastAsia="方正仿宋_GBK" w:cs="Times New Roman"/>
          <w:sz w:val="32"/>
          <w:szCs w:val="32"/>
          <w:highlight w:val="none"/>
          <w:lang w:eastAsia="zh-CN" w:bidi="ar-SA"/>
        </w:rPr>
        <w:t>（市社会福利院、市殡葬服务中心、市救助站、市儿童福利院）</w:t>
      </w:r>
      <w:r>
        <w:rPr>
          <w:rFonts w:hint="default" w:ascii="Times New Roman" w:hAnsi="Times New Roman" w:eastAsia="方正仿宋_GBK" w:cs="Times New Roman"/>
          <w:sz w:val="32"/>
          <w:szCs w:val="32"/>
          <w:highlight w:val="none"/>
          <w:lang w:bidi="ar-SA"/>
        </w:rPr>
        <w:t>。</w:t>
      </w:r>
    </w:p>
    <w:p w14:paraId="367BFF04">
      <w:pPr>
        <w:spacing w:line="600" w:lineRule="exact"/>
        <w:ind w:firstLine="643" w:firstLineChars="200"/>
        <w:outlineLvl w:val="2"/>
        <w:rPr>
          <w:rFonts w:hint="default" w:ascii="Times New Roman" w:hAnsi="Times New Roman" w:eastAsia="楷体_GB2312" w:cs="Times New Roman"/>
          <w:b/>
          <w:sz w:val="32"/>
          <w:szCs w:val="32"/>
          <w:lang w:val="zh-CN" w:eastAsia="zh-CN"/>
        </w:rPr>
      </w:pPr>
      <w:r>
        <w:rPr>
          <w:rFonts w:hint="default" w:ascii="Times New Roman" w:hAnsi="Times New Roman" w:eastAsia="楷体_GB2312" w:cs="Times New Roman"/>
          <w:b/>
          <w:sz w:val="32"/>
          <w:szCs w:val="32"/>
          <w:lang w:val="zh-CN" w:eastAsia="zh-CN"/>
        </w:rPr>
        <w:t>（二）机构职能</w:t>
      </w:r>
    </w:p>
    <w:p w14:paraId="2CD2FAEA">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方正仿宋_GBK" w:cs="Times New Roman"/>
          <w:sz w:val="32"/>
          <w:szCs w:val="32"/>
          <w:highlight w:val="none"/>
          <w:lang w:val="zh-CN" w:eastAsia="zh-CN" w:bidi="ar-SA"/>
        </w:rPr>
      </w:pPr>
      <w:r>
        <w:rPr>
          <w:rFonts w:hint="default" w:ascii="Times New Roman" w:hAnsi="Times New Roman" w:eastAsia="方正仿宋_GBK" w:cs="Times New Roman"/>
          <w:sz w:val="32"/>
          <w:szCs w:val="32"/>
          <w:highlight w:val="none"/>
          <w:lang w:val="zh-CN" w:eastAsia="zh-CN" w:bidi="ar-SA"/>
        </w:rPr>
        <w:t>1</w:t>
      </w:r>
      <w:r>
        <w:rPr>
          <w:rFonts w:hint="default" w:ascii="Times New Roman" w:hAnsi="Times New Roman" w:eastAsia="方正仿宋_GBK" w:cs="Times New Roman"/>
          <w:sz w:val="32"/>
          <w:szCs w:val="32"/>
          <w:highlight w:val="none"/>
          <w:lang w:val="en-US" w:eastAsia="zh-CN" w:bidi="ar-SA"/>
        </w:rPr>
        <w:t>.拟订全市民政事业发展规划、政策、标准并组</w:t>
      </w:r>
      <w:r>
        <w:rPr>
          <w:rFonts w:hint="default" w:ascii="Times New Roman" w:hAnsi="Times New Roman" w:eastAsia="方正仿宋_GBK" w:cs="Times New Roman"/>
          <w:sz w:val="32"/>
          <w:szCs w:val="32"/>
          <w:highlight w:val="none"/>
          <w:lang w:val="zh-CN" w:eastAsia="zh-CN" w:bidi="ar-SA"/>
        </w:rPr>
        <w:t>织实施。</w:t>
      </w:r>
    </w:p>
    <w:p w14:paraId="39437011">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方正仿宋_GBK" w:cs="Times New Roman"/>
          <w:sz w:val="32"/>
          <w:szCs w:val="32"/>
          <w:highlight w:val="none"/>
          <w:lang w:val="zh-CN" w:eastAsia="zh-CN" w:bidi="ar-SA"/>
        </w:rPr>
      </w:pPr>
      <w:r>
        <w:rPr>
          <w:rFonts w:hint="default" w:ascii="Times New Roman" w:hAnsi="Times New Roman" w:eastAsia="方正仿宋_GBK" w:cs="Times New Roman"/>
          <w:sz w:val="32"/>
          <w:szCs w:val="32"/>
          <w:highlight w:val="none"/>
          <w:lang w:val="zh-CN" w:eastAsia="zh-CN" w:bidi="ar-SA"/>
        </w:rPr>
        <w:t>2</w:t>
      </w:r>
      <w:r>
        <w:rPr>
          <w:rFonts w:hint="default" w:ascii="Times New Roman" w:hAnsi="Times New Roman" w:eastAsia="方正仿宋_GBK" w:cs="Times New Roman"/>
          <w:sz w:val="32"/>
          <w:szCs w:val="32"/>
          <w:highlight w:val="none"/>
          <w:lang w:val="en-US" w:eastAsia="zh-CN" w:bidi="ar-SA"/>
        </w:rPr>
        <w:t>.拟订社会团体、社会服务机构等社会组织登记</w:t>
      </w:r>
      <w:r>
        <w:rPr>
          <w:rFonts w:hint="default" w:ascii="Times New Roman" w:hAnsi="Times New Roman" w:eastAsia="方正仿宋_GBK" w:cs="Times New Roman"/>
          <w:sz w:val="32"/>
          <w:szCs w:val="32"/>
          <w:highlight w:val="none"/>
          <w:lang w:val="zh-CN" w:eastAsia="zh-CN" w:bidi="ar-SA"/>
        </w:rPr>
        <w:t>和监督管理办法并组织实施，依法对社会组织进行登记管理和执法监督。</w:t>
      </w:r>
    </w:p>
    <w:p w14:paraId="21714CF0">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方正仿宋_GBK" w:cs="Times New Roman"/>
          <w:sz w:val="32"/>
          <w:szCs w:val="32"/>
          <w:highlight w:val="none"/>
          <w:lang w:val="zh-CN" w:eastAsia="zh-CN" w:bidi="ar-SA"/>
        </w:rPr>
      </w:pPr>
      <w:r>
        <w:rPr>
          <w:rFonts w:hint="default" w:ascii="Times New Roman" w:hAnsi="Times New Roman" w:eastAsia="方正仿宋_GBK" w:cs="Times New Roman"/>
          <w:sz w:val="32"/>
          <w:szCs w:val="32"/>
          <w:highlight w:val="none"/>
          <w:lang w:val="zh-CN" w:eastAsia="zh-CN" w:bidi="ar-SA"/>
        </w:rPr>
        <w:t>3</w:t>
      </w:r>
      <w:r>
        <w:rPr>
          <w:rFonts w:hint="default" w:ascii="Times New Roman" w:hAnsi="Times New Roman" w:eastAsia="方正仿宋_GBK" w:cs="Times New Roman"/>
          <w:sz w:val="32"/>
          <w:szCs w:val="32"/>
          <w:highlight w:val="none"/>
          <w:lang w:val="en-US" w:eastAsia="zh-CN" w:bidi="ar-SA"/>
        </w:rPr>
        <w:t>.牵头拟订社会救助规划、政策和标准，统筹推</w:t>
      </w:r>
      <w:r>
        <w:rPr>
          <w:rFonts w:hint="default" w:ascii="Times New Roman" w:hAnsi="Times New Roman" w:eastAsia="方正仿宋_GBK" w:cs="Times New Roman"/>
          <w:sz w:val="32"/>
          <w:szCs w:val="32"/>
          <w:highlight w:val="none"/>
          <w:lang w:val="zh-CN" w:eastAsia="zh-CN" w:bidi="ar-SA"/>
        </w:rPr>
        <w:t>进社会救助体系建设，负责城乡居民最低生活保障、特困人员救助供养、临时救助、生活无着流浪乞讨人员救助工作。</w:t>
      </w:r>
    </w:p>
    <w:p w14:paraId="37128F8E">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方正仿宋_GBK" w:cs="Times New Roman"/>
          <w:sz w:val="32"/>
          <w:szCs w:val="32"/>
          <w:highlight w:val="none"/>
          <w:lang w:val="zh-CN" w:eastAsia="zh-CN" w:bidi="ar-SA"/>
        </w:rPr>
      </w:pPr>
      <w:r>
        <w:rPr>
          <w:rFonts w:hint="default" w:ascii="Times New Roman" w:hAnsi="Times New Roman" w:eastAsia="方正仿宋_GBK" w:cs="Times New Roman"/>
          <w:sz w:val="32"/>
          <w:szCs w:val="32"/>
          <w:highlight w:val="none"/>
          <w:lang w:val="zh-CN" w:eastAsia="zh-CN" w:bidi="ar-SA"/>
        </w:rPr>
        <w:t>4</w:t>
      </w:r>
      <w:r>
        <w:rPr>
          <w:rFonts w:hint="default" w:ascii="Times New Roman" w:hAnsi="Times New Roman" w:eastAsia="方正仿宋_GBK" w:cs="Times New Roman"/>
          <w:sz w:val="32"/>
          <w:szCs w:val="32"/>
          <w:highlight w:val="none"/>
          <w:lang w:val="en-US" w:eastAsia="zh-CN" w:bidi="ar-SA"/>
        </w:rPr>
        <w:t>.拟订行政区划、行政区域界线管理和地名管理</w:t>
      </w:r>
      <w:r>
        <w:rPr>
          <w:rFonts w:hint="default" w:ascii="Times New Roman" w:hAnsi="Times New Roman" w:eastAsia="方正仿宋_GBK" w:cs="Times New Roman"/>
          <w:sz w:val="32"/>
          <w:szCs w:val="32"/>
          <w:highlight w:val="none"/>
          <w:lang w:val="zh-CN" w:eastAsia="zh-CN" w:bidi="ar-SA"/>
        </w:rPr>
        <w:t>政策，组织拟订全市行政区划优化设置建议方案，按照管理权限牵头负责全市行政区划设立、命名、撤销、变更和政府驻地迁移等审核报批工作。组织并指导全市行政区域界线的勘定、管理工作，调处行政区域边界争议，负责全市地名工作的统一监督管理工作。</w:t>
      </w:r>
    </w:p>
    <w:p w14:paraId="18504797">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方正仿宋_GBK" w:cs="Times New Roman"/>
          <w:sz w:val="32"/>
          <w:szCs w:val="32"/>
          <w:highlight w:val="none"/>
          <w:lang w:val="zh-CN" w:eastAsia="zh-CN" w:bidi="ar-SA"/>
        </w:rPr>
      </w:pPr>
      <w:r>
        <w:rPr>
          <w:rFonts w:hint="default" w:ascii="Times New Roman" w:hAnsi="Times New Roman" w:eastAsia="方正仿宋_GBK" w:cs="Times New Roman"/>
          <w:sz w:val="32"/>
          <w:szCs w:val="32"/>
          <w:highlight w:val="none"/>
          <w:lang w:val="zh-CN" w:eastAsia="zh-CN" w:bidi="ar-SA"/>
        </w:rPr>
        <w:t>5</w:t>
      </w:r>
      <w:r>
        <w:rPr>
          <w:rFonts w:hint="default" w:ascii="Times New Roman" w:hAnsi="Times New Roman" w:eastAsia="方正仿宋_GBK" w:cs="Times New Roman"/>
          <w:sz w:val="32"/>
          <w:szCs w:val="32"/>
          <w:highlight w:val="none"/>
          <w:lang w:val="en-US" w:eastAsia="zh-CN" w:bidi="ar-SA"/>
        </w:rPr>
        <w:t>.拟订婚姻管理政策并组织实施，推进婚俗改革。</w:t>
      </w:r>
    </w:p>
    <w:p w14:paraId="570AFCF8">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方正仿宋_GBK" w:cs="Times New Roman"/>
          <w:sz w:val="32"/>
          <w:szCs w:val="32"/>
          <w:highlight w:val="none"/>
          <w:lang w:val="zh-CN" w:eastAsia="zh-CN" w:bidi="ar-SA"/>
        </w:rPr>
      </w:pPr>
      <w:r>
        <w:rPr>
          <w:rFonts w:hint="default" w:ascii="Times New Roman" w:hAnsi="Times New Roman" w:eastAsia="方正仿宋_GBK" w:cs="Times New Roman"/>
          <w:sz w:val="32"/>
          <w:szCs w:val="32"/>
          <w:highlight w:val="none"/>
          <w:lang w:val="zh-CN" w:eastAsia="zh-CN" w:bidi="ar-SA"/>
        </w:rPr>
        <w:t>6</w:t>
      </w:r>
      <w:r>
        <w:rPr>
          <w:rFonts w:hint="default" w:ascii="Times New Roman" w:hAnsi="Times New Roman" w:eastAsia="方正仿宋_GBK" w:cs="Times New Roman"/>
          <w:sz w:val="32"/>
          <w:szCs w:val="32"/>
          <w:highlight w:val="none"/>
          <w:lang w:val="en-US" w:eastAsia="zh-CN" w:bidi="ar-SA"/>
        </w:rPr>
        <w:t>.拟订殡葬管理政策、服务规范并组织实施，负</w:t>
      </w:r>
      <w:r>
        <w:rPr>
          <w:rFonts w:hint="default" w:ascii="Times New Roman" w:hAnsi="Times New Roman" w:eastAsia="方正仿宋_GBK" w:cs="Times New Roman"/>
          <w:sz w:val="32"/>
          <w:szCs w:val="32"/>
          <w:highlight w:val="none"/>
          <w:lang w:val="zh-CN" w:eastAsia="zh-CN" w:bidi="ar-SA"/>
        </w:rPr>
        <w:t>责殡葬管理工作，推进殡葬改革。</w:t>
      </w:r>
    </w:p>
    <w:p w14:paraId="72D0BD26">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方正仿宋_GBK" w:cs="Times New Roman"/>
          <w:sz w:val="32"/>
          <w:szCs w:val="32"/>
          <w:highlight w:val="none"/>
          <w:lang w:val="zh-CN" w:eastAsia="zh-CN" w:bidi="ar-SA"/>
        </w:rPr>
      </w:pPr>
      <w:r>
        <w:rPr>
          <w:rFonts w:hint="default" w:ascii="Times New Roman" w:hAnsi="Times New Roman" w:eastAsia="方正仿宋_GBK" w:cs="Times New Roman"/>
          <w:sz w:val="32"/>
          <w:szCs w:val="32"/>
          <w:highlight w:val="none"/>
          <w:lang w:val="zh-CN" w:eastAsia="zh-CN" w:bidi="ar-SA"/>
        </w:rPr>
        <w:t>7</w:t>
      </w:r>
      <w:r>
        <w:rPr>
          <w:rFonts w:hint="default" w:ascii="Times New Roman" w:hAnsi="Times New Roman" w:eastAsia="方正仿宋_GBK" w:cs="Times New Roman"/>
          <w:sz w:val="32"/>
          <w:szCs w:val="32"/>
          <w:highlight w:val="none"/>
          <w:lang w:val="en-US" w:eastAsia="zh-CN" w:bidi="ar-SA"/>
        </w:rPr>
        <w:t>.拟订社会福利事业发展规划、政策、标准，拟</w:t>
      </w:r>
      <w:r>
        <w:rPr>
          <w:rFonts w:hint="default" w:ascii="Times New Roman" w:hAnsi="Times New Roman" w:eastAsia="方正仿宋_GBK" w:cs="Times New Roman"/>
          <w:sz w:val="32"/>
          <w:szCs w:val="32"/>
          <w:highlight w:val="none"/>
          <w:lang w:val="zh-CN" w:eastAsia="zh-CN" w:bidi="ar-SA"/>
        </w:rPr>
        <w:t>订民政社会福利机构管理办法并指导实施，拟订残疾人权益保护政策并监督实施。负责康复辅助器具行业管理，统筹推进残疾人福利制度建设和康复辅助器具产业发展。</w:t>
      </w:r>
    </w:p>
    <w:p w14:paraId="67B3CD0F">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方正仿宋_GBK" w:cs="Times New Roman"/>
          <w:sz w:val="32"/>
          <w:szCs w:val="32"/>
          <w:highlight w:val="none"/>
          <w:lang w:val="zh-CN" w:eastAsia="zh-CN" w:bidi="ar-SA"/>
        </w:rPr>
      </w:pPr>
      <w:r>
        <w:rPr>
          <w:rFonts w:hint="default" w:ascii="Times New Roman" w:hAnsi="Times New Roman" w:eastAsia="方正仿宋_GBK" w:cs="Times New Roman"/>
          <w:sz w:val="32"/>
          <w:szCs w:val="32"/>
          <w:highlight w:val="none"/>
          <w:lang w:val="zh-CN" w:eastAsia="zh-CN" w:bidi="ar-SA"/>
        </w:rPr>
        <w:t>8</w:t>
      </w:r>
      <w:r>
        <w:rPr>
          <w:rFonts w:hint="default" w:ascii="Times New Roman" w:hAnsi="Times New Roman" w:eastAsia="方正仿宋_GBK" w:cs="Times New Roman"/>
          <w:sz w:val="32"/>
          <w:szCs w:val="32"/>
          <w:highlight w:val="none"/>
          <w:lang w:val="en-US" w:eastAsia="zh-CN" w:bidi="ar-SA"/>
        </w:rPr>
        <w:t>.承担市老龄工作委员会的具体工作。组织拟订</w:t>
      </w:r>
      <w:r>
        <w:rPr>
          <w:rFonts w:hint="default" w:ascii="Times New Roman" w:hAnsi="Times New Roman" w:eastAsia="方正仿宋_GBK" w:cs="Times New Roman"/>
          <w:sz w:val="32"/>
          <w:szCs w:val="32"/>
          <w:highlight w:val="none"/>
          <w:lang w:val="zh-CN" w:eastAsia="zh-CN" w:bidi="ar-SA"/>
        </w:rPr>
        <w:t>并协调落实积极应对人口老龄化政策措施。指导协调老年人权益保障工作。组织拟订老年人社会参与政策并组织实施。</w:t>
      </w:r>
    </w:p>
    <w:p w14:paraId="4608E45E">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方正仿宋_GBK" w:cs="Times New Roman"/>
          <w:sz w:val="32"/>
          <w:szCs w:val="32"/>
          <w:highlight w:val="none"/>
          <w:lang w:val="zh-CN" w:eastAsia="zh-CN" w:bidi="ar-SA"/>
        </w:rPr>
      </w:pPr>
      <w:r>
        <w:rPr>
          <w:rFonts w:hint="default" w:ascii="Times New Roman" w:hAnsi="Times New Roman" w:eastAsia="方正仿宋_GBK" w:cs="Times New Roman"/>
          <w:sz w:val="32"/>
          <w:szCs w:val="32"/>
          <w:highlight w:val="none"/>
          <w:lang w:val="zh-CN" w:eastAsia="zh-CN" w:bidi="ar-SA"/>
        </w:rPr>
        <w:t>9</w:t>
      </w:r>
      <w:r>
        <w:rPr>
          <w:rFonts w:hint="default" w:ascii="Times New Roman" w:hAnsi="Times New Roman" w:eastAsia="方正仿宋_GBK" w:cs="Times New Roman"/>
          <w:sz w:val="32"/>
          <w:szCs w:val="32"/>
          <w:highlight w:val="none"/>
          <w:lang w:val="en-US" w:eastAsia="zh-CN" w:bidi="ar-SA"/>
        </w:rPr>
        <w:t>.组织拟订并协调落实促进养老事业发展的政策</w:t>
      </w:r>
      <w:r>
        <w:rPr>
          <w:rFonts w:hint="default" w:ascii="Times New Roman" w:hAnsi="Times New Roman" w:eastAsia="方正仿宋_GBK" w:cs="Times New Roman"/>
          <w:sz w:val="32"/>
          <w:szCs w:val="32"/>
          <w:highlight w:val="none"/>
          <w:lang w:val="zh-CN" w:eastAsia="zh-CN" w:bidi="ar-SA"/>
        </w:rPr>
        <w:t>措施。统筹推进、督促指导、监督管理养老服务工作，拟订养老服务体系建设规划、政策、标准并组织实施，承担老年人福利和特殊困难老年人救助工作，协调推进农村留守老年人关爱服务工作。</w:t>
      </w:r>
    </w:p>
    <w:p w14:paraId="3AE52CB2">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方正仿宋_GBK" w:cs="Times New Roman"/>
          <w:spacing w:val="-8"/>
          <w:sz w:val="32"/>
          <w:szCs w:val="32"/>
          <w:highlight w:val="none"/>
          <w:lang w:val="zh-CN" w:eastAsia="zh-CN" w:bidi="ar-SA"/>
        </w:rPr>
      </w:pPr>
      <w:r>
        <w:rPr>
          <w:rFonts w:hint="default" w:ascii="Times New Roman" w:hAnsi="Times New Roman" w:eastAsia="方正仿宋_GBK" w:cs="Times New Roman"/>
          <w:sz w:val="32"/>
          <w:szCs w:val="32"/>
          <w:highlight w:val="none"/>
          <w:lang w:val="zh-CN" w:eastAsia="zh-CN" w:bidi="ar-SA"/>
        </w:rPr>
        <w:t>10</w:t>
      </w:r>
      <w:r>
        <w:rPr>
          <w:rFonts w:hint="default" w:ascii="Times New Roman" w:hAnsi="Times New Roman" w:eastAsia="方正仿宋_GBK" w:cs="Times New Roman"/>
          <w:sz w:val="32"/>
          <w:szCs w:val="32"/>
          <w:highlight w:val="none"/>
          <w:lang w:val="en-US" w:eastAsia="zh-CN" w:bidi="ar-SA"/>
        </w:rPr>
        <w:t>.拟订儿童福利、孤弃儿童保障、儿童收养、儿</w:t>
      </w:r>
      <w:r>
        <w:rPr>
          <w:rFonts w:hint="default" w:ascii="Times New Roman" w:hAnsi="Times New Roman" w:eastAsia="方正仿宋_GBK" w:cs="Times New Roman"/>
          <w:sz w:val="32"/>
          <w:szCs w:val="32"/>
          <w:highlight w:val="none"/>
          <w:lang w:val="zh-CN" w:eastAsia="zh-CN" w:bidi="ar-SA"/>
        </w:rPr>
        <w:t>童救助保护政策和标准并组织实施，健全农村留守儿童关爱服务体</w:t>
      </w:r>
      <w:r>
        <w:rPr>
          <w:rFonts w:hint="default" w:ascii="Times New Roman" w:hAnsi="Times New Roman" w:eastAsia="方正仿宋_GBK" w:cs="Times New Roman"/>
          <w:spacing w:val="-8"/>
          <w:sz w:val="32"/>
          <w:szCs w:val="32"/>
          <w:highlight w:val="none"/>
          <w:lang w:val="zh-CN" w:eastAsia="zh-CN" w:bidi="ar-SA"/>
        </w:rPr>
        <w:t>系和困境儿童保障制度，负责全市儿童涉港澳台收养登记工作。</w:t>
      </w:r>
    </w:p>
    <w:p w14:paraId="0EEFBFF6">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方正仿宋_GBK" w:cs="Times New Roman"/>
          <w:sz w:val="32"/>
          <w:szCs w:val="32"/>
          <w:highlight w:val="none"/>
          <w:lang w:val="zh-CN" w:eastAsia="zh-CN" w:bidi="ar-SA"/>
        </w:rPr>
      </w:pPr>
      <w:r>
        <w:rPr>
          <w:rFonts w:hint="default" w:ascii="Times New Roman" w:hAnsi="Times New Roman" w:eastAsia="方正仿宋_GBK" w:cs="Times New Roman"/>
          <w:sz w:val="32"/>
          <w:szCs w:val="32"/>
          <w:highlight w:val="none"/>
          <w:lang w:val="zh-CN" w:eastAsia="zh-CN" w:bidi="ar-SA"/>
        </w:rPr>
        <w:t>11</w:t>
      </w:r>
      <w:r>
        <w:rPr>
          <w:rFonts w:hint="default" w:ascii="Times New Roman" w:hAnsi="Times New Roman" w:eastAsia="方正仿宋_GBK" w:cs="Times New Roman"/>
          <w:sz w:val="32"/>
          <w:szCs w:val="32"/>
          <w:highlight w:val="none"/>
          <w:lang w:val="en-US" w:eastAsia="zh-CN" w:bidi="ar-SA"/>
        </w:rPr>
        <w:t>.组织拟订促进慈善事业发展政策，指导社会</w:t>
      </w:r>
      <w:r>
        <w:rPr>
          <w:rFonts w:hint="default" w:ascii="Times New Roman" w:hAnsi="Times New Roman" w:eastAsia="方正仿宋_GBK" w:cs="Times New Roman"/>
          <w:sz w:val="32"/>
          <w:szCs w:val="32"/>
          <w:highlight w:val="none"/>
          <w:lang w:val="zh-CN" w:eastAsia="zh-CN" w:bidi="ar-SA"/>
        </w:rPr>
        <w:t>捐助工作。管理本级福利彩票公益金。</w:t>
      </w:r>
    </w:p>
    <w:p w14:paraId="1DF6E209">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方正仿宋_GBK" w:cs="Times New Roman"/>
          <w:sz w:val="32"/>
          <w:szCs w:val="32"/>
          <w:highlight w:val="none"/>
          <w:lang w:val="zh-CN" w:eastAsia="zh-CN" w:bidi="ar-SA"/>
        </w:rPr>
      </w:pPr>
      <w:r>
        <w:rPr>
          <w:rFonts w:hint="default" w:ascii="Times New Roman" w:hAnsi="Times New Roman" w:eastAsia="方正仿宋_GBK" w:cs="Times New Roman"/>
          <w:sz w:val="32"/>
          <w:szCs w:val="32"/>
          <w:highlight w:val="none"/>
          <w:lang w:val="zh-CN" w:eastAsia="zh-CN" w:bidi="ar-SA"/>
        </w:rPr>
        <w:t>12</w:t>
      </w:r>
      <w:r>
        <w:rPr>
          <w:rFonts w:hint="default" w:ascii="Times New Roman" w:hAnsi="Times New Roman" w:eastAsia="方正仿宋_GBK" w:cs="Times New Roman"/>
          <w:sz w:val="32"/>
          <w:szCs w:val="32"/>
          <w:highlight w:val="none"/>
          <w:lang w:val="en-US" w:eastAsia="zh-CN" w:bidi="ar-SA"/>
        </w:rPr>
        <w:t>.依法依规负责康复辅助器具行业和民政社会</w:t>
      </w:r>
      <w:r>
        <w:rPr>
          <w:rFonts w:hint="default" w:ascii="Times New Roman" w:hAnsi="Times New Roman" w:eastAsia="方正仿宋_GBK" w:cs="Times New Roman"/>
          <w:sz w:val="32"/>
          <w:szCs w:val="32"/>
          <w:highlight w:val="none"/>
          <w:lang w:val="zh-CN" w:eastAsia="zh-CN" w:bidi="ar-SA"/>
        </w:rPr>
        <w:t>福利、养老服务、殡葬服务、救助管理机构安全生产监督管理工作。负责职责范围内的职业健康、生态环境保护、审批服务便民化等工作。</w:t>
      </w:r>
    </w:p>
    <w:p w14:paraId="068B9CB4">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方正仿宋_GBK" w:cs="Times New Roman"/>
          <w:sz w:val="32"/>
          <w:szCs w:val="32"/>
          <w:highlight w:val="none"/>
          <w:lang w:val="zh-CN" w:eastAsia="zh-CN" w:bidi="ar-SA"/>
        </w:rPr>
      </w:pPr>
      <w:r>
        <w:rPr>
          <w:rFonts w:hint="default" w:ascii="Times New Roman" w:hAnsi="Times New Roman" w:eastAsia="方正仿宋_GBK" w:cs="Times New Roman"/>
          <w:sz w:val="32"/>
          <w:szCs w:val="32"/>
          <w:highlight w:val="none"/>
          <w:lang w:val="zh-CN" w:eastAsia="zh-CN" w:bidi="ar-SA"/>
        </w:rPr>
        <w:t>13</w:t>
      </w:r>
      <w:r>
        <w:rPr>
          <w:rFonts w:hint="default" w:ascii="Times New Roman" w:hAnsi="Times New Roman" w:eastAsia="方正仿宋_GBK" w:cs="Times New Roman"/>
          <w:sz w:val="32"/>
          <w:szCs w:val="32"/>
          <w:highlight w:val="none"/>
          <w:lang w:val="en-US" w:eastAsia="zh-CN" w:bidi="ar-SA"/>
        </w:rPr>
        <w:t>.</w:t>
      </w:r>
      <w:r>
        <w:rPr>
          <w:rFonts w:hint="default" w:ascii="Times New Roman" w:hAnsi="Times New Roman" w:eastAsia="方正仿宋_GBK" w:cs="Times New Roman"/>
          <w:sz w:val="32"/>
          <w:szCs w:val="32"/>
          <w:highlight w:val="none"/>
          <w:lang w:val="zh-CN" w:eastAsia="zh-CN" w:bidi="ar-SA"/>
        </w:rPr>
        <w:t>完成市委、市政府交办的其他任务。</w:t>
      </w:r>
    </w:p>
    <w:p w14:paraId="5CB0D799">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楷体_GB2312" w:cs="Times New Roman"/>
          <w:b/>
          <w:sz w:val="32"/>
          <w:szCs w:val="32"/>
          <w:lang w:val="zh-CN" w:eastAsia="zh-CN"/>
        </w:rPr>
        <w:t>（三）人员概况。</w:t>
      </w:r>
      <w:r>
        <w:rPr>
          <w:rFonts w:hint="default" w:ascii="Times New Roman" w:hAnsi="Times New Roman" w:eastAsia="方正仿宋_GBK" w:cs="Times New Roman"/>
          <w:kern w:val="2"/>
          <w:sz w:val="32"/>
          <w:szCs w:val="32"/>
          <w:highlight w:val="none"/>
          <w:lang w:val="zh-CN" w:eastAsia="zh-CN" w:bidi="ar-SA"/>
        </w:rPr>
        <w:t>截至202</w:t>
      </w:r>
      <w:r>
        <w:rPr>
          <w:rFonts w:hint="default" w:ascii="Times New Roman" w:hAnsi="Times New Roman" w:eastAsia="方正仿宋_GBK" w:cs="Times New Roman"/>
          <w:kern w:val="2"/>
          <w:sz w:val="32"/>
          <w:szCs w:val="32"/>
          <w:highlight w:val="none"/>
          <w:lang w:val="en-US" w:eastAsia="zh-CN" w:bidi="ar-SA"/>
        </w:rPr>
        <w:t>5</w:t>
      </w:r>
      <w:r>
        <w:rPr>
          <w:rFonts w:hint="default" w:ascii="Times New Roman" w:hAnsi="Times New Roman" w:eastAsia="方正仿宋_GBK" w:cs="Times New Roman"/>
          <w:kern w:val="2"/>
          <w:sz w:val="32"/>
          <w:szCs w:val="32"/>
          <w:highlight w:val="none"/>
          <w:lang w:val="zh-CN" w:eastAsia="zh-CN" w:bidi="ar-SA"/>
        </w:rPr>
        <w:t>年末，市民政局及下属单位编制情况及实有人数情况如下：</w:t>
      </w:r>
    </w:p>
    <w:p w14:paraId="0A30F9E1">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方正仿宋_GBK" w:cs="Times New Roman"/>
          <w:sz w:val="32"/>
          <w:szCs w:val="32"/>
          <w:highlight w:val="none"/>
          <w:lang w:val="zh-CN" w:eastAsia="zh-CN" w:bidi="ar-SA"/>
        </w:rPr>
      </w:pPr>
      <w:r>
        <w:rPr>
          <w:rFonts w:hint="default" w:ascii="Times New Roman" w:hAnsi="Times New Roman" w:eastAsia="方正仿宋_GBK" w:cs="Times New Roman"/>
          <w:kern w:val="2"/>
          <w:sz w:val="32"/>
          <w:szCs w:val="32"/>
          <w:highlight w:val="none"/>
          <w:lang w:val="en-US" w:eastAsia="zh-CN" w:bidi="ar-SA"/>
        </w:rPr>
        <w:t>1.市民政局机关。202</w:t>
      </w:r>
      <w:r>
        <w:rPr>
          <w:rFonts w:hint="default" w:ascii="Times New Roman" w:hAnsi="Times New Roman" w:eastAsia="方正仿宋_GBK" w:cs="Times New Roman"/>
          <w:sz w:val="32"/>
          <w:szCs w:val="32"/>
          <w:highlight w:val="none"/>
          <w:lang w:val="en-US" w:eastAsia="zh-CN" w:bidi="ar-SA"/>
        </w:rPr>
        <w:t>5</w:t>
      </w:r>
      <w:r>
        <w:rPr>
          <w:rFonts w:hint="default" w:ascii="Times New Roman" w:hAnsi="Times New Roman" w:eastAsia="方正仿宋_GBK" w:cs="Times New Roman"/>
          <w:sz w:val="32"/>
          <w:szCs w:val="32"/>
          <w:highlight w:val="none"/>
          <w:lang w:val="zh-CN" w:eastAsia="zh-CN" w:bidi="ar-SA"/>
        </w:rPr>
        <w:t>年末在职行政人员1</w:t>
      </w:r>
      <w:r>
        <w:rPr>
          <w:rFonts w:hint="default" w:ascii="Times New Roman" w:hAnsi="Times New Roman" w:eastAsia="方正仿宋_GBK" w:cs="Times New Roman"/>
          <w:sz w:val="32"/>
          <w:szCs w:val="32"/>
          <w:highlight w:val="none"/>
          <w:lang w:val="en-US" w:eastAsia="zh-CN" w:bidi="ar-SA"/>
        </w:rPr>
        <w:t>7</w:t>
      </w:r>
      <w:r>
        <w:rPr>
          <w:rFonts w:hint="default" w:ascii="Times New Roman" w:hAnsi="Times New Roman" w:eastAsia="方正仿宋_GBK" w:cs="Times New Roman"/>
          <w:sz w:val="32"/>
          <w:szCs w:val="32"/>
          <w:highlight w:val="none"/>
          <w:lang w:val="zh-CN" w:eastAsia="zh-CN" w:bidi="ar-SA"/>
        </w:rPr>
        <w:t>人，后勤人员</w:t>
      </w:r>
      <w:r>
        <w:rPr>
          <w:rFonts w:hint="default" w:ascii="Times New Roman" w:hAnsi="Times New Roman" w:eastAsia="方正仿宋_GBK" w:cs="Times New Roman"/>
          <w:sz w:val="32"/>
          <w:szCs w:val="32"/>
          <w:highlight w:val="none"/>
          <w:lang w:val="en-US" w:eastAsia="zh-CN" w:bidi="ar-SA"/>
        </w:rPr>
        <w:t>3</w:t>
      </w:r>
      <w:r>
        <w:rPr>
          <w:rFonts w:hint="default" w:ascii="Times New Roman" w:hAnsi="Times New Roman" w:eastAsia="方正仿宋_GBK" w:cs="Times New Roman"/>
          <w:sz w:val="32"/>
          <w:szCs w:val="32"/>
          <w:highlight w:val="none"/>
          <w:lang w:val="zh-CN" w:eastAsia="zh-CN" w:bidi="ar-SA"/>
        </w:rPr>
        <w:t>名；退休人员</w:t>
      </w:r>
      <w:r>
        <w:rPr>
          <w:rFonts w:hint="default" w:ascii="Times New Roman" w:hAnsi="Times New Roman" w:eastAsia="方正仿宋_GBK" w:cs="Times New Roman"/>
          <w:sz w:val="32"/>
          <w:szCs w:val="32"/>
          <w:highlight w:val="none"/>
          <w:lang w:val="en-US" w:eastAsia="zh-CN" w:bidi="ar-SA"/>
        </w:rPr>
        <w:t>34人。</w:t>
      </w:r>
    </w:p>
    <w:p w14:paraId="354F9461">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方正仿宋_GBK" w:cs="Times New Roman"/>
          <w:sz w:val="32"/>
          <w:szCs w:val="32"/>
          <w:highlight w:val="none"/>
          <w:lang w:val="en-US" w:eastAsia="zh-CN" w:bidi="ar-SA"/>
        </w:rPr>
        <w:t>2.</w:t>
      </w:r>
      <w:r>
        <w:rPr>
          <w:rFonts w:hint="default" w:ascii="Times New Roman" w:hAnsi="Times New Roman" w:eastAsia="方正仿宋_GBK" w:cs="Times New Roman"/>
          <w:sz w:val="32"/>
          <w:szCs w:val="32"/>
          <w:highlight w:val="none"/>
          <w:lang w:val="zh-CN" w:eastAsia="zh-CN" w:bidi="ar-SA"/>
        </w:rPr>
        <w:t>市老龄事业发展中心。</w:t>
      </w:r>
      <w:r>
        <w:rPr>
          <w:rFonts w:hint="default" w:ascii="Times New Roman" w:hAnsi="Times New Roman" w:eastAsia="方正仿宋_GBK" w:cs="Times New Roman"/>
          <w:sz w:val="32"/>
          <w:szCs w:val="32"/>
          <w:highlight w:val="none"/>
          <w:lang w:val="en-US" w:eastAsia="zh-CN" w:bidi="ar-SA"/>
        </w:rPr>
        <w:t>2025</w:t>
      </w:r>
      <w:r>
        <w:rPr>
          <w:rFonts w:hint="default" w:ascii="Times New Roman" w:hAnsi="Times New Roman" w:eastAsia="方正仿宋_GBK" w:cs="Times New Roman"/>
          <w:sz w:val="32"/>
          <w:szCs w:val="32"/>
          <w:highlight w:val="none"/>
          <w:lang w:val="zh-CN" w:eastAsia="zh-CN" w:bidi="ar-SA"/>
        </w:rPr>
        <w:t>年末在职职工</w:t>
      </w:r>
      <w:r>
        <w:rPr>
          <w:rFonts w:hint="default" w:ascii="Times New Roman" w:hAnsi="Times New Roman" w:eastAsia="方正仿宋_GBK" w:cs="Times New Roman"/>
          <w:sz w:val="32"/>
          <w:szCs w:val="32"/>
          <w:highlight w:val="none"/>
          <w:lang w:val="en-US" w:eastAsia="zh-CN" w:bidi="ar-SA"/>
        </w:rPr>
        <w:t>4</w:t>
      </w:r>
      <w:r>
        <w:rPr>
          <w:rFonts w:hint="default" w:ascii="Times New Roman" w:hAnsi="Times New Roman" w:eastAsia="方正仿宋_GBK" w:cs="Times New Roman"/>
          <w:sz w:val="32"/>
          <w:szCs w:val="32"/>
          <w:highlight w:val="none"/>
          <w:lang w:val="zh-CN" w:eastAsia="zh-CN" w:bidi="ar-SA"/>
        </w:rPr>
        <w:t>人</w:t>
      </w:r>
      <w:r>
        <w:rPr>
          <w:rFonts w:hint="default" w:ascii="Times New Roman" w:hAnsi="Times New Roman" w:eastAsia="方正仿宋_GBK" w:cs="Times New Roman"/>
          <w:kern w:val="2"/>
          <w:sz w:val="32"/>
          <w:szCs w:val="32"/>
          <w:highlight w:val="none"/>
          <w:lang w:val="zh-CN" w:eastAsia="zh-CN" w:bidi="ar-SA"/>
        </w:rPr>
        <w:t>。</w:t>
      </w:r>
    </w:p>
    <w:p w14:paraId="275C6F46">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方正仿宋_GBK" w:cs="Times New Roman"/>
          <w:kern w:val="2"/>
          <w:sz w:val="32"/>
          <w:szCs w:val="32"/>
          <w:highlight w:val="none"/>
          <w:lang w:val="en-US" w:eastAsia="zh-CN" w:bidi="ar-SA"/>
        </w:rPr>
        <w:t>3.市民政事业促进中心（挂市慈善事业发展中心牌子）。2025</w:t>
      </w:r>
      <w:r>
        <w:rPr>
          <w:rFonts w:hint="default" w:ascii="Times New Roman" w:hAnsi="Times New Roman" w:eastAsia="方正仿宋_GBK" w:cs="Times New Roman"/>
          <w:kern w:val="2"/>
          <w:sz w:val="32"/>
          <w:szCs w:val="32"/>
          <w:highlight w:val="none"/>
          <w:lang w:val="zh-CN" w:eastAsia="zh-CN" w:bidi="ar-SA"/>
        </w:rPr>
        <w:t>年末在职职工1</w:t>
      </w:r>
      <w:r>
        <w:rPr>
          <w:rFonts w:hint="default" w:ascii="Times New Roman" w:hAnsi="Times New Roman" w:eastAsia="方正仿宋_GBK" w:cs="Times New Roman"/>
          <w:kern w:val="2"/>
          <w:sz w:val="32"/>
          <w:szCs w:val="32"/>
          <w:highlight w:val="none"/>
          <w:lang w:val="en-US" w:eastAsia="zh-CN" w:bidi="ar-SA"/>
        </w:rPr>
        <w:t>1</w:t>
      </w:r>
      <w:r>
        <w:rPr>
          <w:rFonts w:hint="default" w:ascii="Times New Roman" w:hAnsi="Times New Roman" w:eastAsia="方正仿宋_GBK" w:cs="Times New Roman"/>
          <w:kern w:val="2"/>
          <w:sz w:val="32"/>
          <w:szCs w:val="32"/>
          <w:highlight w:val="none"/>
          <w:lang w:val="zh-CN" w:eastAsia="zh-CN" w:bidi="ar-SA"/>
        </w:rPr>
        <w:t>人。</w:t>
      </w:r>
    </w:p>
    <w:p w14:paraId="75C8B99D">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方正仿宋_GBK" w:cs="Times New Roman"/>
          <w:kern w:val="2"/>
          <w:sz w:val="32"/>
          <w:szCs w:val="32"/>
          <w:highlight w:val="none"/>
          <w:lang w:val="en-US" w:eastAsia="zh-CN" w:bidi="ar-SA"/>
        </w:rPr>
        <w:t>4.市社会福利院。2025</w:t>
      </w:r>
      <w:r>
        <w:rPr>
          <w:rFonts w:hint="default" w:ascii="Times New Roman" w:hAnsi="Times New Roman" w:eastAsia="方正仿宋_GBK" w:cs="Times New Roman"/>
          <w:kern w:val="2"/>
          <w:sz w:val="32"/>
          <w:szCs w:val="32"/>
          <w:highlight w:val="none"/>
          <w:lang w:val="zh-CN" w:eastAsia="zh-CN" w:bidi="ar-SA"/>
        </w:rPr>
        <w:t>年末在职职工20人，</w:t>
      </w:r>
      <w:r>
        <w:rPr>
          <w:rFonts w:hint="default" w:ascii="Times New Roman" w:hAnsi="Times New Roman" w:eastAsia="方正仿宋_GBK" w:cs="Times New Roman"/>
          <w:kern w:val="2"/>
          <w:sz w:val="32"/>
          <w:szCs w:val="32"/>
          <w:highlight w:val="none"/>
          <w:lang w:val="en-US" w:eastAsia="zh-CN" w:bidi="ar-SA"/>
        </w:rPr>
        <w:t>其中管理人员6人、专业技术人员8人、工勤岗位4人、86号文聘用占编临时工2人。</w:t>
      </w:r>
      <w:r>
        <w:rPr>
          <w:rFonts w:hint="default" w:ascii="Times New Roman" w:hAnsi="Times New Roman" w:eastAsia="方正仿宋_GBK" w:cs="Times New Roman"/>
          <w:kern w:val="2"/>
          <w:sz w:val="32"/>
          <w:szCs w:val="32"/>
          <w:highlight w:val="none"/>
          <w:lang w:val="zh-CN" w:eastAsia="zh-CN" w:bidi="ar-SA"/>
        </w:rPr>
        <w:t>退休人员1</w:t>
      </w:r>
      <w:r>
        <w:rPr>
          <w:rFonts w:hint="default" w:ascii="Times New Roman" w:hAnsi="Times New Roman" w:eastAsia="方正仿宋_GBK" w:cs="Times New Roman"/>
          <w:kern w:val="2"/>
          <w:sz w:val="32"/>
          <w:szCs w:val="32"/>
          <w:highlight w:val="none"/>
          <w:lang w:val="en-US" w:eastAsia="zh-CN" w:bidi="ar-SA"/>
        </w:rPr>
        <w:t>8</w:t>
      </w:r>
      <w:r>
        <w:rPr>
          <w:rFonts w:hint="default" w:ascii="Times New Roman" w:hAnsi="Times New Roman" w:eastAsia="方正仿宋_GBK" w:cs="Times New Roman"/>
          <w:kern w:val="2"/>
          <w:sz w:val="32"/>
          <w:szCs w:val="32"/>
          <w:highlight w:val="none"/>
          <w:lang w:val="zh-CN" w:eastAsia="zh-CN" w:bidi="ar-SA"/>
        </w:rPr>
        <w:t>人。</w:t>
      </w:r>
    </w:p>
    <w:p w14:paraId="4C748EE0">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textAlignment w:val="auto"/>
        <w:rPr>
          <w:rFonts w:hint="default" w:ascii="Times New Roman" w:hAnsi="Times New Roman" w:eastAsia="方正仿宋_GBK" w:cs="Times New Roman"/>
          <w:kern w:val="2"/>
          <w:sz w:val="32"/>
          <w:szCs w:val="32"/>
          <w:highlight w:val="none"/>
          <w:lang w:val="en-US" w:eastAsia="zh-CN" w:bidi="ar-SA"/>
        </w:rPr>
      </w:pPr>
      <w:r>
        <w:rPr>
          <w:rFonts w:hint="default" w:ascii="Times New Roman" w:hAnsi="Times New Roman" w:eastAsia="方正仿宋_GBK" w:cs="Times New Roman"/>
          <w:kern w:val="2"/>
          <w:sz w:val="32"/>
          <w:szCs w:val="32"/>
          <w:highlight w:val="none"/>
          <w:lang w:val="en-US" w:eastAsia="zh-CN" w:bidi="ar-SA"/>
        </w:rPr>
        <w:t>5.市殡葬服务中心。2025年末在职职工30人，其中管理人员8人、专业技术人员7人、工勤岗位15人。退休人员13人。</w:t>
      </w:r>
    </w:p>
    <w:p w14:paraId="22ABE9FB">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textAlignment w:val="auto"/>
        <w:rPr>
          <w:rFonts w:hint="default" w:ascii="Times New Roman" w:hAnsi="Times New Roman" w:eastAsia="方正仿宋_GBK" w:cs="Times New Roman"/>
          <w:kern w:val="2"/>
          <w:sz w:val="32"/>
          <w:szCs w:val="32"/>
          <w:highlight w:val="none"/>
          <w:lang w:val="en-US" w:eastAsia="zh-CN" w:bidi="ar-SA"/>
        </w:rPr>
      </w:pPr>
      <w:r>
        <w:rPr>
          <w:rFonts w:hint="default" w:ascii="Times New Roman" w:hAnsi="Times New Roman" w:eastAsia="方正仿宋_GBK" w:cs="Times New Roman"/>
          <w:kern w:val="2"/>
          <w:sz w:val="32"/>
          <w:szCs w:val="32"/>
          <w:highlight w:val="none"/>
          <w:lang w:val="en-US" w:eastAsia="zh-CN" w:bidi="ar-SA"/>
        </w:rPr>
        <w:t>6.市救助站。2025年末在职职工17人。其中管理人员5人，专业技术人员10人，工勤岗位2人。退休人员14人。</w:t>
      </w:r>
    </w:p>
    <w:p w14:paraId="7AB2F22F">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textAlignment w:val="auto"/>
        <w:rPr>
          <w:rFonts w:hint="default" w:ascii="Times New Roman" w:hAnsi="Times New Roman" w:eastAsia="方正仿宋_GBK" w:cs="Times New Roman"/>
          <w:kern w:val="2"/>
          <w:sz w:val="32"/>
          <w:szCs w:val="32"/>
          <w:highlight w:val="none"/>
          <w:lang w:val="en-US" w:eastAsia="zh-CN" w:bidi="ar-SA"/>
        </w:rPr>
      </w:pPr>
      <w:r>
        <w:rPr>
          <w:rFonts w:hint="default" w:ascii="Times New Roman" w:hAnsi="Times New Roman" w:eastAsia="方正仿宋_GBK" w:cs="Times New Roman"/>
          <w:kern w:val="2"/>
          <w:sz w:val="32"/>
          <w:szCs w:val="32"/>
          <w:highlight w:val="none"/>
          <w:lang w:val="en-US" w:eastAsia="zh-CN" w:bidi="ar-SA"/>
        </w:rPr>
        <w:t>7.市儿童福利院。2025年末在职职工25人。其中管理人员5人，专业技术人员15人，工勤岗位5人，86号文聘用占编临时工2人。退休人员11人（不含86号文聘用人员退休1人）。</w:t>
      </w:r>
    </w:p>
    <w:p w14:paraId="0D3800AB">
      <w:pPr>
        <w:pageBreakBefore w:val="0"/>
        <w:widowControl/>
        <w:kinsoku/>
        <w:wordWrap/>
        <w:overflowPunct/>
        <w:topLinePunct w:val="0"/>
        <w:autoSpaceDE/>
        <w:autoSpaceDN/>
        <w:bidi w:val="0"/>
        <w:adjustRightInd w:val="0"/>
        <w:snapToGrid w:val="0"/>
        <w:spacing w:line="600" w:lineRule="exact"/>
        <w:ind w:firstLine="640" w:firstLineChars="200"/>
        <w:contextualSpacing/>
        <w:rPr>
          <w:rFonts w:hint="default" w:ascii="Times New Roman" w:hAnsi="Times New Roman" w:eastAsia="方正黑体_GBK" w:cs="Times New Roman"/>
          <w:color w:val="000000"/>
          <w:kern w:val="0"/>
          <w:sz w:val="32"/>
          <w:szCs w:val="32"/>
          <w:shd w:val="clear" w:color="auto" w:fill="FFFFFF"/>
          <w:lang w:val="zh-CN" w:eastAsia="zh-CN" w:bidi="ar-SA"/>
        </w:rPr>
      </w:pPr>
      <w:r>
        <w:rPr>
          <w:rFonts w:hint="default" w:ascii="Times New Roman" w:hAnsi="Times New Roman" w:eastAsia="方正黑体_GBK" w:cs="Times New Roman"/>
          <w:color w:val="000000"/>
          <w:kern w:val="0"/>
          <w:sz w:val="32"/>
          <w:szCs w:val="32"/>
          <w:shd w:val="clear" w:color="auto" w:fill="FFFFFF"/>
          <w:lang w:val="zh-CN" w:eastAsia="zh-CN" w:bidi="ar-SA"/>
        </w:rPr>
        <w:t>二、部门资金收支情况</w:t>
      </w:r>
    </w:p>
    <w:p w14:paraId="453AE095">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textAlignment w:val="auto"/>
        <w:rPr>
          <w:rFonts w:hint="default" w:ascii="Times New Roman" w:hAnsi="Times New Roman" w:eastAsia="方正仿宋_GBK" w:cs="Times New Roman"/>
          <w:kern w:val="2"/>
          <w:sz w:val="32"/>
          <w:szCs w:val="32"/>
          <w:highlight w:val="none"/>
          <w:lang w:val="en-US" w:eastAsia="zh-CN" w:bidi="ar-SA"/>
        </w:rPr>
      </w:pPr>
      <w:r>
        <w:rPr>
          <w:rFonts w:hint="default" w:ascii="Times New Roman" w:hAnsi="Times New Roman" w:eastAsia="楷体_GB2312" w:cs="Times New Roman"/>
          <w:b/>
          <w:sz w:val="32"/>
          <w:szCs w:val="32"/>
          <w:lang w:val="zh-CN" w:eastAsia="zh-CN"/>
        </w:rPr>
        <w:t>（一）收入情况。</w:t>
      </w:r>
      <w:r>
        <w:rPr>
          <w:rFonts w:hint="default" w:ascii="Times New Roman" w:hAnsi="Times New Roman" w:eastAsia="方正仿宋_GBK" w:cs="Times New Roman"/>
          <w:kern w:val="2"/>
          <w:sz w:val="32"/>
          <w:szCs w:val="32"/>
          <w:highlight w:val="none"/>
          <w:lang w:val="en-US" w:eastAsia="zh-CN" w:bidi="ar-SA"/>
        </w:rPr>
        <w:t>市民政局2025年年初预算收入 3915.22万元，决算报表收入 3969.29万元，其中一般公共预算财政拨款收入3682.22万元，政府性基金拨款收入287.07万元。</w:t>
      </w:r>
    </w:p>
    <w:p w14:paraId="4CB73081">
      <w:pPr>
        <w:keepNext w:val="0"/>
        <w:keepLines w:val="0"/>
        <w:pageBreakBefore w:val="0"/>
        <w:kinsoku/>
        <w:wordWrap/>
        <w:overflowPunct/>
        <w:topLinePunct w:val="0"/>
        <w:autoSpaceDE/>
        <w:autoSpaceDN/>
        <w:bidi w:val="0"/>
        <w:adjustRightInd w:val="0"/>
        <w:snapToGrid w:val="0"/>
        <w:spacing w:line="600" w:lineRule="exact"/>
        <w:ind w:firstLine="643" w:firstLineChars="200"/>
        <w:contextualSpacing/>
        <w:jc w:val="left"/>
        <w:textAlignment w:val="auto"/>
        <w:rPr>
          <w:rFonts w:hint="default" w:ascii="Times New Roman" w:hAnsi="Times New Roman" w:eastAsia="方正仿宋_GBK" w:cs="Times New Roman"/>
          <w:kern w:val="2"/>
          <w:sz w:val="32"/>
          <w:szCs w:val="32"/>
          <w:highlight w:val="none"/>
          <w:lang w:val="en-US" w:eastAsia="zh-CN" w:bidi="ar-SA"/>
        </w:rPr>
      </w:pPr>
      <w:r>
        <w:rPr>
          <w:rFonts w:hint="default" w:ascii="Times New Roman" w:hAnsi="Times New Roman" w:eastAsia="楷体_GB2312" w:cs="Times New Roman"/>
          <w:b/>
          <w:sz w:val="32"/>
          <w:szCs w:val="32"/>
          <w:lang w:val="zh-CN" w:eastAsia="zh-CN"/>
        </w:rPr>
        <w:t>（二）支出情况。</w:t>
      </w:r>
      <w:r>
        <w:rPr>
          <w:rFonts w:hint="default" w:ascii="Times New Roman" w:hAnsi="Times New Roman" w:eastAsia="方正仿宋_GBK" w:cs="Times New Roman"/>
          <w:kern w:val="2"/>
          <w:sz w:val="32"/>
          <w:szCs w:val="32"/>
          <w:highlight w:val="none"/>
          <w:lang w:val="en-US" w:eastAsia="zh-CN" w:bidi="ar-SA"/>
        </w:rPr>
        <w:t>市民政局2025年年初预算支出</w:t>
      </w:r>
      <w:r>
        <w:rPr>
          <w:rFonts w:hint="default" w:ascii="Times New Roman" w:hAnsi="Times New Roman" w:eastAsia="方正仿宋_GBK" w:cs="Times New Roman"/>
          <w:kern w:val="2"/>
          <w:sz w:val="32"/>
          <w:szCs w:val="32"/>
          <w:highlight w:val="none"/>
          <w:lang w:val="zh-CN" w:eastAsia="zh-CN" w:bidi="ar-SA"/>
        </w:rPr>
        <w:t>3</w:t>
      </w:r>
      <w:r>
        <w:rPr>
          <w:rFonts w:hint="default" w:ascii="Times New Roman" w:hAnsi="Times New Roman" w:eastAsia="方正仿宋_GBK" w:cs="Times New Roman"/>
          <w:kern w:val="2"/>
          <w:sz w:val="32"/>
          <w:szCs w:val="32"/>
          <w:highlight w:val="none"/>
          <w:lang w:val="en-US" w:eastAsia="zh-CN" w:bidi="ar-SA"/>
        </w:rPr>
        <w:t xml:space="preserve">915.22万元，决算报表支出3969.29万元。基本支出2789.42万元，项目支出1179.87万元。 </w:t>
      </w:r>
    </w:p>
    <w:p w14:paraId="0104AA19">
      <w:pPr>
        <w:keepNext w:val="0"/>
        <w:keepLines w:val="0"/>
        <w:pageBreakBefore w:val="0"/>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_GBK" w:cs="Times New Roman"/>
          <w:kern w:val="2"/>
          <w:sz w:val="32"/>
          <w:szCs w:val="32"/>
          <w:highlight w:val="none"/>
          <w:lang w:val="en-US" w:eastAsia="zh-CN" w:bidi="ar-SA"/>
        </w:rPr>
      </w:pPr>
      <w:r>
        <w:rPr>
          <w:rFonts w:hint="default" w:ascii="Times New Roman" w:hAnsi="Times New Roman" w:eastAsia="方正仿宋_GBK" w:cs="Times New Roman"/>
          <w:kern w:val="2"/>
          <w:sz w:val="32"/>
          <w:szCs w:val="32"/>
          <w:highlight w:val="none"/>
          <w:lang w:val="en-US" w:eastAsia="zh-CN" w:bidi="ar-SA"/>
        </w:rPr>
        <w:t>市民政局2025年基本支出2789.42万元。其中工资福利支出2287.80万元，商品和服务支出203.25万元，对个人和家庭的补助支出297.09万元，其他资本性支出1.28万元。</w:t>
      </w:r>
    </w:p>
    <w:p w14:paraId="6D008C70">
      <w:pPr>
        <w:keepNext w:val="0"/>
        <w:keepLines w:val="0"/>
        <w:pageBreakBefore w:val="0"/>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_GBK" w:cs="Times New Roman"/>
          <w:kern w:val="2"/>
          <w:sz w:val="32"/>
          <w:szCs w:val="32"/>
          <w:highlight w:val="none"/>
          <w:lang w:val="en-US" w:eastAsia="zh-CN" w:bidi="ar-SA"/>
        </w:rPr>
      </w:pPr>
      <w:r>
        <w:rPr>
          <w:rFonts w:hint="default" w:ascii="Times New Roman" w:hAnsi="Times New Roman" w:eastAsia="方正仿宋_GBK" w:cs="Times New Roman"/>
          <w:kern w:val="2"/>
          <w:sz w:val="32"/>
          <w:szCs w:val="32"/>
          <w:highlight w:val="none"/>
          <w:lang w:val="en-US" w:eastAsia="zh-CN" w:bidi="ar-SA"/>
        </w:rPr>
        <w:t>市民政局2025年项目支出1179.87万元。包括养老服务、社会救助、儿童福利、彩票公益金等项目。</w:t>
      </w:r>
    </w:p>
    <w:p w14:paraId="456A1DF4">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楷体_GB2312" w:cs="Times New Roman"/>
          <w:b/>
          <w:sz w:val="32"/>
          <w:szCs w:val="32"/>
          <w:lang w:val="zh-CN" w:eastAsia="zh-CN"/>
        </w:rPr>
        <w:t>（三）</w:t>
      </w:r>
      <w:r>
        <w:rPr>
          <w:rFonts w:hint="default" w:ascii="Times New Roman" w:hAnsi="Times New Roman" w:eastAsia="楷体_GB2312" w:cs="Times New Roman"/>
          <w:b/>
          <w:sz w:val="32"/>
          <w:szCs w:val="32"/>
          <w:lang w:val="en-US" w:eastAsia="zh-CN"/>
        </w:rPr>
        <w:t>结余分配和结转结余情况。</w:t>
      </w:r>
      <w:r>
        <w:rPr>
          <w:rFonts w:hint="default" w:ascii="Times New Roman" w:hAnsi="Times New Roman" w:eastAsia="方正仿宋_GBK" w:cs="Times New Roman"/>
          <w:kern w:val="2"/>
          <w:sz w:val="32"/>
          <w:szCs w:val="32"/>
          <w:highlight w:val="none"/>
          <w:lang w:val="en-US" w:eastAsia="zh-CN" w:bidi="ar-SA"/>
        </w:rPr>
        <w:t>市民政局202</w:t>
      </w:r>
      <w:r>
        <w:rPr>
          <w:rFonts w:hint="eastAsia" w:eastAsia="方正仿宋_GBK" w:cs="Times New Roman"/>
          <w:kern w:val="2"/>
          <w:sz w:val="32"/>
          <w:szCs w:val="32"/>
          <w:highlight w:val="none"/>
          <w:lang w:val="en-US" w:eastAsia="zh-CN" w:bidi="ar-SA"/>
        </w:rPr>
        <w:t>5</w:t>
      </w:r>
      <w:r>
        <w:rPr>
          <w:rFonts w:hint="default" w:ascii="Times New Roman" w:hAnsi="Times New Roman" w:eastAsia="方正仿宋_GBK" w:cs="Times New Roman"/>
          <w:kern w:val="2"/>
          <w:sz w:val="32"/>
          <w:szCs w:val="32"/>
          <w:highlight w:val="none"/>
          <w:lang w:val="en-US" w:eastAsia="zh-CN" w:bidi="ar-SA"/>
        </w:rPr>
        <w:t>年决算无结转结余。</w:t>
      </w:r>
    </w:p>
    <w:p w14:paraId="0AF77349">
      <w:pPr>
        <w:pageBreakBefore w:val="0"/>
        <w:widowControl/>
        <w:kinsoku/>
        <w:wordWrap/>
        <w:overflowPunct/>
        <w:topLinePunct w:val="0"/>
        <w:autoSpaceDE/>
        <w:autoSpaceDN/>
        <w:bidi w:val="0"/>
        <w:adjustRightInd w:val="0"/>
        <w:snapToGrid w:val="0"/>
        <w:spacing w:line="600" w:lineRule="exact"/>
        <w:ind w:firstLine="640" w:firstLineChars="200"/>
        <w:contextualSpacing/>
        <w:rPr>
          <w:rFonts w:hint="default" w:ascii="Times New Roman" w:hAnsi="Times New Roman" w:eastAsia="方正黑体_GBK" w:cs="Times New Roman"/>
          <w:color w:val="000000"/>
          <w:kern w:val="0"/>
          <w:sz w:val="32"/>
          <w:szCs w:val="32"/>
          <w:shd w:val="clear" w:color="auto" w:fill="FFFFFF"/>
          <w:lang w:val="zh-CN" w:eastAsia="zh-CN" w:bidi="ar-SA"/>
        </w:rPr>
      </w:pPr>
      <w:r>
        <w:rPr>
          <w:rFonts w:hint="default" w:ascii="Times New Roman" w:hAnsi="Times New Roman" w:eastAsia="方正黑体_GBK" w:cs="Times New Roman"/>
          <w:color w:val="000000"/>
          <w:kern w:val="0"/>
          <w:sz w:val="32"/>
          <w:szCs w:val="32"/>
          <w:shd w:val="clear" w:color="auto" w:fill="FFFFFF"/>
          <w:lang w:val="zh-CN" w:eastAsia="zh-CN" w:bidi="ar-SA"/>
        </w:rPr>
        <w:t>三、部门预算绩效分析</w:t>
      </w:r>
    </w:p>
    <w:p w14:paraId="75231E9E">
      <w:pPr>
        <w:keepNext w:val="0"/>
        <w:keepLines w:val="0"/>
        <w:pageBreakBefore w:val="0"/>
        <w:kinsoku/>
        <w:wordWrap/>
        <w:overflowPunct/>
        <w:topLinePunct w:val="0"/>
        <w:autoSpaceDE/>
        <w:autoSpaceDN/>
        <w:bidi w:val="0"/>
        <w:adjustRightInd w:val="0"/>
        <w:snapToGrid w:val="0"/>
        <w:spacing w:line="600" w:lineRule="exact"/>
        <w:ind w:firstLine="643" w:firstLineChars="200"/>
        <w:contextualSpacing/>
        <w:jc w:val="left"/>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楷体_GB2312" w:cs="Times New Roman"/>
          <w:b/>
          <w:sz w:val="32"/>
          <w:szCs w:val="32"/>
          <w:lang w:val="zh-CN" w:eastAsia="zh-CN"/>
        </w:rPr>
        <w:t>（一）部门预算总体绩效分析。</w:t>
      </w:r>
      <w:r>
        <w:rPr>
          <w:rFonts w:hint="default" w:ascii="Times New Roman" w:hAnsi="Times New Roman" w:eastAsia="方正仿宋_GBK" w:cs="Times New Roman"/>
          <w:kern w:val="2"/>
          <w:sz w:val="32"/>
          <w:szCs w:val="32"/>
          <w:highlight w:val="none"/>
          <w:lang w:val="zh-CN" w:eastAsia="zh-CN" w:bidi="ar-SA"/>
        </w:rPr>
        <w:t>根据部门预算绩效评价指标体系“总体绩效”涉及二、三级指标进行逐项绩效分析并评分，依次包括履职效能、预算管理、财务管理、资产管理、采购管理等情况。</w:t>
      </w:r>
    </w:p>
    <w:p w14:paraId="54E216C0">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方正仿宋_GBK" w:cs="Times New Roman"/>
          <w:kern w:val="2"/>
          <w:sz w:val="32"/>
          <w:szCs w:val="32"/>
          <w:highlight w:val="none"/>
          <w:lang w:val="en-US" w:eastAsia="zh-CN" w:bidi="ar-SA"/>
        </w:rPr>
        <w:t>1.</w:t>
      </w:r>
      <w:r>
        <w:rPr>
          <w:rFonts w:hint="default" w:ascii="Times New Roman" w:hAnsi="Times New Roman" w:eastAsia="方正仿宋_GBK" w:cs="Times New Roman"/>
          <w:kern w:val="2"/>
          <w:sz w:val="32"/>
          <w:szCs w:val="32"/>
          <w:highlight w:val="none"/>
          <w:lang w:val="zh-CN" w:eastAsia="zh-CN" w:bidi="ar-SA"/>
        </w:rPr>
        <w:t>履职效能。2025年，我局紧扣社会救助、养老服务、社会组织、儿童与残疾人福利、婚姻殡葬等专项社会事务五大核心职能目标，高效推进各项任务落地，整体履职效能稳步提升。</w:t>
      </w:r>
    </w:p>
    <w:p w14:paraId="2AFDB289">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方正仿宋_GBK" w:cs="Times New Roman"/>
          <w:kern w:val="2"/>
          <w:sz w:val="32"/>
          <w:szCs w:val="32"/>
          <w:highlight w:val="none"/>
          <w:lang w:val="zh-CN" w:eastAsia="zh-CN" w:bidi="ar-SA"/>
        </w:rPr>
        <w:t xml:space="preserve"> （</w:t>
      </w:r>
      <w:r>
        <w:rPr>
          <w:rFonts w:hint="default" w:ascii="Times New Roman" w:hAnsi="Times New Roman" w:eastAsia="方正仿宋_GBK" w:cs="Times New Roman"/>
          <w:kern w:val="2"/>
          <w:sz w:val="32"/>
          <w:szCs w:val="32"/>
          <w:highlight w:val="none"/>
          <w:lang w:val="en-US" w:eastAsia="zh-CN" w:bidi="ar-SA"/>
        </w:rPr>
        <w:t>1）</w:t>
      </w:r>
      <w:r>
        <w:rPr>
          <w:rFonts w:hint="default" w:ascii="Times New Roman" w:hAnsi="Times New Roman" w:eastAsia="方正仿宋_GBK" w:cs="Times New Roman"/>
          <w:kern w:val="2"/>
          <w:sz w:val="32"/>
          <w:szCs w:val="32"/>
          <w:highlight w:val="none"/>
          <w:lang w:val="zh-CN" w:eastAsia="zh-CN" w:bidi="ar-SA"/>
        </w:rPr>
        <w:t>社会救助兜底保障目标全面完成。</w:t>
      </w:r>
    </w:p>
    <w:p w14:paraId="0087B4D1">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方正仿宋_GBK" w:cs="Times New Roman"/>
          <w:kern w:val="2"/>
          <w:sz w:val="32"/>
          <w:szCs w:val="32"/>
          <w:highlight w:val="none"/>
          <w:lang w:val="zh-CN" w:eastAsia="zh-CN" w:bidi="ar-SA"/>
        </w:rPr>
        <w:t>健全分层分类社会救助体系，落实“主动发现、精准认定、动态管理”，足额发放低保、特困供养、临时救助资金，实现应保尽保、应救尽救，低收入人口动态监测预警与帮扶机制高效运行，牢牢守住民生底线。</w:t>
      </w:r>
    </w:p>
    <w:p w14:paraId="4385B96A">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方正仿宋_GBK" w:cs="Times New Roman"/>
          <w:kern w:val="2"/>
          <w:sz w:val="32"/>
          <w:szCs w:val="32"/>
          <w:highlight w:val="none"/>
          <w:lang w:val="zh-CN" w:eastAsia="zh-CN" w:bidi="ar-SA"/>
        </w:rPr>
        <w:t>（2.）养老服务体系建设提质增效。</w:t>
      </w:r>
    </w:p>
    <w:p w14:paraId="2CBB0C4A">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方正仿宋_GBK" w:cs="Times New Roman"/>
          <w:kern w:val="2"/>
          <w:sz w:val="32"/>
          <w:szCs w:val="32"/>
          <w:highlight w:val="none"/>
          <w:lang w:val="zh-CN" w:eastAsia="zh-CN" w:bidi="ar-SA"/>
        </w:rPr>
        <w:t>加快居家社区养老服务设施建设与运营，规范养老机构服务监管，推进适老化改造与互助养老服务，养老服务供给更均衡、服务质量更规范，老年群体获得感持续增强。</w:t>
      </w:r>
    </w:p>
    <w:p w14:paraId="41B510B1">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方正仿宋_GBK" w:cs="Times New Roman"/>
          <w:kern w:val="2"/>
          <w:sz w:val="32"/>
          <w:szCs w:val="32"/>
          <w:highlight w:val="none"/>
          <w:lang w:val="zh-CN" w:eastAsia="zh-CN" w:bidi="ar-SA"/>
        </w:rPr>
        <w:t>（3）社会组织服务能力持续提升。</w:t>
      </w:r>
    </w:p>
    <w:p w14:paraId="20E7B22C">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方正仿宋_GBK" w:cs="Times New Roman"/>
          <w:kern w:val="2"/>
          <w:sz w:val="32"/>
          <w:szCs w:val="32"/>
          <w:highlight w:val="none"/>
          <w:lang w:val="zh-CN" w:eastAsia="zh-CN" w:bidi="ar-SA"/>
        </w:rPr>
        <w:t>优化社会组织登记管理与监督服务，推动社会组织参与基层服务与公益事业，基层治理体系更健全、运转更高效。</w:t>
      </w:r>
    </w:p>
    <w:p w14:paraId="081AE4ED">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方正仿宋_GBK" w:cs="Times New Roman"/>
          <w:kern w:val="2"/>
          <w:sz w:val="32"/>
          <w:szCs w:val="32"/>
          <w:highlight w:val="none"/>
          <w:lang w:val="zh-CN" w:eastAsia="zh-CN" w:bidi="ar-SA"/>
        </w:rPr>
        <w:t>（4）婚姻殡葬等专项社会事务管理规范有序推进。</w:t>
      </w:r>
    </w:p>
    <w:p w14:paraId="4140CE57">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方正仿宋_GBK" w:cs="Times New Roman"/>
          <w:kern w:val="2"/>
          <w:sz w:val="32"/>
          <w:szCs w:val="32"/>
          <w:highlight w:val="none"/>
          <w:lang w:val="zh-CN" w:eastAsia="zh-CN" w:bidi="ar-SA"/>
        </w:rPr>
        <w:t>严格规范婚姻登记、殡葬管理、流浪乞讨人员救助等工作，提升服务标准化、便民化水平，殡葬改革与公益性设施建设稳步实施，文明婚葬新风尚持续弘扬。</w:t>
      </w:r>
    </w:p>
    <w:p w14:paraId="51737307">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方正仿宋_GBK" w:cs="Times New Roman"/>
          <w:kern w:val="2"/>
          <w:sz w:val="32"/>
          <w:szCs w:val="32"/>
          <w:highlight w:val="none"/>
          <w:lang w:val="zh-CN" w:eastAsia="zh-CN" w:bidi="ar-SA"/>
        </w:rPr>
        <w:t>（5）儿童与残疾人福利保障精准落地。</w:t>
      </w:r>
    </w:p>
    <w:p w14:paraId="67746A95">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方正仿宋_GBK" w:cs="Times New Roman"/>
          <w:kern w:val="2"/>
          <w:sz w:val="32"/>
          <w:szCs w:val="32"/>
          <w:highlight w:val="none"/>
          <w:lang w:val="zh-CN" w:eastAsia="zh-CN" w:bidi="ar-SA"/>
        </w:rPr>
        <w:t>落实困境儿童分类保障与关爱服务，规范孤儿、事实无人抚养儿童保障；足额及时发放残疾人两项补贴，强化重残、困境群体基本生活保障，特殊群体权益得到有效维护。</w:t>
      </w:r>
    </w:p>
    <w:p w14:paraId="1FCC1853">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方正仿宋_GBK" w:cs="Times New Roman"/>
          <w:kern w:val="2"/>
          <w:sz w:val="32"/>
          <w:szCs w:val="32"/>
          <w:highlight w:val="none"/>
          <w:lang w:val="zh-CN" w:eastAsia="zh-CN" w:bidi="ar-SA"/>
        </w:rPr>
        <w:t>全年各项核心职能目标按期完成、成效达标，民政服务覆盖面、精准度、满意度全面提升，有力保障基本民生、优化基层治理、增进民生福祉。</w:t>
      </w:r>
    </w:p>
    <w:p w14:paraId="387DF402">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方正仿宋_GBK" w:cs="Times New Roman"/>
          <w:kern w:val="2"/>
          <w:sz w:val="32"/>
          <w:szCs w:val="32"/>
          <w:highlight w:val="none"/>
          <w:lang w:val="en-US" w:eastAsia="zh-CN" w:bidi="ar-SA"/>
        </w:rPr>
        <w:t>2.</w:t>
      </w:r>
      <w:r>
        <w:rPr>
          <w:rFonts w:hint="default" w:ascii="Times New Roman" w:hAnsi="Times New Roman" w:eastAsia="方正仿宋_GBK" w:cs="Times New Roman"/>
          <w:kern w:val="2"/>
          <w:sz w:val="32"/>
          <w:szCs w:val="32"/>
          <w:highlight w:val="none"/>
          <w:lang w:val="zh-CN" w:eastAsia="zh-CN" w:bidi="ar-SA"/>
        </w:rPr>
        <w:t>预算管理。市民政局围绕预算编制质量、单位收入统筹、支出执行进度、严控一般性支出等方面开展预算管理绩效分析。坚持科学精准编制预算，细化项目内容、强化刚性约束，不断提升预算编制质量；根据</w:t>
      </w:r>
      <w:r>
        <w:rPr>
          <w:rFonts w:hint="default" w:ascii="Times New Roman" w:hAnsi="Times New Roman" w:eastAsia="方正仿宋_GBK" w:cs="Times New Roman"/>
          <w:kern w:val="2"/>
          <w:sz w:val="32"/>
          <w:szCs w:val="32"/>
          <w:highlight w:val="none"/>
          <w:lang w:val="en-US" w:eastAsia="zh-CN" w:bidi="ar-SA"/>
        </w:rPr>
        <w:t>《中华人民共和国预算法》</w:t>
      </w:r>
      <w:r>
        <w:rPr>
          <w:rFonts w:hint="default" w:ascii="Times New Roman" w:hAnsi="Times New Roman" w:eastAsia="方正仿宋_GBK" w:cs="Times New Roman"/>
          <w:kern w:val="2"/>
          <w:sz w:val="32"/>
          <w:szCs w:val="32"/>
          <w:highlight w:val="none"/>
          <w:lang w:val="zh-CN" w:eastAsia="zh-CN" w:bidi="ar-SA"/>
        </w:rPr>
        <w:t>规范资金管理，提高财政资源统筹配置水平；紧盯支出序时进度，健全执行台账和预警机制，加快资金拨付与项目推进，切实提升预算执行均衡性和及时性，提高资金使用效益；坚决落实过紧日子要求，部门严控“三公”经费、会议、培训、差旅、办节办展、办公设备购置、信息网络及软件购置更新，压减非刚性非重点支出，切实把有限资金用在刀刃上。</w:t>
      </w:r>
    </w:p>
    <w:p w14:paraId="656D2D92">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方正仿宋_GBK" w:cs="Times New Roman"/>
          <w:kern w:val="2"/>
          <w:sz w:val="32"/>
          <w:szCs w:val="32"/>
          <w:highlight w:val="none"/>
          <w:lang w:val="zh-CN" w:eastAsia="zh-CN" w:bidi="ar-SA"/>
        </w:rPr>
        <w:t>3.财务管理。市民政局围绕财务管理制度、财务岗位设置、资金使用规范三方面开展财务管理绩效分析。不断健全完善财务管理制度体系，坚持用制度管人、按流程办事，确保各项财务工作有章可循、规范运行；科学设置财务岗位，明确岗位职责分工，强化岗位制衡与内部牵制，做到权责清晰、流程顺畅、监管到位；严格执行资金使用相关规定，坚持专款专用、从严审核，规范资金审批、拨付和使用管理，切实防范财务风险，提升资金使用安全性、规范性和有效性。</w:t>
      </w:r>
    </w:p>
    <w:p w14:paraId="11DB8568">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方正仿宋_GBK" w:cs="Times New Roman"/>
          <w:kern w:val="2"/>
          <w:sz w:val="32"/>
          <w:szCs w:val="32"/>
          <w:highlight w:val="none"/>
          <w:lang w:val="zh-CN" w:eastAsia="zh-CN" w:bidi="ar-SA"/>
        </w:rPr>
        <w:t>4.资产管理。围绕人均资产变化率、资产利用率、资产盘活率进行绩效分析。</w:t>
      </w:r>
    </w:p>
    <w:p w14:paraId="7A5210D9">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简体" w:cs="Times New Roman"/>
          <w:kern w:val="2"/>
          <w:sz w:val="32"/>
          <w:szCs w:val="32"/>
          <w:highlight w:val="none"/>
          <w:lang w:val="en-US" w:eastAsia="zh-CN" w:bidi="ar-SA"/>
        </w:rPr>
      </w:pPr>
      <w:r>
        <w:rPr>
          <w:rFonts w:hint="default" w:ascii="Times New Roman" w:hAnsi="Times New Roman" w:eastAsia="方正仿宋_GBK" w:cs="Times New Roman"/>
          <w:kern w:val="2"/>
          <w:sz w:val="32"/>
          <w:szCs w:val="32"/>
          <w:highlight w:val="none"/>
          <w:lang w:val="en-US" w:eastAsia="zh-CN" w:bidi="ar-SA"/>
        </w:rPr>
        <w:t>根据《行政单位国有资产管理暂行办法》（财政部令第35号），建立完善的资产管理制度，定期进行资产盘点管理，截至2025年12月31日行政事业单位国有资产7373.22万元，较上年增长1.85%，人均资产变化率-1.36%。</w:t>
      </w:r>
    </w:p>
    <w:p w14:paraId="11547BC1">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方正仿宋_GBK" w:cs="Times New Roman"/>
          <w:kern w:val="2"/>
          <w:sz w:val="32"/>
          <w:szCs w:val="32"/>
          <w:highlight w:val="none"/>
          <w:lang w:val="zh-CN" w:eastAsia="zh-CN" w:bidi="ar-SA"/>
        </w:rPr>
        <w:t>5.采购管理。市民政局严格落实政府采购支持中小企业相关政策，合理设置采购份额，优化采购流程，切实为中小企业参与市场竞争创造有利条件，有效激发市场活力；强化采购计划执行与全过程管控，提升采购效率，稳步提高采购执行率，确保采购工作规范高效、按时完成，充分发挥政府采购政策功能与资金使用效益。</w:t>
      </w:r>
    </w:p>
    <w:p w14:paraId="6A4978E6">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3" w:firstLineChars="200"/>
        <w:contextualSpacing/>
        <w:jc w:val="left"/>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楷体_GB2312" w:cs="Times New Roman"/>
          <w:b/>
          <w:sz w:val="32"/>
          <w:szCs w:val="32"/>
          <w:lang w:val="zh-CN" w:eastAsia="zh-CN"/>
        </w:rPr>
        <w:t>（二）部门预算项目绩效分析。</w:t>
      </w:r>
      <w:r>
        <w:rPr>
          <w:rFonts w:hint="default" w:ascii="Times New Roman" w:hAnsi="Times New Roman" w:eastAsia="方正仿宋_GBK" w:cs="Times New Roman"/>
          <w:kern w:val="2"/>
          <w:sz w:val="32"/>
          <w:szCs w:val="32"/>
          <w:highlight w:val="none"/>
          <w:lang w:val="zh-CN" w:eastAsia="zh-CN" w:bidi="ar-SA"/>
        </w:rPr>
        <w:t>填报以下数据，并根据部门预算绩效评价指标体系“项目绩效”涉及二、三级指标进行逐项绩效分析并评分，依次包括项目决策、项目执行、目标实现等情况。</w:t>
      </w:r>
    </w:p>
    <w:p w14:paraId="33B8A78A">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方正仿宋_GBK" w:cs="Times New Roman"/>
          <w:kern w:val="2"/>
          <w:sz w:val="32"/>
          <w:szCs w:val="32"/>
          <w:highlight w:val="none"/>
          <w:lang w:val="zh-CN" w:eastAsia="zh-CN" w:bidi="ar-SA"/>
        </w:rPr>
        <w:t xml:space="preserve">常年项目绩效分析。该类项目总数 </w:t>
      </w:r>
      <w:r>
        <w:rPr>
          <w:rFonts w:hint="default" w:ascii="Times New Roman" w:hAnsi="Times New Roman" w:eastAsia="方正仿宋_GBK" w:cs="Times New Roman"/>
          <w:kern w:val="2"/>
          <w:sz w:val="32"/>
          <w:szCs w:val="32"/>
          <w:highlight w:val="none"/>
          <w:lang w:val="en-US" w:eastAsia="zh-CN" w:bidi="ar-SA"/>
        </w:rPr>
        <w:t>21</w:t>
      </w:r>
      <w:r>
        <w:rPr>
          <w:rFonts w:hint="default" w:ascii="Times New Roman" w:hAnsi="Times New Roman" w:eastAsia="方正仿宋_GBK" w:cs="Times New Roman"/>
          <w:kern w:val="2"/>
          <w:sz w:val="32"/>
          <w:szCs w:val="32"/>
          <w:highlight w:val="none"/>
          <w:lang w:val="zh-CN" w:eastAsia="zh-CN" w:bidi="ar-SA"/>
        </w:rPr>
        <w:t xml:space="preserve">个，涉及预算总金额 </w:t>
      </w:r>
      <w:r>
        <w:rPr>
          <w:rFonts w:hint="default" w:ascii="Times New Roman" w:hAnsi="Times New Roman" w:eastAsia="方正仿宋_GBK" w:cs="Times New Roman"/>
          <w:kern w:val="2"/>
          <w:sz w:val="32"/>
          <w:szCs w:val="32"/>
          <w:highlight w:val="none"/>
          <w:lang w:val="en-US" w:eastAsia="zh-CN" w:bidi="ar-SA"/>
        </w:rPr>
        <w:t>1450.51</w:t>
      </w:r>
      <w:r>
        <w:rPr>
          <w:rFonts w:hint="default" w:ascii="Times New Roman" w:hAnsi="Times New Roman" w:eastAsia="方正仿宋_GBK" w:cs="Times New Roman"/>
          <w:kern w:val="2"/>
          <w:sz w:val="32"/>
          <w:szCs w:val="32"/>
          <w:highlight w:val="none"/>
          <w:lang w:val="zh-CN" w:eastAsia="zh-CN" w:bidi="ar-SA"/>
        </w:rPr>
        <w:t>万元，1—12月预算执行总体进度为</w:t>
      </w:r>
      <w:r>
        <w:rPr>
          <w:rFonts w:hint="default" w:ascii="Times New Roman" w:hAnsi="Times New Roman" w:eastAsia="方正仿宋_GBK" w:cs="Times New Roman"/>
          <w:kern w:val="2"/>
          <w:sz w:val="32"/>
          <w:szCs w:val="32"/>
          <w:highlight w:val="none"/>
          <w:lang w:val="en-US" w:eastAsia="zh-CN" w:bidi="ar-SA"/>
        </w:rPr>
        <w:t>64.03</w:t>
      </w:r>
      <w:r>
        <w:rPr>
          <w:rFonts w:hint="default" w:ascii="Times New Roman" w:hAnsi="Times New Roman" w:eastAsia="方正仿宋_GBK" w:cs="Times New Roman"/>
          <w:kern w:val="2"/>
          <w:sz w:val="32"/>
          <w:szCs w:val="32"/>
          <w:highlight w:val="none"/>
          <w:lang w:val="zh-CN" w:eastAsia="zh-CN" w:bidi="ar-SA"/>
        </w:rPr>
        <w:t>%，其中：预算结余率大于10%的项目共计</w:t>
      </w:r>
      <w:r>
        <w:rPr>
          <w:rFonts w:hint="default" w:ascii="Times New Roman" w:hAnsi="Times New Roman" w:eastAsia="方正仿宋_GBK" w:cs="Times New Roman"/>
          <w:kern w:val="2"/>
          <w:sz w:val="32"/>
          <w:szCs w:val="32"/>
          <w:highlight w:val="none"/>
          <w:lang w:val="en-US" w:eastAsia="zh-CN" w:bidi="ar-SA"/>
        </w:rPr>
        <w:t>6</w:t>
      </w:r>
      <w:r>
        <w:rPr>
          <w:rFonts w:hint="default" w:ascii="Times New Roman" w:hAnsi="Times New Roman" w:eastAsia="方正仿宋_GBK" w:cs="Times New Roman"/>
          <w:kern w:val="2"/>
          <w:sz w:val="32"/>
          <w:szCs w:val="32"/>
          <w:highlight w:val="none"/>
          <w:lang w:val="zh-CN" w:eastAsia="zh-CN" w:bidi="ar-SA"/>
        </w:rPr>
        <w:t>个。</w:t>
      </w:r>
    </w:p>
    <w:p w14:paraId="66D192DD">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方正仿宋_GBK" w:cs="Times New Roman"/>
          <w:kern w:val="2"/>
          <w:sz w:val="32"/>
          <w:szCs w:val="32"/>
          <w:highlight w:val="none"/>
          <w:lang w:val="zh-CN" w:eastAsia="zh-CN" w:bidi="ar-SA"/>
        </w:rPr>
        <w:t xml:space="preserve">阶段（含一次性）项目绩效分析。该类项目总数 </w:t>
      </w:r>
      <w:r>
        <w:rPr>
          <w:rFonts w:hint="default" w:ascii="Times New Roman" w:hAnsi="Times New Roman" w:eastAsia="方正仿宋_GBK" w:cs="Times New Roman"/>
          <w:kern w:val="2"/>
          <w:sz w:val="32"/>
          <w:szCs w:val="32"/>
          <w:highlight w:val="none"/>
          <w:lang w:val="en-US" w:eastAsia="zh-CN" w:bidi="ar-SA"/>
        </w:rPr>
        <w:t>32</w:t>
      </w:r>
      <w:r>
        <w:rPr>
          <w:rFonts w:hint="default" w:ascii="Times New Roman" w:hAnsi="Times New Roman" w:eastAsia="方正仿宋_GBK" w:cs="Times New Roman"/>
          <w:kern w:val="2"/>
          <w:sz w:val="32"/>
          <w:szCs w:val="32"/>
          <w:highlight w:val="none"/>
          <w:lang w:val="zh-CN" w:eastAsia="zh-CN" w:bidi="ar-SA"/>
        </w:rPr>
        <w:t xml:space="preserve">个，涉及预算总金额 </w:t>
      </w:r>
      <w:r>
        <w:rPr>
          <w:rFonts w:hint="default" w:ascii="Times New Roman" w:hAnsi="Times New Roman" w:eastAsia="方正仿宋_GBK" w:cs="Times New Roman"/>
          <w:kern w:val="2"/>
          <w:sz w:val="32"/>
          <w:szCs w:val="32"/>
          <w:highlight w:val="none"/>
          <w:lang w:val="en-US" w:eastAsia="zh-CN" w:bidi="ar-SA"/>
        </w:rPr>
        <w:t>1273.18</w:t>
      </w:r>
      <w:r>
        <w:rPr>
          <w:rFonts w:hint="default" w:ascii="Times New Roman" w:hAnsi="Times New Roman" w:eastAsia="方正仿宋_GBK" w:cs="Times New Roman"/>
          <w:kern w:val="2"/>
          <w:sz w:val="32"/>
          <w:szCs w:val="32"/>
          <w:highlight w:val="none"/>
          <w:lang w:val="zh-CN" w:eastAsia="zh-CN" w:bidi="ar-SA"/>
        </w:rPr>
        <w:t>万元，1—12月预算执行总体进度为</w:t>
      </w:r>
      <w:r>
        <w:rPr>
          <w:rFonts w:hint="default" w:ascii="Times New Roman" w:hAnsi="Times New Roman" w:eastAsia="方正仿宋_GBK" w:cs="Times New Roman"/>
          <w:kern w:val="2"/>
          <w:sz w:val="32"/>
          <w:szCs w:val="32"/>
          <w:highlight w:val="none"/>
          <w:lang w:val="en-US" w:eastAsia="zh-CN" w:bidi="ar-SA"/>
        </w:rPr>
        <w:t>40.06</w:t>
      </w:r>
      <w:r>
        <w:rPr>
          <w:rFonts w:hint="default" w:ascii="Times New Roman" w:hAnsi="Times New Roman" w:eastAsia="方正仿宋_GBK" w:cs="Times New Roman"/>
          <w:kern w:val="2"/>
          <w:sz w:val="32"/>
          <w:szCs w:val="32"/>
          <w:highlight w:val="none"/>
          <w:lang w:val="zh-CN" w:eastAsia="zh-CN" w:bidi="ar-SA"/>
        </w:rPr>
        <w:t>%，其中：预算结余率大于10%的项目共</w:t>
      </w:r>
      <w:r>
        <w:rPr>
          <w:rFonts w:hint="default" w:ascii="Times New Roman" w:hAnsi="Times New Roman" w:eastAsia="方正仿宋_GBK" w:cs="Times New Roman"/>
          <w:kern w:val="2"/>
          <w:sz w:val="32"/>
          <w:szCs w:val="32"/>
          <w:highlight w:val="none"/>
          <w:lang w:val="en-US" w:eastAsia="zh-CN" w:bidi="ar-SA"/>
        </w:rPr>
        <w:t>10</w:t>
      </w:r>
      <w:r>
        <w:rPr>
          <w:rFonts w:hint="default" w:ascii="Times New Roman" w:hAnsi="Times New Roman" w:eastAsia="方正仿宋_GBK" w:cs="Times New Roman"/>
          <w:kern w:val="2"/>
          <w:sz w:val="32"/>
          <w:szCs w:val="32"/>
          <w:highlight w:val="none"/>
          <w:lang w:val="zh-CN" w:eastAsia="zh-CN" w:bidi="ar-SA"/>
        </w:rPr>
        <w:t>个。</w:t>
      </w:r>
    </w:p>
    <w:p w14:paraId="79E8C553">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方正仿宋_GBK" w:cs="Times New Roman"/>
          <w:kern w:val="2"/>
          <w:sz w:val="32"/>
          <w:szCs w:val="32"/>
          <w:highlight w:val="none"/>
          <w:lang w:val="zh-CN" w:eastAsia="zh-CN" w:bidi="ar-SA"/>
        </w:rPr>
        <w:t>1.项目决策。市民政局项目目标设置围绕产出、效益、满意度设定核心指标，与项目实施内容、资金规模相匹配。决策流程合规，严格遵循前期调研、集体研究程序，重大项目均履行党组会集体决策流程，未出现个人决策、越权决策情况。决策资料归档完整，调研记录、会议纪要、论证报告、审批文件等资料齐全，决策过程可追溯、可核查，符合内控管理与绩效留痕要求。兼顾项目合规性与效率，保障项目及时落地。</w:t>
      </w:r>
    </w:p>
    <w:p w14:paraId="40B5234B">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方正仿宋_GBK" w:cs="Times New Roman"/>
          <w:kern w:val="2"/>
          <w:sz w:val="32"/>
          <w:szCs w:val="32"/>
          <w:highlight w:val="none"/>
          <w:lang w:val="zh-CN" w:eastAsia="zh-CN" w:bidi="ar-SA"/>
        </w:rPr>
        <w:t>2.项目执行。</w:t>
      </w:r>
      <w:r>
        <w:rPr>
          <w:rFonts w:hint="default" w:ascii="Times New Roman" w:hAnsi="Times New Roman" w:eastAsia="方正仿宋_GBK" w:cs="Times New Roman"/>
          <w:kern w:val="2"/>
          <w:sz w:val="32"/>
          <w:szCs w:val="32"/>
          <w:highlight w:val="none"/>
          <w:lang w:val="en-US" w:eastAsia="zh-CN" w:bidi="ar-SA"/>
        </w:rPr>
        <w:t>2025年市民政局所有</w:t>
      </w:r>
      <w:r>
        <w:rPr>
          <w:rFonts w:hint="default" w:ascii="Times New Roman" w:hAnsi="Times New Roman" w:eastAsia="方正仿宋_GBK" w:cs="Times New Roman"/>
          <w:kern w:val="2"/>
          <w:sz w:val="32"/>
          <w:szCs w:val="32"/>
          <w:highlight w:val="none"/>
          <w:lang w:val="zh-CN" w:eastAsia="zh-CN" w:bidi="ar-SA"/>
        </w:rPr>
        <w:t>项目严格按照实施方案推进，坚持资金执行与项目进度同向，专款专用、规范拨付。执行过程中，确保项目方向不变、目标不降。通过强化过程管控、压实责任分工，各项节点任务均按期完成，项目质量达标，取得预期成效。项目执行规范、推进有序、成效明显，后续将持续做好收尾与总结，不断提升项目管理水平。</w:t>
      </w:r>
    </w:p>
    <w:p w14:paraId="1D993DD7">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方正仿宋_GBK" w:cs="Times New Roman"/>
          <w:kern w:val="2"/>
          <w:sz w:val="32"/>
          <w:szCs w:val="32"/>
          <w:highlight w:val="none"/>
          <w:lang w:val="zh-CN" w:eastAsia="zh-CN" w:bidi="ar-SA"/>
        </w:rPr>
        <w:t>3.目标实现。市财政局202</w:t>
      </w:r>
      <w:r>
        <w:rPr>
          <w:rFonts w:hint="default" w:ascii="Times New Roman" w:hAnsi="Times New Roman" w:eastAsia="方正仿宋_GBK" w:cs="Times New Roman"/>
          <w:kern w:val="2"/>
          <w:sz w:val="32"/>
          <w:szCs w:val="32"/>
          <w:highlight w:val="none"/>
          <w:lang w:val="en-US" w:eastAsia="zh-CN" w:bidi="ar-SA"/>
        </w:rPr>
        <w:t>5</w:t>
      </w:r>
      <w:r>
        <w:rPr>
          <w:rFonts w:hint="default" w:ascii="Times New Roman" w:hAnsi="Times New Roman" w:eastAsia="方正仿宋_GBK" w:cs="Times New Roman"/>
          <w:kern w:val="2"/>
          <w:sz w:val="32"/>
          <w:szCs w:val="32"/>
          <w:highlight w:val="none"/>
          <w:lang w:val="zh-CN" w:eastAsia="zh-CN" w:bidi="ar-SA"/>
        </w:rPr>
        <w:t>年度安排市民政局一般公共预算的常年项目、阶段项目支出</w:t>
      </w:r>
      <w:r>
        <w:rPr>
          <w:rFonts w:hint="default" w:ascii="Times New Roman" w:hAnsi="Times New Roman" w:eastAsia="方正仿宋_GBK" w:cs="Times New Roman"/>
          <w:kern w:val="2"/>
          <w:sz w:val="32"/>
          <w:szCs w:val="32"/>
          <w:highlight w:val="none"/>
          <w:lang w:val="en-US" w:eastAsia="zh-CN" w:bidi="ar-SA"/>
        </w:rPr>
        <w:t>892.8万元，</w:t>
      </w:r>
      <w:r>
        <w:rPr>
          <w:rFonts w:hint="default" w:ascii="Times New Roman" w:hAnsi="Times New Roman" w:eastAsia="方正仿宋_GBK" w:cs="Times New Roman"/>
          <w:kern w:val="2"/>
          <w:sz w:val="32"/>
          <w:szCs w:val="32"/>
          <w:highlight w:val="none"/>
          <w:lang w:val="zh-CN" w:eastAsia="zh-CN" w:bidi="ar-SA"/>
        </w:rPr>
        <w:t>政府性基金预算安排的阶段项目支出</w:t>
      </w:r>
      <w:r>
        <w:rPr>
          <w:rFonts w:hint="default" w:ascii="Times New Roman" w:hAnsi="Times New Roman" w:eastAsia="方正仿宋_GBK" w:cs="Times New Roman"/>
          <w:kern w:val="2"/>
          <w:sz w:val="32"/>
          <w:szCs w:val="32"/>
          <w:highlight w:val="none"/>
          <w:lang w:val="en-US" w:eastAsia="zh-CN" w:bidi="ar-SA"/>
        </w:rPr>
        <w:t>287.07万元，无国有资本经营预算安排的项目支出。</w:t>
      </w:r>
      <w:r>
        <w:rPr>
          <w:rFonts w:hint="default" w:ascii="Times New Roman" w:hAnsi="Times New Roman" w:eastAsia="方正仿宋_GBK" w:cs="Times New Roman"/>
          <w:kern w:val="2"/>
          <w:sz w:val="32"/>
          <w:szCs w:val="32"/>
          <w:highlight w:val="none"/>
          <w:lang w:val="zh-CN" w:eastAsia="zh-CN" w:bidi="ar-SA"/>
        </w:rPr>
        <w:t>为深入贯彻落实全面预算绩效管理要求，市民政局扎实推进预算绩效自评工作，重点围绕规划决策的科学性、执行管理的规范性、实施效果的显著性等维度开展深度剖析。</w:t>
      </w:r>
    </w:p>
    <w:p w14:paraId="03A82D37">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方正仿宋_GBK" w:cs="Times New Roman"/>
          <w:kern w:val="2"/>
          <w:sz w:val="32"/>
          <w:szCs w:val="32"/>
          <w:highlight w:val="none"/>
          <w:lang w:val="en-US" w:eastAsia="zh-CN" w:bidi="ar-SA"/>
        </w:rPr>
        <w:t>2025年市民政局</w:t>
      </w:r>
      <w:r>
        <w:rPr>
          <w:rFonts w:hint="default" w:ascii="Times New Roman" w:hAnsi="Times New Roman" w:eastAsia="方正仿宋_GBK" w:cs="Times New Roman"/>
          <w:kern w:val="2"/>
          <w:sz w:val="32"/>
          <w:szCs w:val="32"/>
          <w:highlight w:val="none"/>
          <w:lang w:val="zh-CN" w:eastAsia="zh-CN" w:bidi="ar-SA"/>
        </w:rPr>
        <w:t>紧紧围绕高质量发展建设共同富裕试验区，凝心聚力兜底线、保稳定、促发展，全面履行基本民生保障职责，提高城乡居民最低生活保障和特困供养人员基本生活费标准，及时将符合条件的困难群众纳入兜底保障救助，残疾人“两项补贴”，确保应保尽保、应补尽补；全面推进养老服务体系建设，丰富养老服务供给；提高孤儿基本生活养育标准，落实各项困境儿童关爱保护政策。项目绩效完成较好,保障了民生工程的顺利完成，助力全市高质量发展共同富裕试验区建设，已完成年度职能目标任务。</w:t>
      </w:r>
    </w:p>
    <w:p w14:paraId="57F0D8E2">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3" w:firstLineChars="200"/>
        <w:contextualSpacing/>
        <w:jc w:val="left"/>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楷体_GB2312" w:cs="Times New Roman"/>
          <w:b/>
          <w:sz w:val="32"/>
          <w:szCs w:val="32"/>
          <w:lang w:val="zh-CN" w:eastAsia="zh-CN"/>
        </w:rPr>
        <w:t>（三）绩效结果应用情况。</w:t>
      </w:r>
      <w:r>
        <w:rPr>
          <w:rFonts w:hint="default" w:ascii="Times New Roman" w:hAnsi="Times New Roman" w:eastAsia="方正仿宋_GBK" w:cs="Times New Roman"/>
          <w:kern w:val="2"/>
          <w:sz w:val="32"/>
          <w:szCs w:val="32"/>
          <w:highlight w:val="none"/>
          <w:lang w:val="zh-CN" w:eastAsia="zh-CN" w:bidi="ar-SA"/>
        </w:rPr>
        <w:t>本次绩效结果坚持以评促改、以评促管，从内部应用、信息公开、整改反馈三方面抓好结果运用。</w:t>
      </w:r>
    </w:p>
    <w:p w14:paraId="34A89D49">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方正仿宋_GBK" w:cs="Times New Roman"/>
          <w:kern w:val="2"/>
          <w:sz w:val="32"/>
          <w:szCs w:val="32"/>
          <w:highlight w:val="none"/>
          <w:lang w:val="zh-CN" w:eastAsia="zh-CN" w:bidi="ar-SA"/>
        </w:rPr>
        <w:t>在内部应用上，将绩效结果与项目管理、资金安排、责任落实挂钩，作为优化流程、调整任务、改进工作的重要依据，推动管理提质增效。</w:t>
      </w:r>
    </w:p>
    <w:p w14:paraId="3D8130D2">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方正仿宋_GBK" w:cs="Times New Roman"/>
          <w:kern w:val="2"/>
          <w:sz w:val="32"/>
          <w:szCs w:val="32"/>
          <w:highlight w:val="none"/>
          <w:lang w:val="zh-CN" w:eastAsia="zh-CN" w:bidi="ar-SA"/>
        </w:rPr>
        <w:t>在信息公开上，按规定对绩效相关信息依规公示，主动接受监督，保障公开透明，提升绩效工作公信力。</w:t>
      </w:r>
    </w:p>
    <w:p w14:paraId="1460B254">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方正仿宋_GBK" w:cs="Times New Roman"/>
          <w:kern w:val="2"/>
          <w:sz w:val="32"/>
          <w:szCs w:val="32"/>
          <w:highlight w:val="none"/>
          <w:lang w:val="zh-CN" w:eastAsia="zh-CN" w:bidi="ar-SA"/>
        </w:rPr>
        <w:t>在整改反馈上，针对绩效发现问题建立台账、明确时限、压实责任，实行闭环管理，做到即知即改、立行立改，并及时反馈整改成效，切实把绩效结果转化为工作实效。</w:t>
      </w:r>
    </w:p>
    <w:p w14:paraId="536FED92">
      <w:pPr>
        <w:pageBreakBefore w:val="0"/>
        <w:widowControl/>
        <w:kinsoku/>
        <w:wordWrap/>
        <w:overflowPunct/>
        <w:topLinePunct w:val="0"/>
        <w:autoSpaceDE/>
        <w:autoSpaceDN/>
        <w:bidi w:val="0"/>
        <w:adjustRightInd w:val="0"/>
        <w:snapToGrid w:val="0"/>
        <w:spacing w:line="600" w:lineRule="exact"/>
        <w:ind w:firstLine="640" w:firstLineChars="200"/>
        <w:contextualSpacing/>
        <w:rPr>
          <w:rFonts w:hint="default" w:ascii="Times New Roman" w:hAnsi="Times New Roman" w:eastAsia="方正黑体_GBK" w:cs="Times New Roman"/>
          <w:color w:val="000000"/>
          <w:kern w:val="0"/>
          <w:sz w:val="32"/>
          <w:szCs w:val="32"/>
          <w:shd w:val="clear" w:color="auto" w:fill="FFFFFF"/>
          <w:lang w:val="zh-CN" w:eastAsia="zh-CN" w:bidi="ar-SA"/>
        </w:rPr>
      </w:pPr>
      <w:r>
        <w:rPr>
          <w:rFonts w:hint="default" w:ascii="Times New Roman" w:hAnsi="Times New Roman" w:eastAsia="方正黑体_GBK" w:cs="Times New Roman"/>
          <w:color w:val="000000"/>
          <w:kern w:val="0"/>
          <w:sz w:val="32"/>
          <w:szCs w:val="32"/>
          <w:shd w:val="clear" w:color="auto" w:fill="FFFFFF"/>
          <w:lang w:val="zh-CN" w:eastAsia="zh-CN" w:bidi="ar-SA"/>
        </w:rPr>
        <w:t>四、评价结论及建议</w:t>
      </w:r>
    </w:p>
    <w:p w14:paraId="21966EEC">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3" w:firstLineChars="200"/>
        <w:contextualSpacing/>
        <w:jc w:val="left"/>
        <w:textAlignment w:val="auto"/>
        <w:rPr>
          <w:rFonts w:hint="default" w:ascii="Times New Roman" w:hAnsi="Times New Roman" w:eastAsia="方正仿宋_GBK" w:cs="Times New Roman"/>
          <w:kern w:val="2"/>
          <w:sz w:val="32"/>
          <w:szCs w:val="32"/>
          <w:highlight w:val="none"/>
          <w:lang w:val="en-US" w:eastAsia="zh-CN" w:bidi="ar-SA"/>
        </w:rPr>
      </w:pPr>
      <w:r>
        <w:rPr>
          <w:rFonts w:hint="default" w:ascii="Times New Roman" w:hAnsi="Times New Roman" w:eastAsia="楷体_GB2312" w:cs="Times New Roman"/>
          <w:b/>
          <w:sz w:val="32"/>
          <w:szCs w:val="32"/>
          <w:lang w:val="zh-CN" w:eastAsia="zh-CN"/>
        </w:rPr>
        <w:t>（一）评价结论。</w:t>
      </w:r>
      <w:r>
        <w:rPr>
          <w:rFonts w:hint="default" w:ascii="Times New Roman" w:hAnsi="Times New Roman" w:eastAsia="方正仿宋_GBK" w:cs="Times New Roman"/>
          <w:kern w:val="2"/>
          <w:sz w:val="32"/>
          <w:szCs w:val="32"/>
          <w:highlight w:val="none"/>
          <w:lang w:val="en-US" w:eastAsia="zh-CN" w:bidi="ar-SA"/>
        </w:rPr>
        <w:t>本部门严格按照预算绩效评价要求，围绕项目实施、资金使用、管理成效等方面开展全面自评。经综合评定，自评得分98分，评价等次为优秀。</w:t>
      </w:r>
    </w:p>
    <w:p w14:paraId="5BCBFA46">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方正仿宋_GBK" w:cs="Times New Roman"/>
          <w:kern w:val="2"/>
          <w:sz w:val="32"/>
          <w:szCs w:val="32"/>
          <w:highlight w:val="none"/>
          <w:lang w:val="en-US" w:eastAsia="zh-CN" w:bidi="ar-SA"/>
        </w:rPr>
      </w:pPr>
      <w:r>
        <w:rPr>
          <w:rFonts w:hint="default" w:ascii="Times New Roman" w:hAnsi="Times New Roman" w:eastAsia="方正仿宋_GBK" w:cs="Times New Roman"/>
          <w:kern w:val="2"/>
          <w:sz w:val="32"/>
          <w:szCs w:val="32"/>
          <w:highlight w:val="none"/>
          <w:lang w:val="en-US" w:eastAsia="zh-CN" w:bidi="ar-SA"/>
        </w:rPr>
        <w:t>总体来看，部门预算执行规范，资金使用合规高效，项目推进有序，各项绩效目标均较好完成，达到预期实施效果，有效发挥了财政资金使用效益。</w:t>
      </w:r>
    </w:p>
    <w:p w14:paraId="1341D195">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3" w:firstLineChars="200"/>
        <w:contextualSpacing/>
        <w:jc w:val="left"/>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楷体_GB2312" w:cs="Times New Roman"/>
          <w:b/>
          <w:sz w:val="32"/>
          <w:szCs w:val="32"/>
          <w:lang w:val="zh-CN" w:eastAsia="zh-CN"/>
        </w:rPr>
        <w:t>（二）存在问题。</w:t>
      </w:r>
      <w:r>
        <w:rPr>
          <w:rFonts w:hint="default" w:ascii="Times New Roman" w:hAnsi="Times New Roman" w:eastAsia="方正楷体_GBK" w:cs="Times New Roman"/>
          <w:b/>
          <w:bCs/>
          <w:color w:val="000000"/>
          <w:kern w:val="0"/>
          <w:szCs w:val="32"/>
          <w:shd w:val="clear" w:color="auto" w:fill="FFFFFF"/>
          <w:lang w:val="zh-CN" w:eastAsia="zh-CN" w:bidi="ar-SA"/>
        </w:rPr>
        <w:t>一</w:t>
      </w:r>
      <w:r>
        <w:rPr>
          <w:rFonts w:hint="default" w:ascii="Times New Roman" w:hAnsi="Times New Roman" w:eastAsia="方正仿宋_GBK" w:cs="Times New Roman"/>
          <w:kern w:val="2"/>
          <w:sz w:val="32"/>
          <w:szCs w:val="32"/>
          <w:highlight w:val="none"/>
          <w:lang w:val="zh-CN" w:eastAsia="zh-CN" w:bidi="ar-SA"/>
        </w:rPr>
        <w:t>是</w:t>
      </w:r>
      <w:r>
        <w:rPr>
          <w:rFonts w:hint="default" w:ascii="Times New Roman" w:hAnsi="Times New Roman" w:eastAsia="方正仿宋_GBK" w:cs="Times New Roman"/>
          <w:kern w:val="2"/>
          <w:sz w:val="32"/>
          <w:szCs w:val="32"/>
          <w:highlight w:val="none"/>
          <w:lang w:val="en-US" w:eastAsia="zh-CN" w:bidi="ar-SA"/>
        </w:rPr>
        <w:t>预算绩效管理制度仍需完善，部分环节精细化管理水平有待提升。</w:t>
      </w:r>
      <w:r>
        <w:rPr>
          <w:rFonts w:hint="default" w:ascii="Times New Roman" w:hAnsi="Times New Roman" w:eastAsia="方正仿宋_GBK" w:cs="Times New Roman"/>
          <w:kern w:val="2"/>
          <w:sz w:val="32"/>
          <w:szCs w:val="32"/>
          <w:highlight w:val="none"/>
          <w:lang w:val="zh-CN" w:eastAsia="zh-CN" w:bidi="ar-SA"/>
        </w:rPr>
        <w:t>二是</w:t>
      </w:r>
      <w:r>
        <w:rPr>
          <w:rFonts w:hint="default" w:ascii="Times New Roman" w:hAnsi="Times New Roman" w:eastAsia="方正仿宋_GBK" w:cs="Times New Roman"/>
          <w:kern w:val="2"/>
          <w:sz w:val="32"/>
          <w:szCs w:val="32"/>
          <w:highlight w:val="none"/>
          <w:lang w:val="en-US" w:eastAsia="zh-CN" w:bidi="ar-SA"/>
        </w:rPr>
        <w:t>绩效指标设置不够精准，部分指标细化程度不足，影响评价效果。</w:t>
      </w:r>
      <w:r>
        <w:rPr>
          <w:rFonts w:hint="default" w:ascii="Times New Roman" w:hAnsi="Times New Roman" w:eastAsia="方正仿宋_GBK" w:cs="Times New Roman"/>
          <w:kern w:val="2"/>
          <w:sz w:val="32"/>
          <w:szCs w:val="32"/>
          <w:highlight w:val="none"/>
          <w:lang w:val="zh-CN" w:eastAsia="zh-CN" w:bidi="ar-SA"/>
        </w:rPr>
        <w:t>三是</w:t>
      </w:r>
      <w:r>
        <w:rPr>
          <w:rFonts w:hint="default" w:ascii="Times New Roman" w:hAnsi="Times New Roman" w:eastAsia="方正仿宋_GBK" w:cs="Times New Roman"/>
          <w:kern w:val="2"/>
          <w:sz w:val="32"/>
          <w:szCs w:val="32"/>
          <w:highlight w:val="none"/>
          <w:lang w:val="en-US" w:eastAsia="zh-CN" w:bidi="ar-SA"/>
        </w:rPr>
        <w:t>项目执行过程中动态监控不够及时，绩效跟踪管理力度需进一步加强。</w:t>
      </w:r>
      <w:r>
        <w:rPr>
          <w:rFonts w:hint="default" w:ascii="Times New Roman" w:hAnsi="Times New Roman" w:eastAsia="方正仿宋_GBK" w:cs="Times New Roman"/>
          <w:kern w:val="2"/>
          <w:sz w:val="32"/>
          <w:szCs w:val="32"/>
          <w:highlight w:val="none"/>
          <w:lang w:val="zh-CN" w:eastAsia="zh-CN" w:bidi="ar-SA"/>
        </w:rPr>
        <w:t>四是</w:t>
      </w:r>
      <w:r>
        <w:rPr>
          <w:rFonts w:hint="default" w:ascii="Times New Roman" w:hAnsi="Times New Roman" w:eastAsia="方正仿宋_GBK" w:cs="Times New Roman"/>
          <w:kern w:val="2"/>
          <w:sz w:val="32"/>
          <w:szCs w:val="32"/>
          <w:highlight w:val="none"/>
          <w:lang w:val="en-US" w:eastAsia="zh-CN" w:bidi="ar-SA"/>
        </w:rPr>
        <w:t>绩效结果应用不够深入，与预算安排、项目管理的衔接还需更加紧密</w:t>
      </w:r>
      <w:r>
        <w:rPr>
          <w:rFonts w:hint="default" w:ascii="Times New Roman" w:hAnsi="Times New Roman" w:eastAsia="方正仿宋_GBK" w:cs="Times New Roman"/>
          <w:kern w:val="2"/>
          <w:sz w:val="32"/>
          <w:szCs w:val="32"/>
          <w:highlight w:val="none"/>
          <w:lang w:val="zh-CN" w:eastAsia="zh-CN" w:bidi="ar-SA"/>
        </w:rPr>
        <w:t>。</w:t>
      </w:r>
    </w:p>
    <w:p w14:paraId="16F5C7F5">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3" w:firstLineChars="200"/>
        <w:contextualSpacing/>
        <w:jc w:val="left"/>
        <w:textAlignment w:val="auto"/>
        <w:rPr>
          <w:rFonts w:hint="default" w:ascii="Times New Roman" w:hAnsi="Times New Roman" w:eastAsia="方正仿宋_GBK" w:cs="Times New Roman"/>
          <w:kern w:val="2"/>
          <w:sz w:val="32"/>
          <w:szCs w:val="32"/>
          <w:highlight w:val="none"/>
          <w:lang w:val="en-US" w:eastAsia="zh-CN" w:bidi="ar-SA"/>
        </w:rPr>
      </w:pPr>
      <w:r>
        <w:rPr>
          <w:rFonts w:hint="default" w:ascii="Times New Roman" w:hAnsi="Times New Roman" w:eastAsia="楷体_GB2312" w:cs="Times New Roman"/>
          <w:b/>
          <w:sz w:val="32"/>
          <w:szCs w:val="32"/>
          <w:lang w:val="zh-CN" w:eastAsia="zh-CN"/>
        </w:rPr>
        <w:t>（三）改进建议。</w:t>
      </w:r>
      <w:bookmarkStart w:id="57" w:name="_Hlk110546638"/>
      <w:r>
        <w:rPr>
          <w:rFonts w:hint="default" w:ascii="Times New Roman" w:hAnsi="Times New Roman" w:eastAsia="方正仿宋_GBK" w:cs="Times New Roman"/>
          <w:kern w:val="2"/>
          <w:sz w:val="32"/>
          <w:szCs w:val="32"/>
          <w:highlight w:val="none"/>
          <w:lang w:val="en-US" w:eastAsia="zh-CN" w:bidi="ar-SA"/>
        </w:rPr>
        <w:t>一是健全绩效管理制度，细化工作流程，提升管理精细化水平。二是优化绩效指标设置，增强指标量化性与可考核性。三是强化项目动态监控，健全常态化跟踪机制，提升监管实效。</w:t>
      </w:r>
    </w:p>
    <w:bookmarkEnd w:id="57"/>
    <w:p w14:paraId="394511F6">
      <w:pPr>
        <w:pageBreakBefore w:val="0"/>
        <w:kinsoku/>
        <w:wordWrap/>
        <w:overflowPunct/>
        <w:topLinePunct w:val="0"/>
        <w:autoSpaceDE/>
        <w:autoSpaceDN/>
        <w:bidi w:val="0"/>
        <w:spacing w:line="600" w:lineRule="exact"/>
        <w:ind w:firstLine="420" w:firstLineChars="200"/>
        <w:contextualSpacing/>
        <w:rPr>
          <w:rFonts w:hint="default" w:ascii="Times New Roman" w:hAnsi="Times New Roman" w:eastAsia="黑体" w:cs="Times New Roman"/>
          <w:szCs w:val="32"/>
        </w:rPr>
      </w:pPr>
    </w:p>
    <w:p w14:paraId="40CF31F8">
      <w:pPr>
        <w:pageBreakBefore w:val="0"/>
        <w:kinsoku/>
        <w:wordWrap/>
        <w:overflowPunct/>
        <w:topLinePunct w:val="0"/>
        <w:autoSpaceDE/>
        <w:autoSpaceDN/>
        <w:bidi w:val="0"/>
        <w:spacing w:line="600" w:lineRule="exact"/>
        <w:jc w:val="left"/>
        <w:rPr>
          <w:rFonts w:hint="default" w:ascii="Times New Roman" w:hAnsi="Times New Roman" w:eastAsia="黑体" w:cs="Times New Roman"/>
        </w:rPr>
      </w:pPr>
      <w:r>
        <w:rPr>
          <w:rFonts w:hint="default" w:ascii="Times New Roman" w:hAnsi="Times New Roman" w:cs="Times New Roman"/>
          <w:color w:val="000000"/>
          <w:kern w:val="0"/>
          <w:szCs w:val="32"/>
          <w:shd w:val="clear" w:color="auto" w:fill="FFFFFF"/>
        </w:rPr>
        <w:br w:type="page"/>
      </w:r>
      <w:r>
        <w:rPr>
          <w:rFonts w:hint="default" w:ascii="Times New Roman" w:hAnsi="Times New Roman" w:eastAsia="黑体" w:cs="Times New Roman"/>
        </w:rPr>
        <w:t>附表1</w:t>
      </w:r>
    </w:p>
    <w:p w14:paraId="01AB565E">
      <w:pPr>
        <w:pageBreakBefore w:val="0"/>
        <w:widowControl/>
        <w:kinsoku/>
        <w:wordWrap/>
        <w:overflowPunct/>
        <w:topLinePunct w:val="0"/>
        <w:autoSpaceDE/>
        <w:autoSpaceDN/>
        <w:bidi w:val="0"/>
        <w:spacing w:line="600" w:lineRule="exact"/>
        <w:ind w:firstLine="880" w:firstLineChars="200"/>
        <w:jc w:val="center"/>
        <w:textAlignment w:val="center"/>
        <w:rPr>
          <w:rFonts w:hint="default" w:ascii="Times New Roman" w:hAnsi="Times New Roman" w:eastAsia="方正小标宋简体" w:cs="Times New Roman"/>
          <w:color w:val="000000"/>
          <w:kern w:val="0"/>
          <w:sz w:val="44"/>
          <w:szCs w:val="44"/>
        </w:rPr>
      </w:pPr>
      <w:r>
        <w:rPr>
          <w:rFonts w:hint="default" w:ascii="Times New Roman" w:hAnsi="Times New Roman" w:eastAsia="方正小标宋简体" w:cs="Times New Roman"/>
          <w:color w:val="000000"/>
          <w:kern w:val="0"/>
          <w:sz w:val="44"/>
          <w:szCs w:val="44"/>
        </w:rPr>
        <w:t>部门预算绩效自评打分表</w:t>
      </w:r>
    </w:p>
    <w:tbl>
      <w:tblPr>
        <w:tblStyle w:val="17"/>
        <w:tblW w:w="108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04"/>
        <w:gridCol w:w="934"/>
        <w:gridCol w:w="3450"/>
        <w:gridCol w:w="540"/>
        <w:gridCol w:w="3657"/>
        <w:gridCol w:w="756"/>
        <w:gridCol w:w="478"/>
      </w:tblGrid>
      <w:tr w14:paraId="24896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59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ECBC9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绩效评价指标指标分值</w:t>
            </w:r>
          </w:p>
        </w:tc>
        <w:tc>
          <w:tcPr>
            <w:tcW w:w="36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68568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指标解释</w:t>
            </w:r>
          </w:p>
        </w:tc>
        <w:tc>
          <w:tcPr>
            <w:tcW w:w="756" w:type="dxa"/>
            <w:vMerge w:val="restart"/>
            <w:tcBorders>
              <w:top w:val="single" w:color="000000" w:sz="4" w:space="0"/>
              <w:left w:val="single" w:color="000000" w:sz="4" w:space="0"/>
              <w:right w:val="single" w:color="000000" w:sz="4" w:space="0"/>
            </w:tcBorders>
            <w:shd w:val="clear" w:color="auto" w:fill="auto"/>
            <w:vAlign w:val="center"/>
          </w:tcPr>
          <w:p w14:paraId="375E31B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050CB5E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备注</w:t>
            </w:r>
          </w:p>
        </w:tc>
      </w:tr>
      <w:tr w14:paraId="44BAA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nil"/>
            </w:tcBorders>
            <w:shd w:val="clear" w:color="auto" w:fill="auto"/>
            <w:vAlign w:val="center"/>
          </w:tcPr>
          <w:p w14:paraId="1949782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一级指标</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ED7A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二级指标</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D4FD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05D1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指标</w:t>
            </w:r>
            <w:r>
              <w:rPr>
                <w:rFonts w:hint="default" w:ascii="Times New Roman" w:hAnsi="Times New Roman" w:eastAsia="方正仿宋_GBK" w:cs="Times New Roman"/>
                <w:color w:val="000000"/>
                <w:kern w:val="0"/>
                <w:sz w:val="24"/>
                <w:szCs w:val="24"/>
                <w:lang w:val="en-US" w:eastAsia="zh-CN" w:bidi="ar"/>
              </w:rPr>
              <w:br w:type="textWrapping"/>
            </w:r>
            <w:r>
              <w:rPr>
                <w:rFonts w:hint="default" w:ascii="Times New Roman" w:hAnsi="Times New Roman" w:eastAsia="方正仿宋_GBK" w:cs="Times New Roman"/>
                <w:color w:val="000000"/>
                <w:kern w:val="0"/>
                <w:sz w:val="24"/>
                <w:szCs w:val="24"/>
                <w:lang w:val="en-US" w:eastAsia="zh-CN" w:bidi="ar"/>
              </w:rPr>
              <w:t>分值</w:t>
            </w:r>
          </w:p>
        </w:tc>
        <w:tc>
          <w:tcPr>
            <w:tcW w:w="36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9763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p>
        </w:tc>
        <w:tc>
          <w:tcPr>
            <w:tcW w:w="756" w:type="dxa"/>
            <w:vMerge w:val="continue"/>
            <w:tcBorders>
              <w:left w:val="single" w:color="000000" w:sz="4" w:space="0"/>
              <w:bottom w:val="single" w:color="000000" w:sz="4" w:space="0"/>
              <w:right w:val="single" w:color="000000" w:sz="4" w:space="0"/>
            </w:tcBorders>
            <w:shd w:val="clear" w:color="auto" w:fill="auto"/>
            <w:vAlign w:val="center"/>
          </w:tcPr>
          <w:p w14:paraId="5D4FDC9F">
            <w:pPr>
              <w:pageBreakBefore w:val="0"/>
              <w:kinsoku/>
              <w:wordWrap/>
              <w:overflowPunct/>
              <w:topLinePunct w:val="0"/>
              <w:autoSpaceDE/>
              <w:autoSpaceDN/>
              <w:bidi w:val="0"/>
              <w:spacing w:line="600" w:lineRule="exact"/>
              <w:ind w:firstLine="360" w:firstLineChars="200"/>
              <w:rPr>
                <w:rFonts w:hint="default" w:ascii="Times New Roman" w:hAnsi="Times New Roman" w:cs="Times New Roman"/>
                <w:sz w:val="18"/>
                <w:szCs w:val="18"/>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3C9FAF7F">
            <w:pPr>
              <w:pageBreakBefore w:val="0"/>
              <w:kinsoku/>
              <w:wordWrap/>
              <w:overflowPunct/>
              <w:topLinePunct w:val="0"/>
              <w:autoSpaceDE/>
              <w:autoSpaceDN/>
              <w:bidi w:val="0"/>
              <w:spacing w:line="600" w:lineRule="exact"/>
              <w:ind w:firstLine="420" w:firstLineChars="200"/>
              <w:rPr>
                <w:rFonts w:hint="default" w:ascii="Times New Roman" w:hAnsi="Times New Roman" w:cs="Times New Roman"/>
              </w:rPr>
            </w:pPr>
          </w:p>
        </w:tc>
      </w:tr>
      <w:tr w14:paraId="7F818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1F4FD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总体绩效</w:t>
            </w:r>
            <w:r>
              <w:rPr>
                <w:rFonts w:hint="default" w:ascii="Times New Roman" w:hAnsi="Times New Roman" w:eastAsia="方正仿宋_GBK" w:cs="Times New Roman"/>
                <w:color w:val="000000"/>
                <w:kern w:val="0"/>
                <w:sz w:val="24"/>
                <w:szCs w:val="24"/>
                <w:lang w:val="en-US" w:eastAsia="zh-CN" w:bidi="ar"/>
              </w:rPr>
              <w:br w:type="textWrapping"/>
            </w:r>
            <w:r>
              <w:rPr>
                <w:rFonts w:hint="default" w:ascii="Times New Roman" w:hAnsi="Times New Roman" w:eastAsia="方正仿宋_GBK" w:cs="Times New Roman"/>
                <w:color w:val="000000"/>
                <w:kern w:val="0"/>
                <w:sz w:val="24"/>
                <w:szCs w:val="24"/>
                <w:lang w:val="en-US" w:eastAsia="zh-CN" w:bidi="ar"/>
              </w:rPr>
              <w:t>（65分）</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0194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履职效能</w:t>
            </w:r>
            <w:r>
              <w:rPr>
                <w:rFonts w:hint="default" w:ascii="Times New Roman" w:hAnsi="Times New Roman" w:eastAsia="方正仿宋_GBK" w:cs="Times New Roman"/>
                <w:color w:val="000000"/>
                <w:kern w:val="0"/>
                <w:sz w:val="24"/>
                <w:szCs w:val="24"/>
                <w:lang w:val="en-US" w:eastAsia="zh-CN" w:bidi="ar"/>
              </w:rPr>
              <w:br w:type="textWrapping"/>
            </w:r>
            <w:r>
              <w:rPr>
                <w:rFonts w:hint="default" w:ascii="Times New Roman" w:hAnsi="Times New Roman" w:eastAsia="方正仿宋_GBK" w:cs="Times New Roman"/>
                <w:color w:val="000000"/>
                <w:kern w:val="0"/>
                <w:sz w:val="24"/>
                <w:szCs w:val="24"/>
                <w:lang w:val="en-US" w:eastAsia="zh-CN" w:bidi="ar"/>
              </w:rPr>
              <w:t>（15分）</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tbl>
            <w:tblPr>
              <w:tblStyle w:val="17"/>
              <w:tblW w:w="3450" w:type="dxa"/>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450"/>
            </w:tblGrid>
            <w:tr w14:paraId="6225E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73E5C">
                  <w:pPr>
                    <w:keepNext w:val="0"/>
                    <w:keepLines w:val="0"/>
                    <w:pageBreakBefore w:val="0"/>
                    <w:widowControl/>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康辅工程履职效果</w:t>
                  </w:r>
                </w:p>
              </w:tc>
            </w:tr>
            <w:tr w14:paraId="42760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C2415">
                  <w:pPr>
                    <w:keepNext w:val="0"/>
                    <w:keepLines w:val="0"/>
                    <w:pageBreakBefore w:val="0"/>
                    <w:widowControl/>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后勤保障服务履职效果</w:t>
                  </w:r>
                </w:p>
              </w:tc>
            </w:tr>
            <w:tr w14:paraId="449A8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A7750">
                  <w:pPr>
                    <w:keepNext w:val="0"/>
                    <w:keepLines w:val="0"/>
                    <w:pageBreakBefore w:val="0"/>
                    <w:widowControl/>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殡葬业务运行费履职效果</w:t>
                  </w:r>
                </w:p>
              </w:tc>
            </w:tr>
            <w:tr w14:paraId="27C10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67FAE">
                  <w:pPr>
                    <w:keepNext w:val="0"/>
                    <w:keepLines w:val="0"/>
                    <w:pageBreakBefore w:val="0"/>
                    <w:widowControl/>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困难群众专项经费履职效果</w:t>
                  </w:r>
                </w:p>
              </w:tc>
            </w:tr>
            <w:tr w14:paraId="4FE6F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572D7">
                  <w:pPr>
                    <w:keepNext w:val="0"/>
                    <w:keepLines w:val="0"/>
                    <w:pageBreakBefore w:val="0"/>
                    <w:widowControl/>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特殊儿童基本生活保障履职效果</w:t>
                  </w:r>
                </w:p>
              </w:tc>
            </w:tr>
          </w:tbl>
          <w:p w14:paraId="1C29AF9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540" w:type="dxa"/>
            <w:tcBorders>
              <w:top w:val="nil"/>
              <w:left w:val="single" w:color="000000" w:sz="4" w:space="0"/>
              <w:bottom w:val="single" w:color="000000" w:sz="4" w:space="0"/>
              <w:right w:val="single" w:color="000000" w:sz="4" w:space="0"/>
            </w:tcBorders>
            <w:shd w:val="clear" w:color="auto" w:fill="auto"/>
            <w:vAlign w:val="center"/>
          </w:tcPr>
          <w:p w14:paraId="48F5429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15</w:t>
            </w:r>
          </w:p>
        </w:tc>
        <w:tc>
          <w:tcPr>
            <w:tcW w:w="3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D53C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部门整体绩效目标中选定3-5个核心职能目标，反映该项职能目标完成效果情况，请将xx履职效果改成核心职能目标。</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50D0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FC77D">
            <w:pPr>
              <w:pageBreakBefore w:val="0"/>
              <w:widowControl/>
              <w:kinsoku/>
              <w:wordWrap/>
              <w:overflowPunct/>
              <w:topLinePunct w:val="0"/>
              <w:autoSpaceDE/>
              <w:autoSpaceDN/>
              <w:bidi w:val="0"/>
              <w:spacing w:line="600" w:lineRule="exact"/>
              <w:ind w:firstLine="480" w:firstLineChars="200"/>
              <w:jc w:val="left"/>
              <w:textAlignment w:val="center"/>
              <w:rPr>
                <w:rFonts w:hint="default" w:ascii="Times New Roman" w:hAnsi="Times New Roman" w:eastAsia="宋体" w:cs="Times New Roman"/>
                <w:color w:val="000000"/>
                <w:kern w:val="0"/>
                <w:sz w:val="24"/>
              </w:rPr>
            </w:pPr>
          </w:p>
        </w:tc>
      </w:tr>
      <w:tr w14:paraId="6F763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B29F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689D4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预算管理</w:t>
            </w:r>
            <w:r>
              <w:rPr>
                <w:rFonts w:hint="default" w:ascii="Times New Roman" w:hAnsi="Times New Roman" w:eastAsia="方正仿宋_GBK" w:cs="Times New Roman"/>
                <w:color w:val="000000"/>
                <w:kern w:val="0"/>
                <w:sz w:val="24"/>
                <w:szCs w:val="24"/>
                <w:lang w:val="en-US" w:eastAsia="zh-CN" w:bidi="ar"/>
              </w:rPr>
              <w:br w:type="textWrapping"/>
            </w:r>
            <w:r>
              <w:rPr>
                <w:rFonts w:hint="default" w:ascii="Times New Roman" w:hAnsi="Times New Roman" w:eastAsia="方正仿宋_GBK" w:cs="Times New Roman"/>
                <w:color w:val="000000"/>
                <w:kern w:val="0"/>
                <w:sz w:val="24"/>
                <w:szCs w:val="24"/>
                <w:lang w:val="en-US" w:eastAsia="zh-CN" w:bidi="ar"/>
              </w:rPr>
              <w:t>（25分）</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D3FF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预算编制质量</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4E0B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8</w:t>
            </w:r>
          </w:p>
        </w:tc>
        <w:tc>
          <w:tcPr>
            <w:tcW w:w="3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2AEC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部门是否严格按要求编制年初部门预算，年初预算编制的科学性和准确性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086D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8</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68CDF">
            <w:pPr>
              <w:pageBreakBefore w:val="0"/>
              <w:widowControl/>
              <w:kinsoku/>
              <w:wordWrap/>
              <w:overflowPunct/>
              <w:topLinePunct w:val="0"/>
              <w:autoSpaceDE/>
              <w:autoSpaceDN/>
              <w:bidi w:val="0"/>
              <w:spacing w:line="600" w:lineRule="exact"/>
              <w:ind w:firstLine="480" w:firstLineChars="200"/>
              <w:jc w:val="left"/>
              <w:textAlignment w:val="center"/>
              <w:rPr>
                <w:rFonts w:hint="default" w:ascii="Times New Roman" w:hAnsi="Times New Roman" w:eastAsia="宋体" w:cs="Times New Roman"/>
                <w:color w:val="000000"/>
                <w:kern w:val="0"/>
                <w:sz w:val="24"/>
              </w:rPr>
            </w:pPr>
          </w:p>
        </w:tc>
      </w:tr>
      <w:tr w14:paraId="22A1C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1BAD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F8BD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7CE9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支出执行进度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95B1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6</w:t>
            </w:r>
          </w:p>
        </w:tc>
        <w:tc>
          <w:tcPr>
            <w:tcW w:w="3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F0AF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部门1至6月、1至10月预算执行情况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67A1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C3BCC">
            <w:pPr>
              <w:pageBreakBefore w:val="0"/>
              <w:widowControl/>
              <w:kinsoku/>
              <w:wordWrap/>
              <w:overflowPunct/>
              <w:topLinePunct w:val="0"/>
              <w:autoSpaceDE/>
              <w:autoSpaceDN/>
              <w:bidi w:val="0"/>
              <w:spacing w:line="600" w:lineRule="exact"/>
              <w:ind w:firstLine="480" w:firstLineChars="200"/>
              <w:jc w:val="left"/>
              <w:textAlignment w:val="center"/>
              <w:rPr>
                <w:rFonts w:hint="default" w:ascii="Times New Roman" w:hAnsi="Times New Roman" w:eastAsia="宋体" w:cs="Times New Roman"/>
                <w:color w:val="000000"/>
                <w:kern w:val="0"/>
                <w:sz w:val="24"/>
              </w:rPr>
            </w:pPr>
          </w:p>
        </w:tc>
      </w:tr>
      <w:tr w14:paraId="2CF2B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C379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04F5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FBAA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预算年终结余</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8A95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4</w:t>
            </w:r>
          </w:p>
        </w:tc>
        <w:tc>
          <w:tcPr>
            <w:tcW w:w="3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2712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部门整体年终预算结余情况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A422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34380">
            <w:pPr>
              <w:pageBreakBefore w:val="0"/>
              <w:widowControl/>
              <w:kinsoku/>
              <w:wordWrap/>
              <w:overflowPunct/>
              <w:topLinePunct w:val="0"/>
              <w:autoSpaceDE/>
              <w:autoSpaceDN/>
              <w:bidi w:val="0"/>
              <w:spacing w:line="600" w:lineRule="exact"/>
              <w:ind w:firstLine="480" w:firstLineChars="200"/>
              <w:jc w:val="left"/>
              <w:textAlignment w:val="center"/>
              <w:rPr>
                <w:rFonts w:hint="default" w:ascii="Times New Roman" w:hAnsi="Times New Roman" w:eastAsia="宋体" w:cs="Times New Roman"/>
                <w:color w:val="000000"/>
                <w:kern w:val="0"/>
                <w:sz w:val="24"/>
              </w:rPr>
            </w:pPr>
          </w:p>
        </w:tc>
      </w:tr>
      <w:tr w14:paraId="77F17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248F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E13C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4B0F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严控一般性支出</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7F6B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5</w:t>
            </w:r>
          </w:p>
        </w:tc>
        <w:tc>
          <w:tcPr>
            <w:tcW w:w="3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DF25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部门严控“三公”经费、会议、培训、差旅、办节办展、办公设备购置、信息网络及软件购置更新、课题经费等8项一般性支出情况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B795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F9BD0">
            <w:pPr>
              <w:pageBreakBefore w:val="0"/>
              <w:widowControl/>
              <w:kinsoku/>
              <w:wordWrap/>
              <w:overflowPunct/>
              <w:topLinePunct w:val="0"/>
              <w:autoSpaceDE/>
              <w:autoSpaceDN/>
              <w:bidi w:val="0"/>
              <w:spacing w:line="600" w:lineRule="exact"/>
              <w:ind w:firstLine="480" w:firstLineChars="200"/>
              <w:jc w:val="left"/>
              <w:textAlignment w:val="center"/>
              <w:rPr>
                <w:rFonts w:hint="default" w:ascii="Times New Roman" w:hAnsi="Times New Roman" w:eastAsia="宋体" w:cs="Times New Roman"/>
                <w:color w:val="000000"/>
                <w:kern w:val="0"/>
                <w:sz w:val="24"/>
              </w:rPr>
            </w:pPr>
          </w:p>
        </w:tc>
      </w:tr>
      <w:tr w14:paraId="1AD42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287E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8BD73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财务管理</w:t>
            </w:r>
            <w:r>
              <w:rPr>
                <w:rFonts w:hint="default" w:ascii="Times New Roman" w:hAnsi="Times New Roman" w:eastAsia="方正仿宋_GBK" w:cs="Times New Roman"/>
                <w:color w:val="000000"/>
                <w:kern w:val="0"/>
                <w:sz w:val="24"/>
                <w:szCs w:val="24"/>
                <w:lang w:val="en-US" w:eastAsia="zh-CN" w:bidi="ar"/>
              </w:rPr>
              <w:br w:type="textWrapping"/>
            </w:r>
            <w:r>
              <w:rPr>
                <w:rFonts w:hint="default" w:ascii="Times New Roman" w:hAnsi="Times New Roman" w:eastAsia="方正仿宋_GBK" w:cs="Times New Roman"/>
                <w:color w:val="000000"/>
                <w:kern w:val="0"/>
                <w:sz w:val="24"/>
                <w:szCs w:val="24"/>
                <w:lang w:val="en-US" w:eastAsia="zh-CN" w:bidi="ar"/>
              </w:rPr>
              <w:t>（10分）</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FD21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财务管理制度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B972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4</w:t>
            </w:r>
          </w:p>
        </w:tc>
        <w:tc>
          <w:tcPr>
            <w:tcW w:w="3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D45C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部门财务管理制度建立情况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AC87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112A2">
            <w:pPr>
              <w:pageBreakBefore w:val="0"/>
              <w:widowControl/>
              <w:kinsoku/>
              <w:wordWrap/>
              <w:overflowPunct/>
              <w:topLinePunct w:val="0"/>
              <w:autoSpaceDE/>
              <w:autoSpaceDN/>
              <w:bidi w:val="0"/>
              <w:spacing w:line="600" w:lineRule="exact"/>
              <w:ind w:firstLine="480" w:firstLineChars="200"/>
              <w:jc w:val="left"/>
              <w:textAlignment w:val="center"/>
              <w:rPr>
                <w:rFonts w:hint="default" w:ascii="Times New Roman" w:hAnsi="Times New Roman" w:eastAsia="宋体" w:cs="Times New Roman"/>
                <w:color w:val="000000"/>
                <w:kern w:val="0"/>
                <w:sz w:val="24"/>
              </w:rPr>
            </w:pPr>
          </w:p>
        </w:tc>
      </w:tr>
      <w:tr w14:paraId="1E48F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B4BF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CC6E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F019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财务岗位设置</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E0E6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4</w:t>
            </w:r>
          </w:p>
        </w:tc>
        <w:tc>
          <w:tcPr>
            <w:tcW w:w="3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3671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部门财务岗位设置是否符合相关财务管理制度要求</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21FE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E95B1">
            <w:pPr>
              <w:pageBreakBefore w:val="0"/>
              <w:widowControl/>
              <w:kinsoku/>
              <w:wordWrap/>
              <w:overflowPunct/>
              <w:topLinePunct w:val="0"/>
              <w:autoSpaceDE/>
              <w:autoSpaceDN/>
              <w:bidi w:val="0"/>
              <w:spacing w:line="600" w:lineRule="exact"/>
              <w:ind w:firstLine="480" w:firstLineChars="200"/>
              <w:jc w:val="left"/>
              <w:textAlignment w:val="center"/>
              <w:rPr>
                <w:rFonts w:hint="default" w:ascii="Times New Roman" w:hAnsi="Times New Roman" w:eastAsia="宋体" w:cs="Times New Roman"/>
                <w:color w:val="000000"/>
                <w:kern w:val="0"/>
                <w:sz w:val="24"/>
              </w:rPr>
            </w:pPr>
          </w:p>
        </w:tc>
      </w:tr>
      <w:tr w14:paraId="36DB9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30B1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A333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C1B2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资金使用规范</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345E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4</w:t>
            </w:r>
          </w:p>
        </w:tc>
        <w:tc>
          <w:tcPr>
            <w:tcW w:w="3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7860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部门资金使用是否符合相关财务管理制度规定</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F3F4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1777A">
            <w:pPr>
              <w:pageBreakBefore w:val="0"/>
              <w:widowControl/>
              <w:kinsoku/>
              <w:wordWrap/>
              <w:overflowPunct/>
              <w:topLinePunct w:val="0"/>
              <w:autoSpaceDE/>
              <w:autoSpaceDN/>
              <w:bidi w:val="0"/>
              <w:spacing w:line="600" w:lineRule="exact"/>
              <w:ind w:firstLine="480" w:firstLineChars="200"/>
              <w:jc w:val="left"/>
              <w:textAlignment w:val="center"/>
              <w:rPr>
                <w:rFonts w:hint="default" w:ascii="Times New Roman" w:hAnsi="Times New Roman" w:eastAsia="宋体" w:cs="Times New Roman"/>
                <w:color w:val="000000"/>
                <w:kern w:val="0"/>
                <w:sz w:val="24"/>
              </w:rPr>
            </w:pPr>
          </w:p>
        </w:tc>
      </w:tr>
      <w:tr w14:paraId="08472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B299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66174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资产管理</w:t>
            </w:r>
            <w:r>
              <w:rPr>
                <w:rFonts w:hint="default" w:ascii="Times New Roman" w:hAnsi="Times New Roman" w:eastAsia="方正仿宋_GBK" w:cs="Times New Roman"/>
                <w:color w:val="000000"/>
                <w:kern w:val="0"/>
                <w:sz w:val="24"/>
                <w:szCs w:val="24"/>
                <w:lang w:val="en-US" w:eastAsia="zh-CN" w:bidi="ar"/>
              </w:rPr>
              <w:br w:type="textWrapping"/>
            </w:r>
            <w:r>
              <w:rPr>
                <w:rFonts w:hint="default" w:ascii="Times New Roman" w:hAnsi="Times New Roman" w:eastAsia="方正仿宋_GBK" w:cs="Times New Roman"/>
                <w:color w:val="000000"/>
                <w:kern w:val="0"/>
                <w:sz w:val="24"/>
                <w:szCs w:val="24"/>
                <w:lang w:val="en-US" w:eastAsia="zh-CN" w:bidi="ar"/>
              </w:rPr>
              <w:t>（9分）</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F692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人均资产变化率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B676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3</w:t>
            </w:r>
          </w:p>
        </w:tc>
        <w:tc>
          <w:tcPr>
            <w:tcW w:w="3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3D50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部门人均资产变化情况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3BBB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844C3">
            <w:pPr>
              <w:pageBreakBefore w:val="0"/>
              <w:widowControl/>
              <w:kinsoku/>
              <w:wordWrap/>
              <w:overflowPunct/>
              <w:topLinePunct w:val="0"/>
              <w:autoSpaceDE/>
              <w:autoSpaceDN/>
              <w:bidi w:val="0"/>
              <w:spacing w:line="600" w:lineRule="exact"/>
              <w:ind w:firstLine="480" w:firstLineChars="200"/>
              <w:jc w:val="left"/>
              <w:textAlignment w:val="center"/>
              <w:rPr>
                <w:rFonts w:hint="default" w:ascii="Times New Roman" w:hAnsi="Times New Roman" w:eastAsia="宋体" w:cs="Times New Roman"/>
                <w:color w:val="000000"/>
                <w:kern w:val="0"/>
                <w:sz w:val="24"/>
              </w:rPr>
            </w:pPr>
          </w:p>
        </w:tc>
      </w:tr>
      <w:tr w14:paraId="42772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2493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75A3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AA01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资产利用率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B965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3</w:t>
            </w:r>
          </w:p>
        </w:tc>
        <w:tc>
          <w:tcPr>
            <w:tcW w:w="3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663E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部门资产超最低使用年限情况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6074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DDC35">
            <w:pPr>
              <w:pageBreakBefore w:val="0"/>
              <w:widowControl/>
              <w:kinsoku/>
              <w:wordWrap/>
              <w:overflowPunct/>
              <w:topLinePunct w:val="0"/>
              <w:autoSpaceDE/>
              <w:autoSpaceDN/>
              <w:bidi w:val="0"/>
              <w:spacing w:line="600" w:lineRule="exact"/>
              <w:ind w:firstLine="480" w:firstLineChars="200"/>
              <w:jc w:val="left"/>
              <w:textAlignment w:val="center"/>
              <w:rPr>
                <w:rFonts w:hint="default" w:ascii="Times New Roman" w:hAnsi="Times New Roman" w:eastAsia="宋体" w:cs="Times New Roman"/>
                <w:color w:val="000000"/>
                <w:kern w:val="0"/>
                <w:sz w:val="24"/>
              </w:rPr>
            </w:pPr>
          </w:p>
        </w:tc>
      </w:tr>
      <w:tr w14:paraId="6E522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0F24D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总体绩效</w:t>
            </w:r>
            <w:r>
              <w:rPr>
                <w:rFonts w:hint="default" w:ascii="Times New Roman" w:hAnsi="Times New Roman" w:eastAsia="方正仿宋_GBK" w:cs="Times New Roman"/>
                <w:color w:val="000000"/>
                <w:kern w:val="0"/>
                <w:sz w:val="24"/>
                <w:szCs w:val="24"/>
                <w:lang w:val="en-US" w:eastAsia="zh-CN" w:bidi="ar"/>
              </w:rPr>
              <w:br w:type="textWrapping"/>
            </w:r>
            <w:r>
              <w:rPr>
                <w:rFonts w:hint="default" w:ascii="Times New Roman" w:hAnsi="Times New Roman" w:eastAsia="方正仿宋_GBK" w:cs="Times New Roman"/>
                <w:color w:val="000000"/>
                <w:kern w:val="0"/>
                <w:sz w:val="24"/>
                <w:szCs w:val="24"/>
                <w:lang w:val="en-US" w:eastAsia="zh-CN" w:bidi="ar"/>
              </w:rPr>
              <w:t>（65分）</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1530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资产管理</w:t>
            </w:r>
            <w:r>
              <w:rPr>
                <w:rFonts w:hint="default" w:ascii="Times New Roman" w:hAnsi="Times New Roman" w:eastAsia="方正仿宋_GBK" w:cs="Times New Roman"/>
                <w:color w:val="000000"/>
                <w:kern w:val="0"/>
                <w:sz w:val="24"/>
                <w:szCs w:val="24"/>
                <w:lang w:val="en-US" w:eastAsia="zh-CN" w:bidi="ar"/>
              </w:rPr>
              <w:br w:type="textWrapping"/>
            </w:r>
            <w:r>
              <w:rPr>
                <w:rFonts w:hint="default" w:ascii="Times New Roman" w:hAnsi="Times New Roman" w:eastAsia="方正仿宋_GBK" w:cs="Times New Roman"/>
                <w:color w:val="000000"/>
                <w:kern w:val="0"/>
                <w:sz w:val="24"/>
                <w:szCs w:val="24"/>
                <w:lang w:val="en-US" w:eastAsia="zh-CN" w:bidi="ar"/>
              </w:rPr>
              <w:t>（9分）</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804A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资产盘活率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F20B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3</w:t>
            </w:r>
          </w:p>
        </w:tc>
        <w:tc>
          <w:tcPr>
            <w:tcW w:w="3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58A7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部门闲置一年以上的资产盘活情况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B296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AB495">
            <w:pPr>
              <w:pageBreakBefore w:val="0"/>
              <w:widowControl/>
              <w:kinsoku/>
              <w:wordWrap/>
              <w:overflowPunct/>
              <w:topLinePunct w:val="0"/>
              <w:autoSpaceDE/>
              <w:autoSpaceDN/>
              <w:bidi w:val="0"/>
              <w:spacing w:line="600" w:lineRule="exact"/>
              <w:ind w:firstLine="480" w:firstLineChars="200"/>
              <w:jc w:val="left"/>
              <w:textAlignment w:val="center"/>
              <w:rPr>
                <w:rFonts w:hint="default" w:ascii="Times New Roman" w:hAnsi="Times New Roman" w:eastAsia="宋体" w:cs="Times New Roman"/>
                <w:color w:val="000000"/>
                <w:kern w:val="0"/>
                <w:sz w:val="24"/>
              </w:rPr>
            </w:pPr>
          </w:p>
        </w:tc>
      </w:tr>
      <w:tr w14:paraId="7A37E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A971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C8FBC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采购管理</w:t>
            </w:r>
            <w:r>
              <w:rPr>
                <w:rFonts w:hint="default" w:ascii="Times New Roman" w:hAnsi="Times New Roman" w:eastAsia="方正仿宋_GBK" w:cs="Times New Roman"/>
                <w:color w:val="000000"/>
                <w:kern w:val="0"/>
                <w:sz w:val="24"/>
                <w:szCs w:val="24"/>
                <w:lang w:val="en-US" w:eastAsia="zh-CN" w:bidi="ar"/>
              </w:rPr>
              <w:br w:type="textWrapping"/>
            </w:r>
            <w:r>
              <w:rPr>
                <w:rFonts w:hint="default" w:ascii="Times New Roman" w:hAnsi="Times New Roman" w:eastAsia="方正仿宋_GBK" w:cs="Times New Roman"/>
                <w:color w:val="000000"/>
                <w:kern w:val="0"/>
                <w:sz w:val="24"/>
                <w:szCs w:val="24"/>
                <w:lang w:val="en-US" w:eastAsia="zh-CN" w:bidi="ar"/>
              </w:rPr>
              <w:t>（6分）</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EC55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支持中小企业发展</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F864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3</w:t>
            </w:r>
          </w:p>
        </w:tc>
        <w:tc>
          <w:tcPr>
            <w:tcW w:w="3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560E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部门是否严格执行政府采购促进中小企业发展相关管理办法</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09D7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AF60A">
            <w:pPr>
              <w:pageBreakBefore w:val="0"/>
              <w:widowControl/>
              <w:kinsoku/>
              <w:wordWrap/>
              <w:overflowPunct/>
              <w:topLinePunct w:val="0"/>
              <w:autoSpaceDE/>
              <w:autoSpaceDN/>
              <w:bidi w:val="0"/>
              <w:spacing w:line="600" w:lineRule="exact"/>
              <w:ind w:firstLine="480" w:firstLineChars="200"/>
              <w:jc w:val="left"/>
              <w:textAlignment w:val="center"/>
              <w:rPr>
                <w:rFonts w:hint="default" w:ascii="Times New Roman" w:hAnsi="Times New Roman" w:eastAsia="宋体" w:cs="Times New Roman"/>
                <w:color w:val="000000"/>
                <w:kern w:val="0"/>
                <w:sz w:val="24"/>
              </w:rPr>
            </w:pPr>
          </w:p>
        </w:tc>
      </w:tr>
      <w:tr w14:paraId="1B6C7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E04B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03A8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994F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采购执行率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596C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3</w:t>
            </w:r>
          </w:p>
        </w:tc>
        <w:tc>
          <w:tcPr>
            <w:tcW w:w="3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5275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部门政府采购项目资金支付比例情况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351D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6B875">
            <w:pPr>
              <w:pageBreakBefore w:val="0"/>
              <w:widowControl/>
              <w:kinsoku/>
              <w:wordWrap/>
              <w:overflowPunct/>
              <w:topLinePunct w:val="0"/>
              <w:autoSpaceDE/>
              <w:autoSpaceDN/>
              <w:bidi w:val="0"/>
              <w:spacing w:line="600" w:lineRule="exact"/>
              <w:ind w:firstLine="480" w:firstLineChars="200"/>
              <w:jc w:val="left"/>
              <w:textAlignment w:val="center"/>
              <w:rPr>
                <w:rFonts w:hint="default" w:ascii="Times New Roman" w:hAnsi="Times New Roman" w:eastAsia="宋体" w:cs="Times New Roman"/>
                <w:color w:val="000000"/>
                <w:kern w:val="0"/>
                <w:sz w:val="24"/>
              </w:rPr>
            </w:pPr>
          </w:p>
        </w:tc>
      </w:tr>
      <w:tr w14:paraId="3F21A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A2D0C2">
            <w:pPr>
              <w:keepNext w:val="0"/>
              <w:keepLines w:val="0"/>
              <w:pageBreakBefore w:val="0"/>
              <w:widowControl/>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项目绩效</w:t>
            </w:r>
            <w:r>
              <w:rPr>
                <w:rFonts w:hint="default" w:ascii="Times New Roman" w:hAnsi="Times New Roman" w:eastAsia="方正仿宋_GBK" w:cs="Times New Roman"/>
                <w:color w:val="000000"/>
                <w:kern w:val="0"/>
                <w:sz w:val="24"/>
                <w:szCs w:val="24"/>
                <w:lang w:val="en-US" w:eastAsia="zh-CN" w:bidi="ar"/>
              </w:rPr>
              <w:br w:type="textWrapping"/>
            </w:r>
            <w:r>
              <w:rPr>
                <w:rFonts w:hint="default" w:ascii="Times New Roman" w:hAnsi="Times New Roman" w:eastAsia="方正仿宋_GBK" w:cs="Times New Roman"/>
                <w:color w:val="000000"/>
                <w:kern w:val="0"/>
                <w:sz w:val="24"/>
                <w:szCs w:val="24"/>
                <w:lang w:val="en-US" w:eastAsia="zh-CN" w:bidi="ar"/>
              </w:rPr>
              <w:t>（35分）</w:t>
            </w:r>
          </w:p>
        </w:tc>
        <w:tc>
          <w:tcPr>
            <w:tcW w:w="934" w:type="dxa"/>
            <w:vMerge w:val="restart"/>
            <w:tcBorders>
              <w:top w:val="single" w:color="000000" w:sz="4" w:space="0"/>
              <w:left w:val="single" w:color="000000" w:sz="4" w:space="0"/>
              <w:bottom w:val="nil"/>
              <w:right w:val="single" w:color="000000" w:sz="4" w:space="0"/>
            </w:tcBorders>
            <w:shd w:val="clear" w:color="auto" w:fill="auto"/>
            <w:vAlign w:val="center"/>
          </w:tcPr>
          <w:p w14:paraId="621FDA0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项目决策</w:t>
            </w:r>
            <w:r>
              <w:rPr>
                <w:rFonts w:hint="default" w:ascii="Times New Roman" w:hAnsi="Times New Roman" w:eastAsia="方正仿宋_GBK" w:cs="Times New Roman"/>
                <w:color w:val="000000"/>
                <w:kern w:val="0"/>
                <w:sz w:val="24"/>
                <w:szCs w:val="24"/>
                <w:lang w:val="en-US" w:eastAsia="zh-CN" w:bidi="ar"/>
              </w:rPr>
              <w:br w:type="textWrapping"/>
            </w:r>
            <w:r>
              <w:rPr>
                <w:rFonts w:hint="default" w:ascii="Times New Roman" w:hAnsi="Times New Roman" w:eastAsia="方正仿宋_GBK" w:cs="Times New Roman"/>
                <w:color w:val="000000"/>
                <w:kern w:val="0"/>
                <w:sz w:val="24"/>
                <w:szCs w:val="24"/>
                <w:lang w:val="en-US" w:eastAsia="zh-CN" w:bidi="ar"/>
              </w:rPr>
              <w:t>（12分）</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C6ED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决策程序</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0E37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4</w:t>
            </w:r>
          </w:p>
        </w:tc>
        <w:tc>
          <w:tcPr>
            <w:tcW w:w="3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DCC2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部门预算项目设立是否按规定履行评估论证、申报程序</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284F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07440">
            <w:pPr>
              <w:pageBreakBefore w:val="0"/>
              <w:widowControl/>
              <w:kinsoku/>
              <w:wordWrap/>
              <w:overflowPunct/>
              <w:topLinePunct w:val="0"/>
              <w:autoSpaceDE/>
              <w:autoSpaceDN/>
              <w:bidi w:val="0"/>
              <w:spacing w:line="600" w:lineRule="exact"/>
              <w:ind w:firstLine="480" w:firstLineChars="200"/>
              <w:jc w:val="left"/>
              <w:textAlignment w:val="center"/>
              <w:rPr>
                <w:rFonts w:hint="default" w:ascii="Times New Roman" w:hAnsi="Times New Roman" w:eastAsia="宋体" w:cs="Times New Roman"/>
                <w:color w:val="000000"/>
                <w:kern w:val="0"/>
                <w:sz w:val="24"/>
              </w:rPr>
            </w:pPr>
          </w:p>
        </w:tc>
      </w:tr>
      <w:tr w14:paraId="2CCBA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9D00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934" w:type="dxa"/>
            <w:vMerge w:val="continue"/>
            <w:tcBorders>
              <w:top w:val="single" w:color="000000" w:sz="4" w:space="0"/>
              <w:left w:val="single" w:color="000000" w:sz="4" w:space="0"/>
              <w:bottom w:val="nil"/>
              <w:right w:val="single" w:color="000000" w:sz="4" w:space="0"/>
            </w:tcBorders>
            <w:shd w:val="clear" w:color="auto" w:fill="auto"/>
            <w:vAlign w:val="center"/>
          </w:tcPr>
          <w:p w14:paraId="2732FF7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A296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目标设置</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3E87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4</w:t>
            </w:r>
          </w:p>
        </w:tc>
        <w:tc>
          <w:tcPr>
            <w:tcW w:w="3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92CB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部门预算项目绩效目标与计划期内的任务量、预算安排的资金量匹配情况，绩效目标设置是否科学合理、规范完整、量化细化、预算匹配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DDA2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21063">
            <w:pPr>
              <w:pageBreakBefore w:val="0"/>
              <w:widowControl/>
              <w:kinsoku/>
              <w:wordWrap/>
              <w:overflowPunct/>
              <w:topLinePunct w:val="0"/>
              <w:autoSpaceDE/>
              <w:autoSpaceDN/>
              <w:bidi w:val="0"/>
              <w:spacing w:line="600" w:lineRule="exact"/>
              <w:ind w:firstLine="480" w:firstLineChars="200"/>
              <w:jc w:val="left"/>
              <w:textAlignment w:val="center"/>
              <w:rPr>
                <w:rFonts w:hint="default" w:ascii="Times New Roman" w:hAnsi="Times New Roman" w:eastAsia="宋体" w:cs="Times New Roman"/>
                <w:color w:val="000000"/>
                <w:kern w:val="0"/>
                <w:sz w:val="24"/>
              </w:rPr>
            </w:pPr>
          </w:p>
        </w:tc>
      </w:tr>
      <w:tr w14:paraId="46A6E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DAE5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934" w:type="dxa"/>
            <w:vMerge w:val="continue"/>
            <w:tcBorders>
              <w:top w:val="single" w:color="000000" w:sz="4" w:space="0"/>
              <w:left w:val="single" w:color="000000" w:sz="4" w:space="0"/>
              <w:bottom w:val="nil"/>
              <w:right w:val="single" w:color="000000" w:sz="4" w:space="0"/>
            </w:tcBorders>
            <w:shd w:val="clear" w:color="auto" w:fill="auto"/>
            <w:vAlign w:val="center"/>
          </w:tcPr>
          <w:p w14:paraId="23821B5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BD29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项目入库</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38FA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4</w:t>
            </w:r>
          </w:p>
        </w:tc>
        <w:tc>
          <w:tcPr>
            <w:tcW w:w="3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49B9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部门预算项目是否在规定时间完成项目入库</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94BA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6B104">
            <w:pPr>
              <w:pageBreakBefore w:val="0"/>
              <w:widowControl/>
              <w:kinsoku/>
              <w:wordWrap/>
              <w:overflowPunct/>
              <w:topLinePunct w:val="0"/>
              <w:autoSpaceDE/>
              <w:autoSpaceDN/>
              <w:bidi w:val="0"/>
              <w:spacing w:line="600" w:lineRule="exact"/>
              <w:ind w:firstLine="480" w:firstLineChars="200"/>
              <w:jc w:val="left"/>
              <w:textAlignment w:val="center"/>
              <w:rPr>
                <w:rFonts w:hint="default" w:ascii="Times New Roman" w:hAnsi="Times New Roman" w:eastAsia="宋体" w:cs="Times New Roman"/>
                <w:color w:val="000000"/>
                <w:kern w:val="0"/>
                <w:sz w:val="24"/>
              </w:rPr>
            </w:pPr>
          </w:p>
        </w:tc>
      </w:tr>
      <w:tr w14:paraId="560E4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F69E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934" w:type="dxa"/>
            <w:vMerge w:val="restart"/>
            <w:tcBorders>
              <w:top w:val="single" w:color="000000" w:sz="4" w:space="0"/>
              <w:left w:val="single" w:color="000000" w:sz="4" w:space="0"/>
              <w:bottom w:val="nil"/>
              <w:right w:val="single" w:color="000000" w:sz="4" w:space="0"/>
            </w:tcBorders>
            <w:shd w:val="clear" w:color="auto" w:fill="auto"/>
            <w:vAlign w:val="center"/>
          </w:tcPr>
          <w:p w14:paraId="2874031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项目执行</w:t>
            </w:r>
            <w:r>
              <w:rPr>
                <w:rFonts w:hint="default" w:ascii="Times New Roman" w:hAnsi="Times New Roman" w:eastAsia="方正仿宋_GBK" w:cs="Times New Roman"/>
                <w:color w:val="000000"/>
                <w:kern w:val="0"/>
                <w:sz w:val="24"/>
                <w:szCs w:val="24"/>
                <w:lang w:val="en-US" w:eastAsia="zh-CN" w:bidi="ar"/>
              </w:rPr>
              <w:br w:type="textWrapping"/>
            </w:r>
            <w:r>
              <w:rPr>
                <w:rFonts w:hint="default" w:ascii="Times New Roman" w:hAnsi="Times New Roman" w:eastAsia="方正仿宋_GBK" w:cs="Times New Roman"/>
                <w:color w:val="000000"/>
                <w:kern w:val="0"/>
                <w:sz w:val="24"/>
                <w:szCs w:val="24"/>
                <w:lang w:val="en-US" w:eastAsia="zh-CN" w:bidi="ar"/>
              </w:rPr>
              <w:t>（12分）</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5441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执行同向</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0CC4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4</w:t>
            </w:r>
          </w:p>
        </w:tc>
        <w:tc>
          <w:tcPr>
            <w:tcW w:w="3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CB04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部门预算项目实际列支内容是否与绩效目标设置方向相符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9533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C1D25">
            <w:pPr>
              <w:pageBreakBefore w:val="0"/>
              <w:widowControl/>
              <w:kinsoku/>
              <w:wordWrap/>
              <w:overflowPunct/>
              <w:topLinePunct w:val="0"/>
              <w:autoSpaceDE/>
              <w:autoSpaceDN/>
              <w:bidi w:val="0"/>
              <w:spacing w:line="600" w:lineRule="exact"/>
              <w:ind w:firstLine="480" w:firstLineChars="200"/>
              <w:jc w:val="left"/>
              <w:textAlignment w:val="center"/>
              <w:rPr>
                <w:rFonts w:hint="default" w:ascii="Times New Roman" w:hAnsi="Times New Roman" w:eastAsia="宋体" w:cs="Times New Roman"/>
                <w:color w:val="000000"/>
                <w:kern w:val="0"/>
                <w:sz w:val="24"/>
              </w:rPr>
            </w:pPr>
          </w:p>
        </w:tc>
      </w:tr>
      <w:tr w14:paraId="23618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B228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934" w:type="dxa"/>
            <w:vMerge w:val="continue"/>
            <w:tcBorders>
              <w:top w:val="single" w:color="000000" w:sz="4" w:space="0"/>
              <w:left w:val="single" w:color="000000" w:sz="4" w:space="0"/>
              <w:bottom w:val="nil"/>
              <w:right w:val="single" w:color="000000" w:sz="4" w:space="0"/>
            </w:tcBorders>
            <w:shd w:val="clear" w:color="auto" w:fill="auto"/>
            <w:vAlign w:val="center"/>
          </w:tcPr>
          <w:p w14:paraId="44DD110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3450" w:type="dxa"/>
            <w:tcBorders>
              <w:top w:val="single" w:color="000000" w:sz="4" w:space="0"/>
              <w:left w:val="single" w:color="000000" w:sz="4" w:space="0"/>
              <w:bottom w:val="nil"/>
              <w:right w:val="single" w:color="000000" w:sz="4" w:space="0"/>
            </w:tcBorders>
            <w:shd w:val="clear" w:color="auto" w:fill="auto"/>
            <w:vAlign w:val="center"/>
          </w:tcPr>
          <w:p w14:paraId="69D9E66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项目调整</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E3B9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4</w:t>
            </w:r>
          </w:p>
        </w:tc>
        <w:tc>
          <w:tcPr>
            <w:tcW w:w="3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25CD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部门预算项目是否采取对应调整措施</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4000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62399">
            <w:pPr>
              <w:pageBreakBefore w:val="0"/>
              <w:widowControl/>
              <w:kinsoku/>
              <w:wordWrap/>
              <w:overflowPunct/>
              <w:topLinePunct w:val="0"/>
              <w:autoSpaceDE/>
              <w:autoSpaceDN/>
              <w:bidi w:val="0"/>
              <w:spacing w:line="600" w:lineRule="exact"/>
              <w:ind w:firstLine="480" w:firstLineChars="200"/>
              <w:jc w:val="left"/>
              <w:textAlignment w:val="center"/>
              <w:rPr>
                <w:rFonts w:hint="default" w:ascii="Times New Roman" w:hAnsi="Times New Roman" w:eastAsia="宋体" w:cs="Times New Roman"/>
                <w:color w:val="000000"/>
                <w:kern w:val="0"/>
                <w:sz w:val="24"/>
              </w:rPr>
            </w:pPr>
          </w:p>
        </w:tc>
      </w:tr>
      <w:tr w14:paraId="747CD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1361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934" w:type="dxa"/>
            <w:vMerge w:val="continue"/>
            <w:tcBorders>
              <w:top w:val="single" w:color="000000" w:sz="4" w:space="0"/>
              <w:left w:val="single" w:color="000000" w:sz="4" w:space="0"/>
              <w:bottom w:val="nil"/>
              <w:right w:val="single" w:color="000000" w:sz="4" w:space="0"/>
            </w:tcBorders>
            <w:shd w:val="clear" w:color="auto" w:fill="auto"/>
            <w:vAlign w:val="center"/>
          </w:tcPr>
          <w:p w14:paraId="3005A87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6BE1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执行结果</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E2CA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4</w:t>
            </w:r>
          </w:p>
        </w:tc>
        <w:tc>
          <w:tcPr>
            <w:tcW w:w="3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5FED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部门预算项目预算执行情况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5F19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7DC81">
            <w:pPr>
              <w:pageBreakBefore w:val="0"/>
              <w:widowControl/>
              <w:kinsoku/>
              <w:wordWrap/>
              <w:overflowPunct/>
              <w:topLinePunct w:val="0"/>
              <w:autoSpaceDE/>
              <w:autoSpaceDN/>
              <w:bidi w:val="0"/>
              <w:spacing w:line="600" w:lineRule="exact"/>
              <w:ind w:firstLine="480" w:firstLineChars="200"/>
              <w:jc w:val="left"/>
              <w:textAlignment w:val="center"/>
              <w:rPr>
                <w:rFonts w:hint="default" w:ascii="Times New Roman" w:hAnsi="Times New Roman" w:eastAsia="宋体" w:cs="Times New Roman"/>
                <w:color w:val="000000"/>
                <w:kern w:val="0"/>
                <w:sz w:val="24"/>
              </w:rPr>
            </w:pPr>
          </w:p>
        </w:tc>
      </w:tr>
      <w:tr w14:paraId="76552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8FB7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14EB8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目标实现</w:t>
            </w:r>
            <w:r>
              <w:rPr>
                <w:rFonts w:hint="default" w:ascii="Times New Roman" w:hAnsi="Times New Roman" w:eastAsia="方正仿宋_GBK" w:cs="Times New Roman"/>
                <w:color w:val="000000"/>
                <w:kern w:val="0"/>
                <w:sz w:val="24"/>
                <w:szCs w:val="24"/>
                <w:lang w:val="en-US" w:eastAsia="zh-CN" w:bidi="ar"/>
              </w:rPr>
              <w:br w:type="textWrapping"/>
            </w:r>
            <w:r>
              <w:rPr>
                <w:rFonts w:hint="default" w:ascii="Times New Roman" w:hAnsi="Times New Roman" w:eastAsia="方正仿宋_GBK" w:cs="Times New Roman"/>
                <w:color w:val="000000"/>
                <w:kern w:val="0"/>
                <w:sz w:val="24"/>
                <w:szCs w:val="24"/>
                <w:lang w:val="en-US" w:eastAsia="zh-CN" w:bidi="ar"/>
              </w:rPr>
              <w:t>（11分）</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AF04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目标完成</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6415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4</w:t>
            </w:r>
          </w:p>
        </w:tc>
        <w:tc>
          <w:tcPr>
            <w:tcW w:w="3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101D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部门预算项目绩效目标数量指标完成情况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07F5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DFF46">
            <w:pPr>
              <w:pageBreakBefore w:val="0"/>
              <w:widowControl/>
              <w:kinsoku/>
              <w:wordWrap/>
              <w:overflowPunct/>
              <w:topLinePunct w:val="0"/>
              <w:autoSpaceDE/>
              <w:autoSpaceDN/>
              <w:bidi w:val="0"/>
              <w:spacing w:line="600" w:lineRule="exact"/>
              <w:ind w:firstLine="480" w:firstLineChars="200"/>
              <w:jc w:val="left"/>
              <w:textAlignment w:val="center"/>
              <w:rPr>
                <w:rFonts w:hint="default" w:ascii="Times New Roman" w:hAnsi="Times New Roman" w:eastAsia="宋体" w:cs="Times New Roman"/>
                <w:color w:val="000000"/>
                <w:kern w:val="0"/>
                <w:sz w:val="24"/>
              </w:rPr>
            </w:pPr>
          </w:p>
        </w:tc>
      </w:tr>
      <w:tr w14:paraId="4C53F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7496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DA17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67EB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目标偏离</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D024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4</w:t>
            </w:r>
          </w:p>
        </w:tc>
        <w:tc>
          <w:tcPr>
            <w:tcW w:w="3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3B70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部门预算项目绩效目标数量指标实现程度与预期目标的偏离情况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9F5D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56B42">
            <w:pPr>
              <w:pageBreakBefore w:val="0"/>
              <w:widowControl/>
              <w:kinsoku/>
              <w:wordWrap/>
              <w:overflowPunct/>
              <w:topLinePunct w:val="0"/>
              <w:autoSpaceDE/>
              <w:autoSpaceDN/>
              <w:bidi w:val="0"/>
              <w:spacing w:line="600" w:lineRule="exact"/>
              <w:ind w:firstLine="480" w:firstLineChars="200"/>
              <w:jc w:val="left"/>
              <w:textAlignment w:val="center"/>
              <w:rPr>
                <w:rFonts w:hint="default" w:ascii="Times New Roman" w:hAnsi="Times New Roman" w:eastAsia="宋体" w:cs="Times New Roman"/>
                <w:color w:val="000000"/>
                <w:kern w:val="0"/>
                <w:sz w:val="24"/>
              </w:rPr>
            </w:pPr>
          </w:p>
        </w:tc>
      </w:tr>
      <w:tr w14:paraId="31BF0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CE4F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3967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F29E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实现效果</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028B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3</w:t>
            </w:r>
          </w:p>
        </w:tc>
        <w:tc>
          <w:tcPr>
            <w:tcW w:w="3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8F95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部门预算项目绩效目标效益指标实施效果</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F318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3FC52">
            <w:pPr>
              <w:pageBreakBefore w:val="0"/>
              <w:widowControl/>
              <w:kinsoku/>
              <w:wordWrap/>
              <w:overflowPunct/>
              <w:topLinePunct w:val="0"/>
              <w:autoSpaceDE/>
              <w:autoSpaceDN/>
              <w:bidi w:val="0"/>
              <w:spacing w:line="600" w:lineRule="exact"/>
              <w:ind w:firstLine="480" w:firstLineChars="200"/>
              <w:jc w:val="left"/>
              <w:textAlignment w:val="center"/>
              <w:rPr>
                <w:rFonts w:hint="default" w:ascii="Times New Roman" w:hAnsi="Times New Roman" w:eastAsia="宋体" w:cs="Times New Roman"/>
                <w:color w:val="000000"/>
                <w:kern w:val="0"/>
                <w:sz w:val="24"/>
              </w:rPr>
            </w:pPr>
          </w:p>
        </w:tc>
      </w:tr>
      <w:tr w14:paraId="0E4C3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C828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扣分项</w:t>
            </w:r>
            <w:r>
              <w:rPr>
                <w:rFonts w:hint="default" w:ascii="Times New Roman" w:hAnsi="Times New Roman" w:eastAsia="方正仿宋_GBK" w:cs="Times New Roman"/>
                <w:color w:val="000000"/>
                <w:kern w:val="0"/>
                <w:sz w:val="24"/>
                <w:szCs w:val="24"/>
                <w:lang w:val="en-US" w:eastAsia="zh-CN" w:bidi="ar"/>
              </w:rPr>
              <w:br w:type="textWrapping"/>
            </w:r>
            <w:r>
              <w:rPr>
                <w:rFonts w:hint="default" w:ascii="Times New Roman" w:hAnsi="Times New Roman" w:eastAsia="方正仿宋_GBK" w:cs="Times New Roman"/>
                <w:color w:val="000000"/>
                <w:kern w:val="0"/>
                <w:sz w:val="24"/>
                <w:szCs w:val="24"/>
                <w:lang w:val="en-US" w:eastAsia="zh-CN" w:bidi="ar"/>
              </w:rPr>
              <w:t>（10分）</w:t>
            </w:r>
          </w:p>
        </w:tc>
        <w:tc>
          <w:tcPr>
            <w:tcW w:w="4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0ADD5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被评价部门配合度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46D3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w:t>
            </w:r>
          </w:p>
        </w:tc>
        <w:tc>
          <w:tcPr>
            <w:tcW w:w="3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57AA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被评价对象工作配合情况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F81C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ECC94">
            <w:pPr>
              <w:pageBreakBefore w:val="0"/>
              <w:widowControl/>
              <w:kinsoku/>
              <w:wordWrap/>
              <w:overflowPunct/>
              <w:topLinePunct w:val="0"/>
              <w:autoSpaceDE/>
              <w:autoSpaceDN/>
              <w:bidi w:val="0"/>
              <w:spacing w:line="600" w:lineRule="exact"/>
              <w:ind w:firstLine="480" w:firstLineChars="200"/>
              <w:jc w:val="left"/>
              <w:textAlignment w:val="center"/>
              <w:rPr>
                <w:rFonts w:hint="default" w:ascii="Times New Roman" w:hAnsi="Times New Roman" w:eastAsia="宋体" w:cs="Times New Roman"/>
                <w:color w:val="000000"/>
                <w:kern w:val="0"/>
                <w:sz w:val="24"/>
              </w:rPr>
            </w:pPr>
          </w:p>
        </w:tc>
      </w:tr>
      <w:tr w14:paraId="09FDD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297C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4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B361D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3D59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3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5CA3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合计</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007C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18"/>
                <w:szCs w:val="18"/>
                <w:lang w:val="en-US" w:eastAsia="zh-CN" w:bidi="ar"/>
              </w:rPr>
            </w:pPr>
            <w:r>
              <w:rPr>
                <w:rFonts w:hint="default" w:ascii="Times New Roman" w:hAnsi="Times New Roman" w:eastAsia="方正仿宋_GBK" w:cs="Times New Roman"/>
                <w:color w:val="000000"/>
                <w:kern w:val="0"/>
                <w:sz w:val="18"/>
                <w:szCs w:val="18"/>
                <w:lang w:val="en-US" w:eastAsia="zh-CN" w:bidi="ar"/>
              </w:rPr>
              <w:t>98</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C50AB">
            <w:pPr>
              <w:pageBreakBefore w:val="0"/>
              <w:widowControl/>
              <w:kinsoku/>
              <w:wordWrap/>
              <w:overflowPunct/>
              <w:topLinePunct w:val="0"/>
              <w:autoSpaceDE/>
              <w:autoSpaceDN/>
              <w:bidi w:val="0"/>
              <w:spacing w:line="600" w:lineRule="exact"/>
              <w:ind w:firstLine="480" w:firstLineChars="200"/>
              <w:jc w:val="left"/>
              <w:textAlignment w:val="center"/>
              <w:rPr>
                <w:rFonts w:hint="default" w:ascii="Times New Roman" w:hAnsi="Times New Roman" w:eastAsia="宋体" w:cs="Times New Roman"/>
                <w:color w:val="000000"/>
                <w:kern w:val="0"/>
                <w:sz w:val="24"/>
              </w:rPr>
            </w:pPr>
          </w:p>
        </w:tc>
      </w:tr>
    </w:tbl>
    <w:p w14:paraId="63ED97BE">
      <w:pPr>
        <w:pStyle w:val="22"/>
        <w:pageBreakBefore w:val="0"/>
        <w:kinsoku/>
        <w:wordWrap/>
        <w:overflowPunct/>
        <w:topLinePunct w:val="0"/>
        <w:autoSpaceDE/>
        <w:autoSpaceDN/>
        <w:bidi w:val="0"/>
        <w:spacing w:before="0" w:after="0" w:line="600" w:lineRule="exact"/>
        <w:ind w:firstLine="482" w:firstLineChars="200"/>
        <w:rPr>
          <w:rFonts w:hint="default" w:ascii="Times New Roman" w:hAnsi="Times New Roman" w:cs="Times New Roman"/>
        </w:rPr>
      </w:pPr>
    </w:p>
    <w:p w14:paraId="1347B6F6">
      <w:pPr>
        <w:rPr>
          <w:rFonts w:hint="default" w:ascii="Times New Roman" w:hAnsi="Times New Roman" w:eastAsia="黑体" w:cs="Times New Roman"/>
        </w:rPr>
      </w:pPr>
      <w:r>
        <w:rPr>
          <w:rFonts w:hint="default" w:ascii="Times New Roman" w:hAnsi="Times New Roman" w:eastAsia="黑体" w:cs="Times New Roman"/>
        </w:rPr>
        <w:br w:type="page"/>
      </w:r>
    </w:p>
    <w:p w14:paraId="059FBAD0">
      <w:pPr>
        <w:pageBreakBefore w:val="0"/>
        <w:kinsoku/>
        <w:wordWrap/>
        <w:overflowPunct/>
        <w:topLinePunct w:val="0"/>
        <w:autoSpaceDE/>
        <w:autoSpaceDN/>
        <w:bidi w:val="0"/>
        <w:spacing w:line="600" w:lineRule="exact"/>
        <w:ind w:firstLine="420" w:firstLineChars="200"/>
        <w:jc w:val="left"/>
        <w:rPr>
          <w:rFonts w:hint="default" w:ascii="Times New Roman" w:hAnsi="Times New Roman" w:eastAsia="黑体" w:cs="Times New Roman"/>
        </w:rPr>
      </w:pPr>
      <w:r>
        <w:rPr>
          <w:rFonts w:hint="default" w:ascii="Times New Roman" w:hAnsi="Times New Roman" w:eastAsia="黑体" w:cs="Times New Roman"/>
        </w:rPr>
        <w:t>附表2</w:t>
      </w:r>
    </w:p>
    <w:tbl>
      <w:tblPr>
        <w:tblStyle w:val="17"/>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308"/>
        <w:gridCol w:w="999"/>
        <w:gridCol w:w="1185"/>
        <w:gridCol w:w="1170"/>
        <w:gridCol w:w="1320"/>
        <w:gridCol w:w="915"/>
        <w:gridCol w:w="1785"/>
        <w:gridCol w:w="1878"/>
      </w:tblGrid>
      <w:tr w14:paraId="184DD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2" w:hRule="exact"/>
          <w:jc w:val="center"/>
        </w:trPr>
        <w:tc>
          <w:tcPr>
            <w:tcW w:w="10560" w:type="dxa"/>
            <w:gridSpan w:val="8"/>
            <w:shd w:val="clear" w:color="auto" w:fill="auto"/>
            <w:vAlign w:val="center"/>
          </w:tcPr>
          <w:p w14:paraId="00C6083D">
            <w:pPr>
              <w:pageBreakBefore w:val="0"/>
              <w:widowControl/>
              <w:kinsoku/>
              <w:wordWrap/>
              <w:overflowPunct/>
              <w:topLinePunct w:val="0"/>
              <w:autoSpaceDE/>
              <w:autoSpaceDN/>
              <w:bidi w:val="0"/>
              <w:spacing w:line="600" w:lineRule="exact"/>
              <w:ind w:firstLine="880" w:firstLineChars="200"/>
              <w:jc w:val="center"/>
              <w:textAlignment w:val="center"/>
              <w:rPr>
                <w:rFonts w:hint="default" w:ascii="Times New Roman" w:hAnsi="Times New Roman" w:eastAsia="黑体" w:cs="Times New Roman"/>
                <w:color w:val="000000"/>
                <w:sz w:val="28"/>
                <w:szCs w:val="28"/>
              </w:rPr>
            </w:pPr>
            <w:r>
              <w:rPr>
                <w:rFonts w:hint="default" w:ascii="Times New Roman" w:hAnsi="Times New Roman" w:eastAsia="方正小标宋简体" w:cs="Times New Roman"/>
                <w:color w:val="000000"/>
                <w:kern w:val="0"/>
                <w:sz w:val="44"/>
                <w:szCs w:val="44"/>
              </w:rPr>
              <w:t>部门整体绩效目标完成情况自评表</w:t>
            </w:r>
          </w:p>
        </w:tc>
      </w:tr>
      <w:tr w14:paraId="5E1B3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8"/>
            <w:shd w:val="clear" w:color="auto" w:fill="auto"/>
            <w:vAlign w:val="center"/>
          </w:tcPr>
          <w:p w14:paraId="0C8160F6">
            <w:pPr>
              <w:pageBreakBefore w:val="0"/>
              <w:widowControl/>
              <w:kinsoku/>
              <w:wordWrap/>
              <w:overflowPunct/>
              <w:topLinePunct w:val="0"/>
              <w:autoSpaceDE/>
              <w:autoSpaceDN/>
              <w:bidi w:val="0"/>
              <w:spacing w:line="600" w:lineRule="exact"/>
              <w:ind w:firstLine="480" w:firstLineChars="200"/>
              <w:jc w:val="center"/>
              <w:textAlignment w:val="center"/>
              <w:rPr>
                <w:rFonts w:hint="default" w:ascii="Times New Roman" w:hAnsi="Times New Roman" w:eastAsia="宋体" w:cs="Times New Roman"/>
                <w:color w:val="000000"/>
                <w:sz w:val="28"/>
                <w:szCs w:val="28"/>
              </w:rPr>
            </w:pPr>
            <w:r>
              <w:rPr>
                <w:rFonts w:hint="default" w:ascii="Times New Roman" w:hAnsi="Times New Roman" w:eastAsia="方正仿宋_GBK" w:cs="Times New Roman"/>
                <w:color w:val="000000"/>
                <w:sz w:val="24"/>
                <w:lang w:val="en-US" w:eastAsia="zh-CN" w:bidi="ar-SA"/>
              </w:rPr>
              <w:t>（2025年度）</w:t>
            </w:r>
          </w:p>
        </w:tc>
      </w:tr>
      <w:tr w14:paraId="74C1C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8"/>
            <w:tcBorders>
              <w:bottom w:val="single" w:color="000000" w:sz="4" w:space="0"/>
            </w:tcBorders>
            <w:shd w:val="clear" w:color="auto" w:fill="auto"/>
            <w:vAlign w:val="center"/>
          </w:tcPr>
          <w:p w14:paraId="646C33B9">
            <w:pPr>
              <w:pageBreakBefore w:val="0"/>
              <w:widowControl/>
              <w:kinsoku/>
              <w:wordWrap/>
              <w:overflowPunct/>
              <w:topLinePunct w:val="0"/>
              <w:autoSpaceDE/>
              <w:autoSpaceDN/>
              <w:bidi w:val="0"/>
              <w:spacing w:line="600" w:lineRule="exact"/>
              <w:ind w:firstLine="420" w:firstLineChars="200"/>
              <w:jc w:val="right"/>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rPr>
              <w:t>单位：万元</w:t>
            </w:r>
          </w:p>
        </w:tc>
      </w:tr>
      <w:tr w14:paraId="147DF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34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05887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部门名称</w:t>
            </w:r>
          </w:p>
        </w:tc>
        <w:tc>
          <w:tcPr>
            <w:tcW w:w="70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116E7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攀枝花市民政局</w:t>
            </w:r>
          </w:p>
        </w:tc>
      </w:tr>
      <w:tr w14:paraId="17236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FFCB1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年度部门整体支出预算</w:t>
            </w: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2289D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资金总额</w:t>
            </w: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85445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财政拨款</w:t>
            </w:r>
          </w:p>
        </w:tc>
        <w:tc>
          <w:tcPr>
            <w:tcW w:w="45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64C0F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其他资金</w:t>
            </w:r>
          </w:p>
        </w:tc>
      </w:tr>
      <w:tr w14:paraId="70C8C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3C78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9F7B0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3969.29</w:t>
            </w: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74741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3969.29</w:t>
            </w:r>
          </w:p>
        </w:tc>
        <w:tc>
          <w:tcPr>
            <w:tcW w:w="45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01CE2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0</w:t>
            </w:r>
          </w:p>
        </w:tc>
      </w:tr>
      <w:tr w14:paraId="484F1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4B16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年度总体</w:t>
            </w:r>
          </w:p>
          <w:p w14:paraId="439F896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目标</w:t>
            </w:r>
          </w:p>
        </w:tc>
        <w:tc>
          <w:tcPr>
            <w:tcW w:w="925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2B6A1F8">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1"/>
                <w:szCs w:val="21"/>
                <w:lang w:val="en-US" w:eastAsia="zh-CN" w:bidi="ar"/>
              </w:rPr>
              <w:t>2025年我局将深入推进全面从严治党，民生兜底保障精准有效，加强人口老龄化国情教育宣传，策划组织开展“敬老月”系列活动，推动银发经济发展；开展儿童关爱帮扶行动；全面建立困难残疾人生活补贴和重度残疾人护理补贴制度；完善社会救助资金、物资保障机制，保证机构正常运行，确保完成年度职能目标任务。</w:t>
            </w:r>
          </w:p>
        </w:tc>
      </w:tr>
      <w:tr w14:paraId="3A3CF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6CBF7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年度主要</w:t>
            </w:r>
          </w:p>
          <w:p w14:paraId="3884099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任务</w:t>
            </w: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206DE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任务名称</w:t>
            </w:r>
          </w:p>
        </w:tc>
        <w:tc>
          <w:tcPr>
            <w:tcW w:w="70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8F15E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主要内容</w:t>
            </w:r>
          </w:p>
        </w:tc>
      </w:tr>
      <w:tr w14:paraId="1EE96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10383">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224214">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社会救助体系不断健全</w:t>
            </w:r>
          </w:p>
        </w:tc>
        <w:tc>
          <w:tcPr>
            <w:tcW w:w="70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80D922">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及时将符合条件的困难群众纳入兜底保障，确保应保尽保。落实社会救助主动发现机制，运用低收入人口动态监测预警平台，认定低保边缘家庭数。</w:t>
            </w:r>
          </w:p>
        </w:tc>
      </w:tr>
      <w:tr w14:paraId="26557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EBCF3">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54B1FF">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养老服务水平不断提升</w:t>
            </w:r>
          </w:p>
        </w:tc>
        <w:tc>
          <w:tcPr>
            <w:tcW w:w="70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12E18B">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全面推进基本养老服务体系建设，城市居家社区“15分钟养老服务圈”基本形成，开展示范性老年助餐网络、区域性养老服务中心、农村公办养老机构护理能力提升等项目建设。</w:t>
            </w:r>
          </w:p>
        </w:tc>
      </w:tr>
      <w:tr w14:paraId="5B4A7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B84C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E2EF24">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关爱保障体系不断完善</w:t>
            </w:r>
          </w:p>
        </w:tc>
        <w:tc>
          <w:tcPr>
            <w:tcW w:w="70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9BF7C8">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提高孤儿基本生活养育标准，实施“皓齿</w:t>
            </w:r>
            <w:r>
              <w:rPr>
                <w:rFonts w:hint="eastAsia" w:ascii="Times New Roman" w:hAnsi="Times New Roman" w:eastAsia="方正仿宋_GBK" w:cs="Times New Roman"/>
                <w:color w:val="000000"/>
                <w:kern w:val="0"/>
                <w:sz w:val="21"/>
                <w:szCs w:val="21"/>
                <w:lang w:val="en-US" w:eastAsia="zh-CN" w:bidi="ar"/>
              </w:rPr>
              <w:t>.</w:t>
            </w:r>
            <w:r>
              <w:rPr>
                <w:rFonts w:hint="default" w:ascii="Times New Roman" w:hAnsi="Times New Roman" w:eastAsia="方正仿宋_GBK" w:cs="Times New Roman"/>
                <w:color w:val="000000"/>
                <w:kern w:val="0"/>
                <w:sz w:val="21"/>
                <w:szCs w:val="21"/>
                <w:lang w:val="en-US" w:eastAsia="zh-CN" w:bidi="ar"/>
              </w:rPr>
              <w:t>正心”健康工程、困境女童宜居改造、“为你而来</w:t>
            </w:r>
            <w:r>
              <w:rPr>
                <w:rFonts w:hint="eastAsia" w:ascii="Times New Roman" w:hAnsi="Times New Roman" w:eastAsia="方正仿宋_GBK" w:cs="Times New Roman"/>
                <w:color w:val="000000"/>
                <w:kern w:val="0"/>
                <w:sz w:val="21"/>
                <w:szCs w:val="21"/>
                <w:lang w:val="en-US" w:eastAsia="zh-CN" w:bidi="ar"/>
              </w:rPr>
              <w:t>.</w:t>
            </w:r>
            <w:r>
              <w:rPr>
                <w:rFonts w:hint="default" w:ascii="Times New Roman" w:hAnsi="Times New Roman" w:eastAsia="方正仿宋_GBK" w:cs="Times New Roman"/>
                <w:color w:val="000000"/>
                <w:kern w:val="0"/>
                <w:sz w:val="21"/>
                <w:szCs w:val="21"/>
                <w:lang w:val="en-US" w:eastAsia="zh-CN" w:bidi="ar"/>
              </w:rPr>
              <w:t>相伴成长”关爱保护、未成年人救助保护阵地改造，出台《关于做好孤儿成年后关爱保障工作的通知》，支持成年孤儿积极回归和融入社会。</w:t>
            </w:r>
          </w:p>
        </w:tc>
      </w:tr>
      <w:tr w14:paraId="7FBD1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47156">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AF8397">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慈善事业持续健康发展</w:t>
            </w:r>
          </w:p>
        </w:tc>
        <w:tc>
          <w:tcPr>
            <w:tcW w:w="70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D94D13">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建成县（区）公益慈善服务中心、乡镇（街道）公益慈善服务站、社区（村）公益慈善服务室（爱心驿站），初步构建覆盖全市的公益慈善服务体系。实施助学、助困等项目</w:t>
            </w:r>
          </w:p>
        </w:tc>
      </w:tr>
      <w:tr w14:paraId="15EE4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95B40">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D2DC45">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基本社会服务持续优化</w:t>
            </w:r>
          </w:p>
        </w:tc>
        <w:tc>
          <w:tcPr>
            <w:tcW w:w="70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1C0DCC">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推进内地居民婚姻登记“跨省通办”“全市通办”试点。积极开展“精康融合行动”，开展社区康复服务。</w:t>
            </w:r>
          </w:p>
        </w:tc>
      </w:tr>
      <w:tr w14:paraId="67EEF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522CE">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90D4F4">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社会组织作用有效发挥</w:t>
            </w:r>
          </w:p>
        </w:tc>
        <w:tc>
          <w:tcPr>
            <w:tcW w:w="70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43E78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健全市域内社会组织孵化体系，动员社会组织参与乡村振兴，走访慰问农村困难老人、儿童等特殊困难群体，引导社会工作站点和社会工作人才开展专业服务。</w:t>
            </w:r>
          </w:p>
        </w:tc>
      </w:tr>
      <w:tr w14:paraId="324D5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650186">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年度绩效</w:t>
            </w:r>
          </w:p>
          <w:p w14:paraId="7C755A1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指标</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AF003">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一级指标</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322D4">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二级指标</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F3E93">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三级指标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2CF8F">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绩效指标</w:t>
            </w:r>
          </w:p>
          <w:p w14:paraId="0F1081DD">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性质</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82750">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绩效指标值</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641E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绩效度量单位</w:t>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9D51E">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实际完成</w:t>
            </w:r>
          </w:p>
          <w:p w14:paraId="27075644">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指标值</w:t>
            </w:r>
          </w:p>
        </w:tc>
      </w:tr>
      <w:tr w14:paraId="482ED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9E035">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p>
        </w:tc>
        <w:tc>
          <w:tcPr>
            <w:tcW w:w="9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4F1505">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产出指标</w:t>
            </w:r>
          </w:p>
        </w:tc>
        <w:tc>
          <w:tcPr>
            <w:tcW w:w="1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F5A855">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数量指标</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5A6BB">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兜底保障困难群众人员</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2BA3D">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≥20000人</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9ACC5">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兜底保障困难群众人员</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42580">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≥20000人</w:t>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7DE26">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21084人</w:t>
            </w:r>
          </w:p>
        </w:tc>
      </w:tr>
      <w:tr w14:paraId="2C390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3DEAE">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p>
        </w:tc>
        <w:tc>
          <w:tcPr>
            <w:tcW w:w="9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FE67B">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p>
        </w:tc>
        <w:tc>
          <w:tcPr>
            <w:tcW w:w="1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F16F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F8383">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特困人员救助供养</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09654">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≥2000人</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A2FC1">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特困人员救助供养</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C99B5">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≥2000人</w:t>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460D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2837人</w:t>
            </w:r>
          </w:p>
        </w:tc>
      </w:tr>
      <w:tr w14:paraId="0A492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15"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A5EE8">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p>
        </w:tc>
        <w:tc>
          <w:tcPr>
            <w:tcW w:w="9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54532">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p>
        </w:tc>
        <w:tc>
          <w:tcPr>
            <w:tcW w:w="1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9CCA1">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01714">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保障职工正常办公人数</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AFA31">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123人</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2EFCA">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保障职工正常办公人数</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B7F7A">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123人</w:t>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55C1F">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127人</w:t>
            </w:r>
          </w:p>
        </w:tc>
      </w:tr>
      <w:tr w14:paraId="281F6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2020F">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p>
        </w:tc>
        <w:tc>
          <w:tcPr>
            <w:tcW w:w="9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B23DF">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4E48D">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质量指标</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AE5ED">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经费使用合规率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0A33A">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≥90%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82925">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100%</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C7C71">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w:t>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6593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99%</w:t>
            </w:r>
          </w:p>
        </w:tc>
      </w:tr>
      <w:tr w14:paraId="1BF3F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AB5AA">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p>
        </w:tc>
        <w:tc>
          <w:tcPr>
            <w:tcW w:w="9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8015C">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D9D38">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时效指标</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B5B6E">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完成时间</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6ED0B">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358D2">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1</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4EF95">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年</w:t>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F6EFC">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已完成</w:t>
            </w:r>
          </w:p>
        </w:tc>
      </w:tr>
      <w:tr w14:paraId="6C409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C1CD6">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p>
        </w:tc>
        <w:tc>
          <w:tcPr>
            <w:tcW w:w="9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A34F5">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0259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成本指标</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7BBAC">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经费支出金额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65545">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C5B8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4000</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A2F77">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万元</w:t>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F3BC8">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3969</w:t>
            </w:r>
          </w:p>
        </w:tc>
      </w:tr>
      <w:tr w14:paraId="544E7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59052">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2330A">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效益指标</w:t>
            </w:r>
          </w:p>
        </w:tc>
        <w:tc>
          <w:tcPr>
            <w:tcW w:w="1185" w:type="dxa"/>
            <w:tcBorders>
              <w:top w:val="single" w:color="000000" w:sz="4" w:space="0"/>
              <w:left w:val="single" w:color="000000" w:sz="4" w:space="0"/>
              <w:right w:val="single" w:color="000000" w:sz="4" w:space="0"/>
            </w:tcBorders>
            <w:shd w:val="clear" w:color="auto" w:fill="auto"/>
            <w:vAlign w:val="center"/>
          </w:tcPr>
          <w:p w14:paraId="49927920">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社会效益</w:t>
            </w:r>
          </w:p>
          <w:p w14:paraId="3D777AD8">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指标</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324B1">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社会</w:t>
            </w:r>
          </w:p>
          <w:p w14:paraId="6D14B82B">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效益</w:t>
            </w:r>
          </w:p>
          <w:p w14:paraId="606B6116">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9F03D">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保障民生实事，促进地方经济发展</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50D31">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定性</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A929F">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全面履行基本民生保障职责、 全面履行基本公共服务职责，凝心聚力兜底线、保稳定、促发展，推动各项工作取得实效，确保完成年度职能目标任务.</w:t>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02A4D">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实现</w:t>
            </w:r>
          </w:p>
        </w:tc>
      </w:tr>
      <w:tr w14:paraId="5B03C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91333">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89B6E">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满意度指标</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5BB45">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满意度指标</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6EE33">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服务对象满意度</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4B12D">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F07C0">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95</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93D5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w:t>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D97A2">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98%</w:t>
            </w:r>
          </w:p>
        </w:tc>
      </w:tr>
    </w:tbl>
    <w:p w14:paraId="49A37BB0">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p>
    <w:p w14:paraId="3F5F2410">
      <w:pPr>
        <w:rPr>
          <w:rFonts w:hint="default" w:ascii="Times New Roman" w:hAnsi="Times New Roman" w:eastAsia="黑体" w:cs="Times New Roman"/>
          <w:sz w:val="32"/>
          <w:szCs w:val="32"/>
          <w:shd w:val="clear" w:color="auto" w:fill="FFFFFF"/>
          <w:lang w:val="zh-CN"/>
        </w:rPr>
      </w:pPr>
      <w:r>
        <w:rPr>
          <w:rFonts w:hint="default" w:ascii="Times New Roman" w:hAnsi="Times New Roman" w:eastAsia="黑体" w:cs="Times New Roman"/>
          <w:sz w:val="32"/>
          <w:szCs w:val="32"/>
          <w:shd w:val="clear" w:color="auto" w:fill="FFFFFF"/>
          <w:lang w:val="zh-CN"/>
        </w:rPr>
        <w:br w:type="page"/>
      </w:r>
    </w:p>
    <w:p w14:paraId="52A5D53C">
      <w:pPr>
        <w:pStyle w:val="5"/>
        <w:spacing w:before="93"/>
        <w:rPr>
          <w:rFonts w:hint="default" w:ascii="Times New Roman" w:hAnsi="Times New Roman" w:eastAsia="黑体" w:cs="Times New Roman"/>
          <w:sz w:val="32"/>
          <w:szCs w:val="32"/>
          <w:lang w:val="en-US" w:eastAsia="zh-CN"/>
        </w:rPr>
      </w:pPr>
      <w:bookmarkStart w:id="58" w:name="_Toc15396618"/>
      <w:r>
        <w:rPr>
          <w:rFonts w:hint="default" w:ascii="Times New Roman" w:hAnsi="Times New Roman" w:eastAsia="黑体" w:cs="Times New Roman"/>
          <w:sz w:val="32"/>
          <w:szCs w:val="32"/>
          <w:shd w:val="clear" w:color="auto" w:fill="FFFFFF"/>
          <w:lang w:val="zh-CN"/>
        </w:rPr>
        <w:t>附件</w:t>
      </w:r>
      <w:r>
        <w:rPr>
          <w:rFonts w:hint="default" w:ascii="Times New Roman" w:hAnsi="Times New Roman" w:eastAsia="黑体" w:cs="Times New Roman"/>
          <w:sz w:val="32"/>
          <w:szCs w:val="32"/>
          <w:shd w:val="clear" w:color="auto" w:fill="FFFFFF"/>
        </w:rPr>
        <w:t>2</w:t>
      </w:r>
      <w:r>
        <w:rPr>
          <w:rFonts w:hint="default" w:ascii="Times New Roman" w:hAnsi="Times New Roman" w:eastAsia="黑体" w:cs="Times New Roman"/>
          <w:sz w:val="32"/>
          <w:szCs w:val="32"/>
          <w:shd w:val="clear" w:color="auto" w:fill="FFFFFF"/>
          <w:lang w:val="en-US" w:eastAsia="zh-CN"/>
        </w:rPr>
        <w:t>-1</w:t>
      </w:r>
    </w:p>
    <w:p w14:paraId="7D85780E">
      <w:pPr>
        <w:pStyle w:val="37"/>
        <w:spacing w:line="578" w:lineRule="exact"/>
        <w:jc w:val="center"/>
        <w:rPr>
          <w:rFonts w:hint="default" w:ascii="Times New Roman" w:hAnsi="Times New Roman" w:eastAsia="方正小标宋简体" w:cs="Times New Roman"/>
          <w:color w:val="auto"/>
          <w:kern w:val="2"/>
          <w:sz w:val="44"/>
          <w:szCs w:val="44"/>
          <w:lang w:val="en-US"/>
        </w:rPr>
      </w:pPr>
    </w:p>
    <w:p w14:paraId="590506A0">
      <w:pPr>
        <w:pStyle w:val="37"/>
        <w:spacing w:line="560" w:lineRule="exact"/>
        <w:ind w:left="1958" w:leftChars="304" w:hanging="1320" w:hangingChars="300"/>
        <w:jc w:val="center"/>
        <w:rPr>
          <w:rFonts w:hint="default" w:ascii="Times New Roman" w:hAnsi="Times New Roman" w:eastAsia="方正小标宋简体" w:cs="Times New Roman"/>
          <w:color w:val="auto"/>
          <w:kern w:val="2"/>
          <w:sz w:val="44"/>
          <w:szCs w:val="44"/>
          <w:highlight w:val="none"/>
          <w:lang w:val="en-US" w:eastAsia="zh-CN"/>
        </w:rPr>
      </w:pPr>
      <w:r>
        <w:rPr>
          <w:rFonts w:hint="default" w:ascii="Times New Roman" w:hAnsi="Times New Roman" w:eastAsia="方正小标宋简体" w:cs="Times New Roman"/>
          <w:color w:val="auto"/>
          <w:kern w:val="2"/>
          <w:sz w:val="44"/>
          <w:szCs w:val="44"/>
          <w:highlight w:val="none"/>
          <w:lang w:val="en-US" w:eastAsia="zh-CN"/>
        </w:rPr>
        <w:t>攀枝花市民政局</w:t>
      </w:r>
    </w:p>
    <w:p w14:paraId="0DB6C0CC">
      <w:pPr>
        <w:pStyle w:val="37"/>
        <w:spacing w:line="560" w:lineRule="exact"/>
        <w:ind w:left="1958" w:leftChars="304" w:hanging="1320" w:hangingChars="300"/>
        <w:jc w:val="center"/>
        <w:rPr>
          <w:rFonts w:hint="default" w:ascii="Times New Roman" w:hAnsi="Times New Roman" w:eastAsia="方正小标宋简体" w:cs="Times New Roman"/>
          <w:color w:val="auto"/>
          <w:kern w:val="2"/>
          <w:sz w:val="44"/>
          <w:szCs w:val="44"/>
          <w:highlight w:val="none"/>
          <w:lang w:val="en-US" w:eastAsia="zh-CN"/>
        </w:rPr>
      </w:pPr>
      <w:r>
        <w:rPr>
          <w:rFonts w:hint="default" w:ascii="Times New Roman" w:hAnsi="Times New Roman" w:eastAsia="方正小标宋简体" w:cs="Times New Roman"/>
          <w:color w:val="auto"/>
          <w:kern w:val="2"/>
          <w:sz w:val="44"/>
          <w:szCs w:val="44"/>
          <w:highlight w:val="none"/>
          <w:lang w:val="en-US" w:eastAsia="zh-CN"/>
        </w:rPr>
        <w:t>关于2025年社会救助救济补助资金专项</w:t>
      </w:r>
    </w:p>
    <w:p w14:paraId="1D3979A7">
      <w:pPr>
        <w:pStyle w:val="37"/>
        <w:spacing w:line="560" w:lineRule="exact"/>
        <w:ind w:left="1958" w:leftChars="304" w:hanging="1320" w:hangingChars="300"/>
        <w:jc w:val="center"/>
        <w:rPr>
          <w:rFonts w:hint="default" w:ascii="Times New Roman" w:hAnsi="Times New Roman" w:eastAsia="方正仿宋简体" w:cs="Times New Roman"/>
          <w:w w:val="95"/>
          <w:sz w:val="32"/>
          <w:szCs w:val="32"/>
          <w:lang w:eastAsia="zh-CN" w:bidi="ar-SA"/>
        </w:rPr>
      </w:pPr>
      <w:r>
        <w:rPr>
          <w:rFonts w:hint="default" w:ascii="Times New Roman" w:hAnsi="Times New Roman" w:eastAsia="方正小标宋简体" w:cs="Times New Roman"/>
          <w:color w:val="auto"/>
          <w:kern w:val="2"/>
          <w:sz w:val="44"/>
          <w:szCs w:val="44"/>
          <w:highlight w:val="none"/>
          <w:lang w:val="en-US" w:eastAsia="zh-CN"/>
        </w:rPr>
        <w:t>绩效自评情况的报告</w:t>
      </w:r>
    </w:p>
    <w:p w14:paraId="6A459B3A">
      <w:pPr>
        <w:pStyle w:val="37"/>
        <w:spacing w:line="560" w:lineRule="exact"/>
        <w:ind w:left="1958" w:leftChars="304" w:hanging="1320" w:hangingChars="300"/>
        <w:jc w:val="center"/>
        <w:rPr>
          <w:rFonts w:hint="default" w:ascii="Times New Roman" w:hAnsi="Times New Roman" w:eastAsia="方正小标宋简体" w:cs="Times New Roman"/>
          <w:color w:val="auto"/>
          <w:kern w:val="2"/>
          <w:sz w:val="44"/>
          <w:szCs w:val="44"/>
          <w:highlight w:val="none"/>
          <w:lang w:val="en-US" w:eastAsia="zh-CN"/>
        </w:rPr>
      </w:pPr>
    </w:p>
    <w:p w14:paraId="65971EF5">
      <w:pPr>
        <w:pStyle w:val="5"/>
        <w:keepNext w:val="0"/>
        <w:keepLines w:val="0"/>
        <w:pageBreakBefore w:val="0"/>
        <w:numPr>
          <w:ilvl w:val="0"/>
          <w:numId w:val="0"/>
        </w:numPr>
        <w:tabs>
          <w:tab w:val="left" w:pos="2160"/>
        </w:tabs>
        <w:kinsoku/>
        <w:wordWrap/>
        <w:overflowPunct/>
        <w:topLinePunct w:val="0"/>
        <w:autoSpaceDE/>
        <w:autoSpaceDN/>
        <w:bidi w:val="0"/>
        <w:adjustRightInd/>
        <w:snapToGrid/>
        <w:spacing w:line="560" w:lineRule="exact"/>
        <w:ind w:left="0" w:leftChars="0" w:firstLine="608" w:firstLineChars="200"/>
        <w:jc w:val="both"/>
        <w:textAlignment w:val="auto"/>
        <w:rPr>
          <w:rFonts w:hint="default" w:ascii="Times New Roman" w:hAnsi="Times New Roman" w:eastAsia="方正黑体_GBK" w:cs="Times New Roman"/>
          <w:color w:val="000000"/>
          <w:spacing w:val="-8"/>
          <w:kern w:val="2"/>
          <w:position w:val="0"/>
          <w:sz w:val="32"/>
          <w:szCs w:val="32"/>
          <w:lang w:val="zh-CN" w:eastAsia="zh-CN" w:bidi="ar-SA"/>
        </w:rPr>
      </w:pPr>
      <w:r>
        <w:rPr>
          <w:rFonts w:hint="default" w:ascii="Times New Roman" w:hAnsi="Times New Roman" w:eastAsia="方正黑体_GBK" w:cs="Times New Roman"/>
          <w:color w:val="000000"/>
          <w:spacing w:val="-8"/>
          <w:kern w:val="2"/>
          <w:position w:val="0"/>
          <w:sz w:val="32"/>
          <w:szCs w:val="32"/>
          <w:lang w:val="zh-CN" w:eastAsia="zh-CN" w:bidi="ar-SA"/>
        </w:rPr>
        <w:t>一、项目概况</w:t>
      </w:r>
    </w:p>
    <w:p w14:paraId="0C43337D">
      <w:pPr>
        <w:pageBreakBefore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9"/>
        <w:rPr>
          <w:rFonts w:hint="default" w:ascii="Times New Roman" w:hAnsi="Times New Roman" w:eastAsia="方正楷体_GBK" w:cs="Times New Roman"/>
          <w:b/>
          <w:sz w:val="32"/>
          <w:szCs w:val="32"/>
          <w:lang w:val="zh-CN"/>
        </w:rPr>
      </w:pPr>
      <w:r>
        <w:rPr>
          <w:rFonts w:hint="default" w:ascii="Times New Roman" w:hAnsi="Times New Roman" w:eastAsia="方正楷体_GBK" w:cs="Times New Roman"/>
          <w:b/>
          <w:sz w:val="32"/>
          <w:szCs w:val="32"/>
          <w:lang w:val="zh-CN"/>
        </w:rPr>
        <w:t>（一）设立背景及基本情况</w:t>
      </w:r>
    </w:p>
    <w:p w14:paraId="083EB96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lang w:val="en" w:eastAsia="zh-CN"/>
        </w:rPr>
      </w:pPr>
      <w:r>
        <w:rPr>
          <w:rFonts w:hint="default" w:ascii="Times New Roman" w:hAnsi="Times New Roman" w:eastAsia="方正仿宋_GBK" w:cs="Times New Roman"/>
          <w:sz w:val="32"/>
          <w:szCs w:val="32"/>
        </w:rPr>
        <w:t>1.</w:t>
      </w:r>
      <w:r>
        <w:rPr>
          <w:rFonts w:hint="default" w:ascii="Times New Roman" w:hAnsi="Times New Roman" w:eastAsia="方正仿宋_GBK" w:cs="Times New Roman"/>
          <w:color w:val="auto"/>
          <w:sz w:val="32"/>
          <w:szCs w:val="32"/>
        </w:rPr>
        <w:t>绿色惠民殡葬补贴：本项目依据《四川省民政厅</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四川省财政厅关于全面实施绿色惠民殡葬政策的意见》（川民发〔2019〕55号）</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《攀枝花市民政局 攀枝花市财政局关于印发攀枝花市惠民殡葬政策实施办法的通知》《攀枝花市民政局 攀枝花市财政局关于印发攀枝花市惠民殡葬政策实施办法补充规定的通知》</w:t>
      </w:r>
      <w:r>
        <w:rPr>
          <w:rFonts w:hint="default" w:ascii="Times New Roman" w:hAnsi="Times New Roman" w:eastAsia="方正仿宋_GBK" w:cs="Times New Roman"/>
          <w:color w:val="auto"/>
          <w:sz w:val="32"/>
          <w:szCs w:val="32"/>
          <w:lang w:eastAsia="zh-CN"/>
        </w:rPr>
        <w:t>等</w:t>
      </w:r>
      <w:r>
        <w:rPr>
          <w:rFonts w:hint="default" w:ascii="Times New Roman" w:hAnsi="Times New Roman" w:eastAsia="方正仿宋_GBK" w:cs="Times New Roman"/>
          <w:color w:val="auto"/>
          <w:sz w:val="32"/>
          <w:szCs w:val="32"/>
        </w:rPr>
        <w:t>文件精神，实施绿色惠民殡葬政策，</w:t>
      </w:r>
      <w:r>
        <w:rPr>
          <w:rFonts w:hint="default" w:ascii="Times New Roman" w:hAnsi="Times New Roman" w:eastAsia="方正仿宋_GBK" w:cs="Times New Roman"/>
          <w:color w:val="auto"/>
          <w:sz w:val="32"/>
          <w:szCs w:val="32"/>
          <w:lang w:val="en" w:eastAsia="zh-CN"/>
        </w:rPr>
        <w:t>为符合条件的逝者家庭减免四项基本殡葬服务费用，推进实现惠民殡葬服务的普惠性、均等化。</w:t>
      </w:r>
    </w:p>
    <w:p w14:paraId="401A94D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en-US" w:eastAsia="zh-CN"/>
        </w:rPr>
        <w:t>2.残疾人两项补贴：</w:t>
      </w:r>
      <w:r>
        <w:rPr>
          <w:rFonts w:hint="default" w:ascii="Times New Roman" w:hAnsi="Times New Roman" w:eastAsia="方正仿宋_GBK" w:cs="Times New Roman"/>
          <w:sz w:val="32"/>
          <w:szCs w:val="32"/>
        </w:rPr>
        <w:t>《国务院关于全面建立困难残疾人生活补贴和重度残疾人护理补贴制度的意见》</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国发〔2015〕52号</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 xml:space="preserve"> 《四川省民政厅 四川省财政厅 四川省残疾人联合会关于建立困难残疾人生活补贴和重度残疾人护理补贴的通知》（川民发〔2015〕195号）《攀枝花市民政局 攀枝花市财政局 攀枝花市残疾人联合会关于转发</w:t>
      </w:r>
      <w:r>
        <w:rPr>
          <w:rFonts w:hint="default" w:ascii="Times New Roman" w:hAnsi="Times New Roman" w:eastAsia="方正仿宋_GBK" w:cs="Times New Roman"/>
          <w:sz w:val="32"/>
          <w:szCs w:val="32"/>
          <w:lang w:val="en-US" w:eastAsia="zh-CN"/>
        </w:rPr>
        <w:t>&lt;</w:t>
      </w:r>
      <w:r>
        <w:rPr>
          <w:rFonts w:hint="default" w:ascii="Times New Roman" w:hAnsi="Times New Roman" w:eastAsia="方正仿宋_GBK" w:cs="Times New Roman"/>
          <w:sz w:val="32"/>
          <w:szCs w:val="32"/>
        </w:rPr>
        <w:t>四川省民政厅四川省财政厅 四川省残疾人联合会关于建立困难残疾人生活补贴和重度残疾人护理补贴制度的通知&gt;的通知》（攀民政〔2016〕44号）</w:t>
      </w:r>
      <w:r>
        <w:rPr>
          <w:rFonts w:hint="default" w:ascii="Times New Roman" w:hAnsi="Times New Roman" w:eastAsia="方正仿宋_GBK" w:cs="Times New Roman"/>
          <w:sz w:val="32"/>
          <w:szCs w:val="32"/>
          <w:lang w:eastAsia="zh-CN"/>
        </w:rPr>
        <w:t>。</w:t>
      </w:r>
    </w:p>
    <w:p w14:paraId="6245634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en-US" w:eastAsia="zh-CN"/>
        </w:rPr>
        <w:t>3.原襄渝铁路西段伤残民兵民工专项：攀枝花市民政局负责本市襄渝铁路西段伤残民兵民工及遗属生活补助工作，按照</w:t>
      </w:r>
      <w:r>
        <w:rPr>
          <w:rFonts w:hint="default" w:ascii="Times New Roman" w:hAnsi="Times New Roman" w:eastAsia="方正仿宋_GBK" w:cs="Times New Roman"/>
          <w:sz w:val="32"/>
          <w:szCs w:val="32"/>
          <w:lang w:val="en" w:eastAsia="zh-CN"/>
        </w:rPr>
        <w:t>《四川省财政厅 四川省民政厅关于印发省级财政社会救助救济补助资金管理办法的通知》（川财社〔2024〕130号）、</w:t>
      </w:r>
      <w:r>
        <w:rPr>
          <w:rFonts w:hint="default" w:ascii="Times New Roman" w:hAnsi="Times New Roman" w:eastAsia="方正仿宋_GBK" w:cs="Times New Roman"/>
          <w:sz w:val="32"/>
          <w:szCs w:val="32"/>
          <w:lang w:val="en-US" w:eastAsia="zh-CN"/>
        </w:rPr>
        <w:t>《四川省财政厅 四川省民政厅关于下达2025年省级财政社会救助救济补助资金的通知》（川财社〔2025〕48号）等文件精神，上级补助资金下达后，督促县（区）对该部分保障人员及时足额发放生活救济金。</w:t>
      </w:r>
    </w:p>
    <w:p w14:paraId="19A2149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4.精减退职职工专项：攀枝花市民政局负责二十世纪60年代精减退职老职工生活困难救济工作，按照</w:t>
      </w:r>
      <w:r>
        <w:rPr>
          <w:rFonts w:hint="default" w:ascii="Times New Roman" w:hAnsi="Times New Roman" w:eastAsia="方正仿宋_GBK" w:cs="Times New Roman"/>
          <w:sz w:val="32"/>
          <w:szCs w:val="32"/>
          <w:lang w:val="en" w:eastAsia="zh-CN"/>
        </w:rPr>
        <w:t>《四川省财政厅 四川省民政厅关于印发省级财政社会救助救济补助资金管理办法的通知》（川财社〔2024〕130号）、</w:t>
      </w:r>
      <w:r>
        <w:rPr>
          <w:rFonts w:hint="default" w:ascii="Times New Roman" w:hAnsi="Times New Roman" w:eastAsia="方正仿宋_GBK" w:cs="Times New Roman"/>
          <w:sz w:val="32"/>
          <w:szCs w:val="32"/>
          <w:lang w:val="en-US" w:eastAsia="zh-CN"/>
        </w:rPr>
        <w:t>《四川省财政厅 四川省民政厅关于下达2025年省级财政社会救助救济补助资金的通知》（川财社〔2025〕48号）等文件精神，上级补助资金下达后，督促县（区）对该部分保障人员及时足额发放生活救济金。</w:t>
      </w:r>
    </w:p>
    <w:p w14:paraId="20F7E7C2">
      <w:pPr>
        <w:pageBreakBefore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9"/>
        <w:rPr>
          <w:rFonts w:hint="default" w:ascii="Times New Roman" w:hAnsi="Times New Roman" w:eastAsia="方正楷体_GBK" w:cs="Times New Roman"/>
          <w:b/>
          <w:sz w:val="32"/>
          <w:szCs w:val="32"/>
          <w:lang w:val="en-US" w:eastAsia="zh-CN"/>
        </w:rPr>
      </w:pPr>
      <w:r>
        <w:rPr>
          <w:rFonts w:hint="default" w:ascii="Times New Roman" w:hAnsi="Times New Roman" w:eastAsia="方正楷体_GBK" w:cs="Times New Roman"/>
          <w:b/>
          <w:sz w:val="32"/>
          <w:szCs w:val="32"/>
          <w:lang w:val="zh-CN"/>
        </w:rPr>
        <w:t>（二）</w:t>
      </w:r>
      <w:r>
        <w:rPr>
          <w:rFonts w:hint="default" w:ascii="Times New Roman" w:hAnsi="Times New Roman" w:eastAsia="方正楷体_GBK" w:cs="Times New Roman"/>
          <w:b/>
          <w:sz w:val="32"/>
          <w:szCs w:val="32"/>
          <w:lang w:val="en-US" w:eastAsia="zh-CN"/>
        </w:rPr>
        <w:t>实施目的及支持方向</w:t>
      </w:r>
    </w:p>
    <w:p w14:paraId="7721A14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 w:eastAsia="zh-CN"/>
        </w:rPr>
      </w:pPr>
      <w:r>
        <w:rPr>
          <w:rFonts w:hint="default" w:ascii="Times New Roman" w:hAnsi="Times New Roman" w:eastAsia="方正仿宋_GBK" w:cs="Times New Roman"/>
          <w:sz w:val="32"/>
          <w:szCs w:val="32"/>
          <w:lang w:val="en" w:eastAsia="zh-CN"/>
        </w:rPr>
        <w:t>1.绿色惠民殡葬补贴。</w:t>
      </w:r>
    </w:p>
    <w:p w14:paraId="622E166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val="0"/>
          <w:bCs w:val="0"/>
          <w:sz w:val="32"/>
          <w:szCs w:val="32"/>
          <w:lang w:val="en" w:eastAsia="zh-CN"/>
        </w:rPr>
      </w:pPr>
      <w:r>
        <w:rPr>
          <w:rFonts w:hint="default" w:ascii="Times New Roman" w:hAnsi="Times New Roman" w:eastAsia="方正仿宋_GBK" w:cs="Times New Roman"/>
          <w:b/>
          <w:bCs/>
          <w:sz w:val="32"/>
          <w:szCs w:val="32"/>
          <w:lang w:val="en" w:eastAsia="zh-CN"/>
        </w:rPr>
        <w:t>实施目的：</w:t>
      </w:r>
      <w:r>
        <w:rPr>
          <w:rFonts w:hint="default" w:ascii="Times New Roman" w:hAnsi="Times New Roman" w:eastAsia="方正仿宋_GBK" w:cs="Times New Roman"/>
          <w:b w:val="0"/>
          <w:bCs w:val="0"/>
          <w:sz w:val="32"/>
          <w:szCs w:val="32"/>
          <w:lang w:val="en" w:eastAsia="zh-CN"/>
        </w:rPr>
        <w:t>通过政府主导和公益惠民的方式，切实减轻群众经济负担，推进殡葬公益属性，倡导绿色文明新风，提升服务效能与便民水平，推动殡葬事业高质量发展，实现“逝者所安”。</w:t>
      </w:r>
    </w:p>
    <w:p w14:paraId="4B43979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color w:val="FF0000"/>
          <w:sz w:val="32"/>
          <w:szCs w:val="32"/>
          <w:lang w:val="en" w:eastAsia="zh-CN"/>
        </w:rPr>
      </w:pPr>
      <w:r>
        <w:rPr>
          <w:rFonts w:hint="default" w:ascii="Times New Roman" w:hAnsi="Times New Roman" w:eastAsia="方正仿宋_GBK" w:cs="Times New Roman"/>
          <w:b/>
          <w:bCs/>
          <w:sz w:val="32"/>
          <w:szCs w:val="32"/>
          <w:lang w:val="en" w:eastAsia="zh-CN"/>
        </w:rPr>
        <w:t>支持方向：</w:t>
      </w:r>
      <w:r>
        <w:rPr>
          <w:rFonts w:hint="default" w:ascii="Times New Roman" w:hAnsi="Times New Roman" w:eastAsia="方正仿宋_GBK" w:cs="Times New Roman"/>
          <w:color w:val="auto"/>
          <w:sz w:val="32"/>
          <w:szCs w:val="32"/>
        </w:rPr>
        <w:t>为具有攀枝花市户籍的城乡居民，</w:t>
      </w:r>
      <w:r>
        <w:rPr>
          <w:rFonts w:hint="default" w:ascii="Times New Roman" w:hAnsi="Times New Roman" w:eastAsia="方正仿宋_GBK" w:cs="Times New Roman"/>
          <w:sz w:val="32"/>
          <w:szCs w:val="32"/>
        </w:rPr>
        <w:t>在四川省内和重庆市去世且在公办殡葬服务机构火化的，减免遗体接运、遗体暂存（冷藏）3日内、遗体火化、骨灰存放（1年内）四项基本殡葬服务费用。</w:t>
      </w:r>
    </w:p>
    <w:p w14:paraId="66A9204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 xml:space="preserve">    2.残疾人两项补贴。</w:t>
      </w:r>
    </w:p>
    <w:p w14:paraId="0534F3F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sz w:val="32"/>
          <w:szCs w:val="32"/>
          <w:lang w:val="en" w:eastAsia="en"/>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b/>
          <w:bCs/>
          <w:sz w:val="32"/>
          <w:szCs w:val="32"/>
          <w:lang w:val="en-US" w:eastAsia="zh-CN"/>
        </w:rPr>
        <w:t>实施目的：</w:t>
      </w:r>
      <w:r>
        <w:rPr>
          <w:rFonts w:hint="default" w:ascii="Times New Roman" w:hAnsi="Times New Roman" w:eastAsia="方正仿宋_GBK" w:cs="Times New Roman"/>
          <w:sz w:val="32"/>
          <w:szCs w:val="32"/>
          <w:lang w:val="en" w:eastAsia="zh-CN"/>
        </w:rPr>
        <w:t>解决残疾人因残疾产生的额外生活支出与长期照护支出难题，补齐残疾人福利制度短板，保障残疾人生存发展权益，增进残疾人福祉，</w:t>
      </w:r>
      <w:r>
        <w:rPr>
          <w:rFonts w:hint="default" w:ascii="Times New Roman" w:hAnsi="Times New Roman" w:eastAsia="方正仿宋_GBK" w:cs="Times New Roman"/>
          <w:sz w:val="32"/>
          <w:szCs w:val="32"/>
          <w:lang w:val="en" w:eastAsia="en"/>
        </w:rPr>
        <w:t>促进残疾人福利事业高质量发展。</w:t>
      </w:r>
    </w:p>
    <w:p w14:paraId="65E22FA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sz w:val="32"/>
          <w:szCs w:val="32"/>
          <w:lang w:val="en" w:eastAsia="zh-CN"/>
        </w:rPr>
      </w:pPr>
      <w:r>
        <w:rPr>
          <w:rFonts w:hint="default" w:ascii="Times New Roman" w:hAnsi="Times New Roman" w:eastAsia="方正仿宋_GBK" w:cs="Times New Roman"/>
          <w:b/>
          <w:bCs/>
          <w:sz w:val="32"/>
          <w:szCs w:val="32"/>
          <w:lang w:val="en" w:eastAsia="zh-CN"/>
        </w:rPr>
        <w:t>支持方向：</w:t>
      </w:r>
      <w:r>
        <w:rPr>
          <w:rFonts w:hint="default" w:ascii="Times New Roman" w:hAnsi="Times New Roman" w:eastAsia="方正仿宋_GBK" w:cs="Times New Roman"/>
          <w:sz w:val="32"/>
          <w:szCs w:val="32"/>
          <w:lang w:val="en" w:eastAsia="zh-CN"/>
        </w:rPr>
        <w:t>一是困难残疾人生活补贴：针对低保家庭中的残疾人，按照每人每月100元发放补贴。二是重度残疾人护理补贴：面向一级、二级且需长期照护的重度残疾人、三四级智力或精神残疾人发放护理补贴。一级重度残疾人每人每月 120元；二级重度残疾人每人每月 90元；三级智力或精神残疾人每人每月60元；四级智力或精神残疾人每人每月50元。</w:t>
      </w:r>
    </w:p>
    <w:p w14:paraId="7361E6F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 xml:space="preserve">    3.原襄渝铁路西段伤残民兵民工补助。</w:t>
      </w:r>
    </w:p>
    <w:p w14:paraId="2C7F148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实施目的：</w:t>
      </w:r>
      <w:r>
        <w:rPr>
          <w:rFonts w:hint="default" w:ascii="Times New Roman" w:hAnsi="Times New Roman" w:eastAsia="方正仿宋_GBK" w:cs="Times New Roman"/>
          <w:b w:val="0"/>
          <w:bCs w:val="0"/>
          <w:sz w:val="32"/>
          <w:szCs w:val="32"/>
          <w:lang w:val="en-US" w:eastAsia="zh-CN"/>
        </w:rPr>
        <w:t>妥善解决</w:t>
      </w:r>
      <w:r>
        <w:rPr>
          <w:rFonts w:hint="default" w:ascii="Times New Roman" w:hAnsi="Times New Roman" w:eastAsia="方正仿宋_GBK" w:cs="Times New Roman"/>
          <w:sz w:val="32"/>
          <w:szCs w:val="32"/>
          <w:lang w:val="en" w:eastAsia="zh-CN"/>
        </w:rPr>
        <w:t>襄渝铁路西段伤残民兵民工这一特殊群体的实际生活困难，保障其基本生活权益，充分体现党和国家和社会对历史贡献者的关怀与照顾。</w:t>
      </w:r>
    </w:p>
    <w:p w14:paraId="2735ECD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方正仿宋_GBK" w:cs="Times New Roman"/>
          <w:sz w:val="32"/>
          <w:szCs w:val="32"/>
          <w:lang w:val="en" w:eastAsia="zh-CN"/>
        </w:rPr>
      </w:pPr>
      <w:r>
        <w:rPr>
          <w:rFonts w:hint="default" w:ascii="Times New Roman" w:hAnsi="Times New Roman" w:eastAsia="方正仿宋_GBK" w:cs="Times New Roman"/>
          <w:b/>
          <w:bCs/>
          <w:sz w:val="32"/>
          <w:szCs w:val="32"/>
          <w:lang w:val="en" w:eastAsia="zh-CN"/>
        </w:rPr>
        <w:t>支持方向：</w:t>
      </w:r>
      <w:r>
        <w:rPr>
          <w:rFonts w:hint="default" w:ascii="Times New Roman" w:hAnsi="Times New Roman" w:eastAsia="方正仿宋_GBK" w:cs="Times New Roman"/>
          <w:sz w:val="32"/>
          <w:szCs w:val="32"/>
          <w:lang w:val="en" w:eastAsia="zh-CN"/>
        </w:rPr>
        <w:t>严格对照《四川省财政厅 四川省民政厅关于印发省级财政社会救助救济补助资金管理办法的通知》（川财社〔2024〕130号）、</w:t>
      </w:r>
      <w:r>
        <w:rPr>
          <w:rFonts w:hint="default" w:ascii="Times New Roman" w:hAnsi="Times New Roman" w:eastAsia="方正仿宋_GBK" w:cs="Times New Roman"/>
          <w:sz w:val="32"/>
          <w:szCs w:val="32"/>
          <w:lang w:val="en-US" w:eastAsia="zh-CN"/>
        </w:rPr>
        <w:t>《四川省财政厅 四川省民政厅关于下达2025年省级财政社会救助救济补助资金的通知》（川财社〔2025〕48号）</w:t>
      </w:r>
      <w:r>
        <w:rPr>
          <w:rFonts w:hint="default" w:ascii="Times New Roman" w:hAnsi="Times New Roman" w:eastAsia="方正仿宋_GBK" w:cs="Times New Roman"/>
          <w:sz w:val="32"/>
          <w:szCs w:val="32"/>
          <w:lang w:val="en" w:eastAsia="zh-CN"/>
        </w:rPr>
        <w:t>，全面落实好襄渝铁路西段伤残民兵民工生活困难救济政策。</w:t>
      </w:r>
    </w:p>
    <w:p w14:paraId="180AEB1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 xml:space="preserve">    4.精减退职职工补助。</w:t>
      </w:r>
    </w:p>
    <w:p w14:paraId="4928177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方正仿宋_GBK" w:cs="Times New Roman"/>
          <w:sz w:val="32"/>
          <w:szCs w:val="32"/>
          <w:lang w:val="en" w:eastAsia="zh-CN"/>
        </w:rPr>
      </w:pPr>
      <w:r>
        <w:rPr>
          <w:rFonts w:hint="default" w:ascii="Times New Roman" w:hAnsi="Times New Roman" w:eastAsia="方正仿宋_GBK" w:cs="Times New Roman"/>
          <w:b/>
          <w:bCs/>
          <w:sz w:val="32"/>
          <w:szCs w:val="32"/>
          <w:lang w:val="en-US" w:eastAsia="zh-CN"/>
        </w:rPr>
        <w:t>实施目的：</w:t>
      </w:r>
      <w:r>
        <w:rPr>
          <w:rFonts w:hint="default" w:ascii="Times New Roman" w:hAnsi="Times New Roman" w:eastAsia="方正仿宋_GBK" w:cs="Times New Roman"/>
          <w:b w:val="0"/>
          <w:bCs w:val="0"/>
          <w:sz w:val="32"/>
          <w:szCs w:val="32"/>
          <w:lang w:val="en-US" w:eastAsia="zh-CN"/>
        </w:rPr>
        <w:t>保障</w:t>
      </w:r>
      <w:r>
        <w:rPr>
          <w:rFonts w:hint="default" w:ascii="Times New Roman" w:hAnsi="Times New Roman" w:eastAsia="方正仿宋_GBK" w:cs="Times New Roman"/>
          <w:sz w:val="32"/>
          <w:szCs w:val="32"/>
          <w:lang w:val="en" w:eastAsia="zh-CN"/>
        </w:rPr>
        <w:t>精减退职老职工基本生活，避免其生活陷入困境，充分体现党和政府对精减退职人员的关怀，缓解其生活困难，是党和国家落实社会公平、历史担当的重要举措。</w:t>
      </w:r>
    </w:p>
    <w:p w14:paraId="24AF520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b/>
          <w:bCs/>
          <w:sz w:val="32"/>
          <w:szCs w:val="32"/>
          <w:lang w:val="en-US" w:eastAsia="zh-CN"/>
        </w:rPr>
        <w:t xml:space="preserve">    </w:t>
      </w:r>
      <w:r>
        <w:rPr>
          <w:rFonts w:hint="default" w:ascii="Times New Roman" w:hAnsi="Times New Roman" w:eastAsia="方正仿宋_GBK" w:cs="Times New Roman"/>
          <w:b/>
          <w:bCs/>
          <w:sz w:val="32"/>
          <w:szCs w:val="32"/>
          <w:lang w:val="en" w:eastAsia="zh-CN"/>
        </w:rPr>
        <w:t>支持方向：</w:t>
      </w:r>
      <w:r>
        <w:rPr>
          <w:rFonts w:hint="default" w:ascii="Times New Roman" w:hAnsi="Times New Roman" w:eastAsia="方正仿宋_GBK" w:cs="Times New Roman"/>
          <w:sz w:val="32"/>
          <w:szCs w:val="32"/>
          <w:lang w:val="en" w:eastAsia="zh-CN"/>
        </w:rPr>
        <w:t>严格对照</w:t>
      </w:r>
      <w:r>
        <w:rPr>
          <w:rFonts w:hint="default" w:ascii="Times New Roman" w:hAnsi="Times New Roman" w:eastAsia="方正仿宋_GBK" w:cs="Times New Roman"/>
          <w:sz w:val="32"/>
          <w:szCs w:val="32"/>
          <w:lang w:val="en-US" w:eastAsia="zh-CN"/>
        </w:rPr>
        <w:t>《四川省民政厅 四川省财政厅关于调整上世纪60年代精减退职老职工生活困难救济标准的通知》（川民发〔2023〕95号）、《四川省财政厅 四川省民政厅关于下达2025年省级财政社会救助救济补助资金的通知》（川财社〔2025〕48号）</w:t>
      </w:r>
      <w:r>
        <w:rPr>
          <w:rFonts w:hint="default" w:ascii="Times New Roman" w:hAnsi="Times New Roman" w:eastAsia="方正仿宋_GBK" w:cs="Times New Roman"/>
          <w:sz w:val="32"/>
          <w:szCs w:val="32"/>
          <w:lang w:val="en" w:eastAsia="zh-CN"/>
        </w:rPr>
        <w:t>，全面落实好精减退职老职工生活困难救济政策。</w:t>
      </w:r>
    </w:p>
    <w:p w14:paraId="1EC7700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楷体_GBK" w:cs="Times New Roman"/>
          <w:b/>
          <w:sz w:val="32"/>
          <w:szCs w:val="32"/>
          <w:lang w:val="zh-CN" w:eastAsia="zh-CN"/>
        </w:rPr>
        <w:t>（三）</w:t>
      </w:r>
      <w:r>
        <w:rPr>
          <w:rFonts w:hint="default" w:ascii="Times New Roman" w:hAnsi="Times New Roman" w:eastAsia="方正楷体_GBK" w:cs="Times New Roman"/>
          <w:b/>
          <w:sz w:val="32"/>
          <w:szCs w:val="32"/>
          <w:lang w:val="en-US" w:eastAsia="zh-CN"/>
        </w:rPr>
        <w:t>预算安排及分配管理</w:t>
      </w:r>
    </w:p>
    <w:p w14:paraId="5F5E703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1.绿色惠民殡葬补贴。项目预算总额为326万元，其中</w:t>
      </w:r>
      <w:r>
        <w:rPr>
          <w:rFonts w:hint="default" w:ascii="Times New Roman" w:hAnsi="Times New Roman" w:eastAsia="方正仿宋_GBK" w:cs="Times New Roman"/>
          <w:sz w:val="32"/>
          <w:szCs w:val="32"/>
          <w:lang w:val="en" w:eastAsia="zh-CN"/>
        </w:rPr>
        <w:t>东区（资金132.9万元）、西区（资金67.14万元）、仁和区（资金43.66万元）、米易县（资金39万元）、盐边县（资金31万元）、市殡葬服务中心（资金12.3万元）</w:t>
      </w:r>
      <w:r>
        <w:rPr>
          <w:rFonts w:hint="default" w:ascii="Times New Roman" w:hAnsi="Times New Roman" w:eastAsia="方正仿宋_GBK" w:cs="Times New Roman"/>
          <w:sz w:val="32"/>
          <w:szCs w:val="32"/>
          <w:lang w:val="en-US" w:eastAsia="zh-CN"/>
        </w:rPr>
        <w:t>，资金分配遵循专款专用，规范运作，未发生转移、截留、侵占或者挪用专项资金情况。</w:t>
      </w:r>
    </w:p>
    <w:p w14:paraId="2B81DBF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残疾人两项补贴。按照东区、西区、仁和区困难残疾人生活补贴和重度残疾人护理补贴保障人数及市级财政补助比例预算市本级资金。2025年全年共计下达省级财政补助资金662万元，其中东区99.01万元、西区73.18万元、仁和区124.81万元、米易县147万元、盐边县218万元；2025年全年共计下达市级财政补助资金268.94万元，其中东区92.44万元、西区62.58万元、仁和区113.92万元。</w:t>
      </w:r>
    </w:p>
    <w:p w14:paraId="1656889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 w:eastAsia="zh-CN"/>
        </w:rPr>
      </w:pPr>
      <w:r>
        <w:rPr>
          <w:rFonts w:hint="default" w:ascii="Times New Roman" w:hAnsi="Times New Roman" w:eastAsia="方正仿宋_GBK" w:cs="Times New Roman"/>
          <w:sz w:val="32"/>
          <w:szCs w:val="32"/>
          <w:lang w:val="en-US" w:eastAsia="zh-CN"/>
        </w:rPr>
        <w:t>3.原襄渝铁路西段伤残民兵民工专项。</w:t>
      </w:r>
      <w:r>
        <w:rPr>
          <w:rFonts w:hint="default" w:ascii="Times New Roman" w:hAnsi="Times New Roman" w:eastAsia="方正仿宋_GBK" w:cs="Times New Roman"/>
          <w:sz w:val="32"/>
          <w:szCs w:val="32"/>
          <w:lang w:val="en" w:eastAsia="zh-CN"/>
        </w:rPr>
        <w:t>省级下达预算资金，市民政局根据东区保障人数、保障标准提出资金分配建议；</w:t>
      </w:r>
      <w:r>
        <w:rPr>
          <w:rFonts w:hint="default" w:ascii="Times New Roman" w:hAnsi="Times New Roman" w:eastAsia="方正仿宋_GBK" w:cs="Times New Roman"/>
          <w:sz w:val="32"/>
          <w:szCs w:val="32"/>
          <w:lang w:val="en-US" w:eastAsia="zh-CN"/>
        </w:rPr>
        <w:t>2025年全年共计下达省级财政补助资金5万元，其中东区5万元</w:t>
      </w:r>
      <w:r>
        <w:rPr>
          <w:rFonts w:hint="default" w:ascii="Times New Roman" w:hAnsi="Times New Roman" w:eastAsia="方正仿宋_GBK" w:cs="Times New Roman"/>
          <w:sz w:val="32"/>
          <w:szCs w:val="32"/>
          <w:lang w:val="en" w:eastAsia="zh-CN"/>
        </w:rPr>
        <w:t>。</w:t>
      </w:r>
    </w:p>
    <w:p w14:paraId="78A633C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4.精减退职职工专项。</w:t>
      </w:r>
      <w:r>
        <w:rPr>
          <w:rFonts w:hint="default" w:ascii="Times New Roman" w:hAnsi="Times New Roman" w:eastAsia="方正仿宋_GBK" w:cs="Times New Roman"/>
          <w:sz w:val="32"/>
          <w:szCs w:val="32"/>
          <w:lang w:val="en" w:eastAsia="zh-CN"/>
        </w:rPr>
        <w:t>省级下达预算资金，市民政局根据东区、西区、仁和区保障对象人数（</w:t>
      </w:r>
      <w:r>
        <w:rPr>
          <w:rFonts w:hint="default" w:ascii="Times New Roman" w:hAnsi="Times New Roman" w:eastAsia="方正仿宋_GBK" w:cs="Times New Roman"/>
          <w:sz w:val="32"/>
          <w:szCs w:val="32"/>
          <w:lang w:val="en-US" w:eastAsia="zh-CN"/>
        </w:rPr>
        <w:t>100%</w:t>
      </w:r>
      <w:r>
        <w:rPr>
          <w:rFonts w:hint="default" w:ascii="Times New Roman" w:hAnsi="Times New Roman" w:eastAsia="方正仿宋_GBK" w:cs="Times New Roman"/>
          <w:sz w:val="32"/>
          <w:szCs w:val="32"/>
          <w:lang w:val="en" w:eastAsia="zh-CN"/>
        </w:rPr>
        <w:t>）为因素进行测算，提出资金分配建议。米易县、盐边县资金由省级财政部门直接分配下达。</w:t>
      </w:r>
      <w:r>
        <w:rPr>
          <w:rFonts w:hint="default" w:ascii="Times New Roman" w:hAnsi="Times New Roman" w:eastAsia="方正仿宋_GBK" w:cs="Times New Roman"/>
          <w:sz w:val="32"/>
          <w:szCs w:val="32"/>
          <w:lang w:val="en-US" w:eastAsia="zh-CN"/>
        </w:rPr>
        <w:t>2025年全年共计下达省级财政补助资金10万元，其中西区0.9万元、仁和区2.1万元、米易县6万元、盐边县1万元；</w:t>
      </w:r>
    </w:p>
    <w:p w14:paraId="614B40E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楷体_GBK" w:cs="Times New Roman"/>
          <w:b/>
          <w:sz w:val="32"/>
          <w:szCs w:val="32"/>
          <w:lang w:val="zh-CN" w:eastAsia="zh-CN"/>
        </w:rPr>
        <w:t>（四）项目绩效目标设置</w:t>
      </w:r>
    </w:p>
    <w:p w14:paraId="276C28C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1.绿色惠民殡葬补贴。为攀枝花市户籍的逝者家庭发放惠民殡葬补贴，有效保障群众基本殡葬需求，减轻群众殡葬负担，实现殡葬服务均等化。绩效目标设置全市全年惠民殡葬补贴</w:t>
      </w:r>
      <w:r>
        <w:rPr>
          <w:rFonts w:hint="default" w:ascii="Times New Roman" w:hAnsi="Times New Roman" w:eastAsia="方正仿宋_GBK" w:cs="Times New Roman"/>
          <w:sz w:val="32"/>
          <w:szCs w:val="32"/>
          <w:lang w:val="en" w:eastAsia="zh-CN"/>
        </w:rPr>
        <w:t>≥</w:t>
      </w:r>
      <w:r>
        <w:rPr>
          <w:rFonts w:hint="default" w:ascii="Times New Roman" w:hAnsi="Times New Roman" w:eastAsia="方正仿宋_GBK" w:cs="Times New Roman"/>
          <w:sz w:val="32"/>
          <w:szCs w:val="32"/>
          <w:lang w:val="en-US" w:eastAsia="zh-CN"/>
        </w:rPr>
        <w:t>0.27万人，</w:t>
      </w:r>
      <w:r>
        <w:rPr>
          <w:rFonts w:hint="default" w:ascii="Times New Roman" w:hAnsi="Times New Roman" w:eastAsia="方正仿宋_GBK" w:cs="Times New Roman"/>
          <w:sz w:val="32"/>
          <w:szCs w:val="32"/>
          <w:lang w:val="en" w:eastAsia="zh-CN"/>
        </w:rPr>
        <w:t>资金拨付及时率≥90%，对象满意度≥90%</w:t>
      </w:r>
      <w:r>
        <w:rPr>
          <w:rFonts w:hint="default" w:ascii="Times New Roman" w:hAnsi="Times New Roman" w:eastAsia="方正仿宋_GBK" w:cs="Times New Roman"/>
          <w:sz w:val="32"/>
          <w:szCs w:val="32"/>
          <w:lang w:val="en-US" w:eastAsia="zh-CN"/>
        </w:rPr>
        <w:t>。</w:t>
      </w:r>
    </w:p>
    <w:p w14:paraId="7E35201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2.残疾人两项补贴。残疾人两项补贴项目整体目标：解决残疾人特殊生活困难和长期照护困难，保障残疾人生存发展权益。享受困难残疾生活补贴人数</w:t>
      </w:r>
      <w:r>
        <w:rPr>
          <w:rFonts w:hint="default" w:ascii="Times New Roman" w:hAnsi="Times New Roman" w:eastAsia="方正仿宋_GBK" w:cs="Times New Roman"/>
          <w:sz w:val="32"/>
          <w:szCs w:val="32"/>
          <w:lang w:val="en" w:eastAsia="zh-CN"/>
        </w:rPr>
        <w:t>≥</w:t>
      </w:r>
      <w:r>
        <w:rPr>
          <w:rFonts w:hint="default" w:ascii="Times New Roman" w:hAnsi="Times New Roman" w:eastAsia="方正仿宋_GBK" w:cs="Times New Roman"/>
          <w:sz w:val="32"/>
          <w:szCs w:val="32"/>
          <w:lang w:val="en-US" w:eastAsia="zh-CN"/>
        </w:rPr>
        <w:t>0.5万人，重度残疾人护理补贴人数</w:t>
      </w:r>
      <w:r>
        <w:rPr>
          <w:rFonts w:hint="default" w:ascii="Times New Roman" w:hAnsi="Times New Roman" w:eastAsia="方正仿宋_GBK" w:cs="Times New Roman"/>
          <w:sz w:val="32"/>
          <w:szCs w:val="32"/>
          <w:lang w:val="en" w:eastAsia="zh-CN"/>
        </w:rPr>
        <w:t>≥</w:t>
      </w:r>
      <w:r>
        <w:rPr>
          <w:rFonts w:hint="default" w:ascii="Times New Roman" w:hAnsi="Times New Roman" w:eastAsia="方正仿宋_GBK" w:cs="Times New Roman"/>
          <w:sz w:val="32"/>
          <w:szCs w:val="32"/>
          <w:lang w:val="en-US" w:eastAsia="zh-CN"/>
        </w:rPr>
        <w:t>0.9万人，</w:t>
      </w:r>
      <w:r>
        <w:rPr>
          <w:rFonts w:hint="default" w:ascii="Times New Roman" w:hAnsi="Times New Roman" w:eastAsia="方正仿宋_GBK" w:cs="Times New Roman"/>
          <w:sz w:val="32"/>
          <w:szCs w:val="32"/>
          <w:lang w:val="en" w:eastAsia="zh-CN"/>
        </w:rPr>
        <w:t>资金拨付及时率≥90%，对象满意度≥90%</w:t>
      </w:r>
      <w:r>
        <w:rPr>
          <w:rFonts w:hint="default" w:ascii="Times New Roman" w:hAnsi="Times New Roman" w:eastAsia="方正仿宋_GBK" w:cs="Times New Roman"/>
          <w:sz w:val="32"/>
          <w:szCs w:val="32"/>
          <w:lang w:val="en-US" w:eastAsia="zh-CN"/>
        </w:rPr>
        <w:t>。</w:t>
      </w:r>
    </w:p>
    <w:p w14:paraId="1059769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 w:eastAsia="zh-CN"/>
        </w:rPr>
      </w:pPr>
      <w:r>
        <w:rPr>
          <w:rFonts w:hint="default" w:ascii="Times New Roman" w:hAnsi="Times New Roman" w:eastAsia="方正仿宋_GBK" w:cs="Times New Roman"/>
          <w:sz w:val="32"/>
          <w:szCs w:val="32"/>
          <w:lang w:val="en-US" w:eastAsia="zh-CN"/>
        </w:rPr>
        <w:t>3.原襄渝铁路西段伤残民兵民工专项。</w:t>
      </w:r>
      <w:r>
        <w:rPr>
          <w:rFonts w:hint="default" w:ascii="Times New Roman" w:hAnsi="Times New Roman" w:eastAsia="方正仿宋_GBK" w:cs="Times New Roman"/>
          <w:sz w:val="32"/>
          <w:szCs w:val="32"/>
          <w:lang w:val="zh-CN" w:eastAsia="zh-CN"/>
        </w:rPr>
        <w:t>保障襄渝铁路西段伤残民兵民工及遗属的基本生活</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 w:eastAsia="zh-CN"/>
        </w:rPr>
        <w:tab/>
      </w:r>
      <w:r>
        <w:rPr>
          <w:rFonts w:hint="default" w:ascii="Times New Roman" w:hAnsi="Times New Roman" w:eastAsia="方正仿宋_GBK" w:cs="Times New Roman"/>
          <w:sz w:val="32"/>
          <w:szCs w:val="32"/>
          <w:lang w:val="en" w:eastAsia="zh-CN"/>
        </w:rPr>
        <w:t>按省级制定标准发放襄渝铁路西段伤残民兵民工人数≥</w:t>
      </w:r>
      <w:r>
        <w:rPr>
          <w:rFonts w:hint="default" w:ascii="Times New Roman" w:hAnsi="Times New Roman" w:eastAsia="方正仿宋_GBK" w:cs="Times New Roman"/>
          <w:sz w:val="32"/>
          <w:szCs w:val="32"/>
          <w:lang w:val="en-US" w:eastAsia="zh-CN"/>
        </w:rPr>
        <w:t>2人</w:t>
      </w:r>
      <w:r>
        <w:rPr>
          <w:rFonts w:hint="default" w:ascii="Times New Roman" w:hAnsi="Times New Roman" w:eastAsia="方正仿宋_GBK" w:cs="Times New Roman"/>
          <w:sz w:val="32"/>
          <w:szCs w:val="32"/>
          <w:lang w:val="en" w:eastAsia="zh-CN"/>
        </w:rPr>
        <w:t>，资金拨付及时率≥90%，受助人员基本生活有效改善，符合条件的受助对象幸福感显著增强，对象满意度≥90%。</w:t>
      </w:r>
    </w:p>
    <w:p w14:paraId="309927B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4.精减退职职工专项。</w:t>
      </w:r>
      <w:r>
        <w:rPr>
          <w:rFonts w:hint="default" w:ascii="Times New Roman" w:hAnsi="Times New Roman" w:eastAsia="方正仿宋_GBK" w:cs="Times New Roman"/>
          <w:sz w:val="32"/>
          <w:szCs w:val="32"/>
          <w:lang w:val="en" w:eastAsia="zh-CN"/>
        </w:rPr>
        <w:t>保障精减退职职工基本生活，享受精减退职补助人数≥</w:t>
      </w:r>
      <w:r>
        <w:rPr>
          <w:rFonts w:hint="default" w:ascii="Times New Roman" w:hAnsi="Times New Roman" w:eastAsia="方正仿宋_GBK" w:cs="Times New Roman"/>
          <w:sz w:val="32"/>
          <w:szCs w:val="32"/>
          <w:lang w:val="en-US" w:eastAsia="zh-CN"/>
        </w:rPr>
        <w:t>15人，</w:t>
      </w:r>
      <w:r>
        <w:rPr>
          <w:rFonts w:hint="default" w:ascii="Times New Roman" w:hAnsi="Times New Roman" w:eastAsia="方正仿宋_GBK" w:cs="Times New Roman"/>
          <w:sz w:val="32"/>
          <w:szCs w:val="32"/>
          <w:lang w:val="en" w:eastAsia="zh-CN"/>
        </w:rPr>
        <w:t>资金拨付及时率≥90%，对象满意度≥90%</w:t>
      </w:r>
      <w:r>
        <w:rPr>
          <w:rFonts w:hint="default" w:ascii="Times New Roman" w:hAnsi="Times New Roman" w:eastAsia="方正仿宋_GBK" w:cs="Times New Roman"/>
          <w:sz w:val="32"/>
          <w:szCs w:val="32"/>
          <w:lang w:val="en-US" w:eastAsia="zh-CN"/>
        </w:rPr>
        <w:t>。</w:t>
      </w:r>
    </w:p>
    <w:p w14:paraId="53B6A033">
      <w:pPr>
        <w:pStyle w:val="5"/>
        <w:keepNext w:val="0"/>
        <w:keepLines w:val="0"/>
        <w:pageBreakBefore w:val="0"/>
        <w:numPr>
          <w:ilvl w:val="0"/>
          <w:numId w:val="0"/>
        </w:numPr>
        <w:tabs>
          <w:tab w:val="left" w:pos="2160"/>
        </w:tabs>
        <w:kinsoku/>
        <w:wordWrap/>
        <w:overflowPunct/>
        <w:topLinePunct w:val="0"/>
        <w:autoSpaceDE/>
        <w:autoSpaceDN/>
        <w:bidi w:val="0"/>
        <w:adjustRightInd/>
        <w:snapToGrid/>
        <w:spacing w:line="560" w:lineRule="exact"/>
        <w:ind w:left="0" w:leftChars="0" w:firstLine="608" w:firstLineChars="200"/>
        <w:jc w:val="both"/>
        <w:textAlignment w:val="auto"/>
        <w:rPr>
          <w:rFonts w:hint="default" w:ascii="Times New Roman" w:hAnsi="Times New Roman" w:eastAsia="方正黑体_GBK" w:cs="Times New Roman"/>
          <w:color w:val="000000"/>
          <w:spacing w:val="-8"/>
          <w:kern w:val="2"/>
          <w:position w:val="0"/>
          <w:sz w:val="32"/>
          <w:szCs w:val="32"/>
          <w:lang w:val="zh-CN" w:eastAsia="zh-CN" w:bidi="ar-SA"/>
        </w:rPr>
      </w:pPr>
      <w:r>
        <w:rPr>
          <w:rFonts w:hint="default" w:ascii="Times New Roman" w:hAnsi="Times New Roman" w:eastAsia="方正黑体_GBK" w:cs="Times New Roman"/>
          <w:color w:val="000000"/>
          <w:spacing w:val="-8"/>
          <w:kern w:val="2"/>
          <w:position w:val="0"/>
          <w:sz w:val="32"/>
          <w:szCs w:val="32"/>
          <w:lang w:val="zh-CN" w:eastAsia="zh-CN" w:bidi="ar-SA"/>
        </w:rPr>
        <w:t>二、评价实施</w:t>
      </w:r>
    </w:p>
    <w:p w14:paraId="1707E7B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楷体_GBK" w:cs="Times New Roman"/>
          <w:b/>
          <w:sz w:val="32"/>
          <w:szCs w:val="32"/>
          <w:lang w:val="zh-CN" w:eastAsia="zh-CN"/>
        </w:rPr>
        <w:t>（一）评价目的。</w:t>
      </w:r>
      <w:r>
        <w:rPr>
          <w:rFonts w:hint="default" w:ascii="Times New Roman" w:hAnsi="Times New Roman" w:eastAsia="方正仿宋_GBK" w:cs="Times New Roman"/>
          <w:sz w:val="32"/>
          <w:szCs w:val="32"/>
          <w:lang w:val="zh-CN" w:eastAsia="zh-CN"/>
        </w:rPr>
        <w:t>通过本次绩效自评，全面掌握政策执行和资金使用情况，依据相关政策规定和绩效管理要求等客观反映财政资金投入产出和社会效益，全面掌握社会救助救济补贴项目资金使用的合规性、项目实施进度、绩效目标完成情况，推动项目资金使用效益最大化。实现补贴资金发放精准有效‌，残疾人两项补贴、襄渝铁路西段伤残民兵民工、精减退职职工</w:t>
      </w:r>
      <w:r>
        <w:rPr>
          <w:rFonts w:hint="default" w:ascii="Times New Roman" w:hAnsi="Times New Roman" w:eastAsia="方正仿宋_GBK" w:cs="Times New Roman"/>
          <w:sz w:val="32"/>
          <w:szCs w:val="32"/>
          <w:lang w:val="en" w:eastAsia="zh-CN"/>
        </w:rPr>
        <w:t>基本生活有效改善，幸福感显著增强。</w:t>
      </w:r>
    </w:p>
    <w:p w14:paraId="5DBDB58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楷体_GB2312" w:cs="Times New Roman"/>
          <w:b/>
          <w:color w:val="auto"/>
          <w:sz w:val="32"/>
          <w:szCs w:val="32"/>
          <w:highlight w:val="none"/>
          <w:u w:val="none"/>
          <w:lang w:val="zh-CN"/>
        </w:rPr>
        <w:t>（二）预设问题及评价重点</w:t>
      </w:r>
    </w:p>
    <w:p w14:paraId="1A726B6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 w:eastAsia="zh-CN"/>
        </w:rPr>
      </w:pPr>
      <w:r>
        <w:rPr>
          <w:rFonts w:hint="default" w:ascii="Times New Roman" w:hAnsi="Times New Roman" w:eastAsia="方正仿宋_GBK" w:cs="Times New Roman"/>
          <w:sz w:val="32"/>
          <w:szCs w:val="32"/>
          <w:lang w:val="en" w:eastAsia="zh-CN"/>
        </w:rPr>
        <w:t>预设问题主要包括：</w:t>
      </w:r>
      <w:r>
        <w:rPr>
          <w:rFonts w:hint="default" w:ascii="Times New Roman" w:hAnsi="Times New Roman" w:eastAsia="方正仿宋_GBK" w:cs="Times New Roman"/>
          <w:sz w:val="32"/>
          <w:szCs w:val="32"/>
          <w:lang w:val="zh-CN" w:eastAsia="zh-CN"/>
        </w:rPr>
        <w:t>项目实施是否符合规划要求，进度是否达标；绩效目标是否科学，完成情况是否理想；</w:t>
      </w:r>
      <w:r>
        <w:rPr>
          <w:rFonts w:hint="default" w:ascii="Times New Roman" w:hAnsi="Times New Roman" w:eastAsia="方正仿宋_GBK" w:cs="Times New Roman"/>
          <w:sz w:val="32"/>
          <w:szCs w:val="32"/>
          <w:lang w:val="en" w:eastAsia="zh-CN"/>
        </w:rPr>
        <w:t>资金分配是否精准合规、资金发放是否及时足额、服务对象满意度是否达标等。</w:t>
      </w:r>
    </w:p>
    <w:p w14:paraId="1F93284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 w:eastAsia="zh-CN"/>
        </w:rPr>
        <w:t>评价重点：评价重点围绕绩效评价指标体系，对资金支出使用全过程及实施效果进行综合判断。重点关注预算执行的规范性、补助发放的时效性、群众反馈的满意度等。</w:t>
      </w:r>
    </w:p>
    <w:p w14:paraId="68EE6351">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评价选点</w:t>
      </w:r>
    </w:p>
    <w:p w14:paraId="5987F3A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zh-CN" w:eastAsia="zh-CN"/>
        </w:rPr>
        <w:t>项目绩效自评所抽样点位情况。每个专项预算项目</w:t>
      </w:r>
      <w:r>
        <w:rPr>
          <w:rFonts w:hint="default" w:ascii="Times New Roman" w:hAnsi="Times New Roman" w:eastAsia="方正仿宋_GBK" w:cs="Times New Roman"/>
          <w:sz w:val="32"/>
          <w:szCs w:val="32"/>
          <w:lang w:val="en-US" w:eastAsia="zh-CN"/>
        </w:rPr>
        <w:t>应选取专项资金分配涉及市县总数的20%、总计不超过20个的市县点位进行实地踏勘，且点位清单应作为自评附表。</w:t>
      </w:r>
    </w:p>
    <w:p w14:paraId="3C70047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en-US" w:eastAsia="zh-CN"/>
        </w:rPr>
        <w:t>1.绿色惠民殡葬补贴。</w:t>
      </w:r>
      <w:r>
        <w:rPr>
          <w:rFonts w:hint="default" w:ascii="Times New Roman" w:hAnsi="Times New Roman" w:eastAsia="方正仿宋_GBK" w:cs="Times New Roman"/>
          <w:sz w:val="32"/>
          <w:szCs w:val="32"/>
        </w:rPr>
        <w:t>按照“覆盖全面、重点突出”原则，本次共选取</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个点位</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选取专项资金分配涉及的</w:t>
      </w:r>
      <w:r>
        <w:rPr>
          <w:rFonts w:hint="default" w:ascii="Times New Roman" w:hAnsi="Times New Roman" w:eastAsia="方正仿宋_GBK" w:cs="Times New Roman"/>
          <w:sz w:val="32"/>
          <w:szCs w:val="32"/>
          <w:lang w:eastAsia="zh-CN"/>
        </w:rPr>
        <w:t>县（区）、市殡葬服务中心</w:t>
      </w:r>
      <w:r>
        <w:rPr>
          <w:rFonts w:hint="default" w:ascii="Times New Roman" w:hAnsi="Times New Roman" w:eastAsia="方正仿宋_GBK" w:cs="Times New Roman"/>
          <w:sz w:val="32"/>
          <w:szCs w:val="32"/>
        </w:rPr>
        <w:t>点位进行</w:t>
      </w:r>
      <w:r>
        <w:rPr>
          <w:rFonts w:hint="default" w:ascii="Times New Roman" w:hAnsi="Times New Roman" w:eastAsia="方正仿宋_GBK" w:cs="Times New Roman"/>
          <w:sz w:val="32"/>
          <w:szCs w:val="32"/>
          <w:lang w:eastAsia="zh-CN"/>
        </w:rPr>
        <w:t>实施评价</w:t>
      </w:r>
      <w:r>
        <w:rPr>
          <w:rFonts w:hint="default" w:ascii="Times New Roman" w:hAnsi="Times New Roman" w:eastAsia="方正仿宋_GBK" w:cs="Times New Roman"/>
          <w:sz w:val="32"/>
          <w:szCs w:val="32"/>
        </w:rPr>
        <w:t>。</w:t>
      </w:r>
    </w:p>
    <w:p w14:paraId="0120FFE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2.残疾人两项补贴。“覆盖全面、突出重点、兼顾代表性”的原则，</w:t>
      </w:r>
      <w:r>
        <w:rPr>
          <w:rFonts w:hint="default" w:ascii="Times New Roman" w:hAnsi="Times New Roman" w:eastAsia="方正仿宋_GBK" w:cs="Times New Roman"/>
          <w:sz w:val="32"/>
          <w:szCs w:val="32"/>
        </w:rPr>
        <w:t>本次共选取</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个点位</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覆盖全市5个县区围绕残疾人两项补贴，采取“全覆盖县区+实地勘察+座谈调研”的方式组织实施。</w:t>
      </w:r>
    </w:p>
    <w:p w14:paraId="2DCD860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3.原襄渝铁路西段伤残民兵民工专项。</w:t>
      </w:r>
      <w:r>
        <w:rPr>
          <w:rFonts w:hint="default" w:ascii="Times New Roman" w:hAnsi="Times New Roman" w:eastAsia="方正仿宋_GBK" w:cs="Times New Roman"/>
          <w:sz w:val="32"/>
          <w:szCs w:val="32"/>
          <w:lang w:val="zh-CN" w:eastAsia="zh-CN"/>
        </w:rPr>
        <w:t>评价选点为东区</w:t>
      </w:r>
      <w:r>
        <w:rPr>
          <w:rFonts w:hint="default" w:ascii="Times New Roman" w:hAnsi="Times New Roman" w:eastAsia="方正仿宋_GBK" w:cs="Times New Roman"/>
          <w:sz w:val="32"/>
          <w:szCs w:val="32"/>
          <w:lang w:val="en-US" w:eastAsia="zh-CN"/>
        </w:rPr>
        <w:t>1个点位</w:t>
      </w:r>
      <w:r>
        <w:rPr>
          <w:rFonts w:hint="default" w:ascii="Times New Roman" w:hAnsi="Times New Roman" w:eastAsia="方正仿宋_GBK" w:cs="Times New Roman"/>
          <w:sz w:val="32"/>
          <w:szCs w:val="32"/>
          <w:lang w:val="zh-CN" w:eastAsia="zh-CN"/>
        </w:rPr>
        <w:t>。</w:t>
      </w:r>
    </w:p>
    <w:p w14:paraId="74FA8A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4.精减退职职工专项。</w:t>
      </w:r>
      <w:r>
        <w:rPr>
          <w:rFonts w:hint="default" w:ascii="Times New Roman" w:hAnsi="Times New Roman" w:eastAsia="方正仿宋_GBK" w:cs="Times New Roman"/>
          <w:sz w:val="32"/>
          <w:szCs w:val="32"/>
          <w:lang w:val="zh-CN" w:eastAsia="zh-CN"/>
        </w:rPr>
        <w:t>评价选点为盐边县</w:t>
      </w:r>
      <w:r>
        <w:rPr>
          <w:rFonts w:hint="default" w:ascii="Times New Roman" w:hAnsi="Times New Roman" w:eastAsia="方正仿宋_GBK" w:cs="Times New Roman"/>
          <w:sz w:val="32"/>
          <w:szCs w:val="32"/>
          <w:lang w:val="en-US" w:eastAsia="zh-CN"/>
        </w:rPr>
        <w:t>1个点位</w:t>
      </w:r>
      <w:r>
        <w:rPr>
          <w:rFonts w:hint="default" w:ascii="Times New Roman" w:hAnsi="Times New Roman" w:eastAsia="方正仿宋_GBK" w:cs="Times New Roman"/>
          <w:sz w:val="32"/>
          <w:szCs w:val="32"/>
          <w:lang w:val="zh-CN" w:eastAsia="zh-CN"/>
        </w:rPr>
        <w:t>。</w:t>
      </w:r>
    </w:p>
    <w:p w14:paraId="0733C8C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楷体_GBK" w:cs="Times New Roman"/>
          <w:b/>
          <w:sz w:val="32"/>
          <w:szCs w:val="32"/>
          <w:lang w:val="zh-CN" w:eastAsia="zh-CN"/>
        </w:rPr>
        <w:t>（四）评价方法</w:t>
      </w:r>
    </w:p>
    <w:p w14:paraId="1629F60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1.绿色惠民殡葬项目。结合项目特点与评价重点，采用案卷研究法。主要查阅项目立项文件、预算批复、资金拨付凭证、合同协议、验收资料等案卷，核查项目决策与管理规范性。</w:t>
      </w:r>
    </w:p>
    <w:p w14:paraId="3A83071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2.残疾人两项补贴。对各县区涉及的相关点位开展实地考察与核查，重点查看政策落实、对象认定（建档）、服务供给、资金拨付与发放（支付）、台账资料归集、信息系统录入、公开公示及监督管理等情况。</w:t>
      </w:r>
    </w:p>
    <w:p w14:paraId="6E6EB3D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 w:eastAsia="zh-CN"/>
        </w:rPr>
      </w:pPr>
      <w:r>
        <w:rPr>
          <w:rFonts w:hint="default" w:ascii="Times New Roman" w:hAnsi="Times New Roman" w:eastAsia="方正仿宋_GBK" w:cs="Times New Roman"/>
          <w:sz w:val="32"/>
          <w:szCs w:val="32"/>
          <w:lang w:val="en-US" w:eastAsia="zh-CN"/>
        </w:rPr>
        <w:t>3.原襄渝铁路西段伤残民兵民工补助。</w:t>
      </w:r>
      <w:r>
        <w:rPr>
          <w:rFonts w:hint="default" w:ascii="Times New Roman" w:hAnsi="Times New Roman" w:eastAsia="方正仿宋_GBK" w:cs="Times New Roman"/>
          <w:sz w:val="32"/>
          <w:szCs w:val="32"/>
          <w:lang w:val="zh-CN" w:eastAsia="zh-CN"/>
        </w:rPr>
        <w:t>主要为</w:t>
      </w:r>
      <w:r>
        <w:rPr>
          <w:rFonts w:hint="default" w:ascii="Times New Roman" w:hAnsi="Times New Roman" w:eastAsia="方正仿宋_GBK" w:cs="Times New Roman"/>
          <w:sz w:val="32"/>
          <w:szCs w:val="32"/>
          <w:lang w:val="en" w:eastAsia="zh-CN"/>
        </w:rPr>
        <w:t>单位自评法、案卷研究法，查阅政策文件、资金拨付凭证等相关档案。</w:t>
      </w:r>
    </w:p>
    <w:p w14:paraId="38CB639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lang w:eastAsia="zh-CN"/>
        </w:rPr>
      </w:pPr>
      <w:r>
        <w:rPr>
          <w:rFonts w:hint="default" w:ascii="Times New Roman" w:hAnsi="Times New Roman" w:eastAsia="方正仿宋_GBK" w:cs="Times New Roman"/>
          <w:sz w:val="32"/>
          <w:szCs w:val="32"/>
          <w:lang w:val="en-US" w:eastAsia="zh-CN"/>
        </w:rPr>
        <w:t>4.精减退职职工补助。</w:t>
      </w:r>
      <w:r>
        <w:rPr>
          <w:rFonts w:hint="default" w:ascii="Times New Roman" w:hAnsi="Times New Roman" w:eastAsia="方正仿宋_GBK" w:cs="Times New Roman"/>
          <w:sz w:val="32"/>
          <w:szCs w:val="32"/>
          <w:lang w:val="zh-CN" w:eastAsia="zh-CN"/>
        </w:rPr>
        <w:t>主要为</w:t>
      </w:r>
      <w:r>
        <w:rPr>
          <w:rFonts w:hint="default" w:ascii="Times New Roman" w:hAnsi="Times New Roman" w:eastAsia="方正仿宋_GBK" w:cs="Times New Roman"/>
          <w:sz w:val="32"/>
          <w:szCs w:val="32"/>
          <w:lang w:val="en" w:eastAsia="zh-CN"/>
        </w:rPr>
        <w:t>单位自评法、案卷研究法，查阅政策文件、资金拨付凭证等相关档案。</w:t>
      </w:r>
    </w:p>
    <w:p w14:paraId="2F0632B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sz w:val="32"/>
          <w:szCs w:val="32"/>
          <w:lang w:val="en" w:eastAsia="zh-CN"/>
        </w:rPr>
      </w:pPr>
      <w:r>
        <w:rPr>
          <w:rFonts w:hint="default" w:ascii="Times New Roman" w:hAnsi="Times New Roman" w:eastAsia="方正楷体_GBK" w:cs="Times New Roman"/>
          <w:b/>
          <w:sz w:val="32"/>
          <w:szCs w:val="32"/>
          <w:lang w:val="zh-CN" w:eastAsia="zh-CN"/>
        </w:rPr>
        <w:t>（五）评价组织</w:t>
      </w:r>
    </w:p>
    <w:p w14:paraId="59B77BA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bCs/>
          <w:kern w:val="2"/>
          <w:sz w:val="32"/>
          <w:szCs w:val="32"/>
          <w:lang w:val="en" w:eastAsia="zh-CN" w:bidi="ar-SA"/>
        </w:rPr>
      </w:pPr>
      <w:r>
        <w:rPr>
          <w:rFonts w:hint="default" w:ascii="Times New Roman" w:hAnsi="Times New Roman" w:eastAsia="方正仿宋_GBK" w:cs="Times New Roman"/>
          <w:b/>
          <w:bCs/>
          <w:kern w:val="2"/>
          <w:sz w:val="32"/>
          <w:szCs w:val="32"/>
          <w:lang w:val="en-US" w:eastAsia="zh-CN" w:bidi="ar-SA"/>
        </w:rPr>
        <w:t>1.</w:t>
      </w:r>
      <w:r>
        <w:rPr>
          <w:rFonts w:hint="default" w:ascii="Times New Roman" w:hAnsi="Times New Roman" w:eastAsia="方正仿宋_GBK" w:cs="Times New Roman"/>
          <w:b/>
          <w:bCs/>
          <w:sz w:val="32"/>
          <w:szCs w:val="32"/>
          <w:lang w:val="en-US" w:eastAsia="zh-CN"/>
        </w:rPr>
        <w:t>绿色惠民殡葬</w:t>
      </w:r>
      <w:r>
        <w:rPr>
          <w:rFonts w:hint="default" w:ascii="Times New Roman" w:hAnsi="Times New Roman" w:eastAsia="方正仿宋_GBK" w:cs="Times New Roman"/>
          <w:b/>
          <w:bCs/>
          <w:kern w:val="2"/>
          <w:sz w:val="32"/>
          <w:szCs w:val="32"/>
          <w:lang w:val="en" w:eastAsia="zh-CN" w:bidi="ar-SA"/>
        </w:rPr>
        <w:t>评价小组成员。</w:t>
      </w:r>
    </w:p>
    <w:p w14:paraId="7389FA7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 w:eastAsia="zh-CN"/>
        </w:rPr>
      </w:pPr>
      <w:r>
        <w:rPr>
          <w:rFonts w:hint="default" w:ascii="Times New Roman" w:hAnsi="Times New Roman" w:eastAsia="方正仿宋_GBK" w:cs="Times New Roman"/>
          <w:sz w:val="32"/>
          <w:szCs w:val="32"/>
          <w:lang w:val="en" w:eastAsia="zh-CN"/>
        </w:rPr>
        <w:t>崔测东：攀枝花市民政局党组成员、副局长（绿色惠民殡葬项目分管局领导）</w:t>
      </w:r>
    </w:p>
    <w:p w14:paraId="6B465E0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 w:eastAsia="zh-CN"/>
        </w:rPr>
      </w:pPr>
      <w:r>
        <w:rPr>
          <w:rFonts w:hint="default" w:ascii="Times New Roman" w:hAnsi="Times New Roman" w:eastAsia="方正仿宋_GBK" w:cs="Times New Roman"/>
          <w:sz w:val="32"/>
          <w:szCs w:val="32"/>
          <w:lang w:val="en" w:eastAsia="zh-CN"/>
        </w:rPr>
        <w:t>朱跃红：攀枝花市民政局规划财务（政策法规与行政审批科）科科长（绩效评价负责人）</w:t>
      </w:r>
    </w:p>
    <w:p w14:paraId="41AF336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 w:eastAsia="zh-CN"/>
        </w:rPr>
      </w:pPr>
      <w:r>
        <w:rPr>
          <w:rFonts w:hint="default" w:ascii="Times New Roman" w:hAnsi="Times New Roman" w:eastAsia="方正仿宋_GBK" w:cs="Times New Roman"/>
          <w:sz w:val="32"/>
          <w:szCs w:val="32"/>
          <w:lang w:val="en" w:eastAsia="zh-CN"/>
        </w:rPr>
        <w:t>邓永：攀枝花市民政局社会事务科（区划地名科）副科长（绿色惠民殡葬项目负责人）</w:t>
      </w:r>
    </w:p>
    <w:p w14:paraId="79B6E2C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lang w:val="en" w:eastAsia="zh-CN"/>
        </w:rPr>
      </w:pPr>
      <w:r>
        <w:rPr>
          <w:rFonts w:hint="default" w:ascii="Times New Roman" w:hAnsi="Times New Roman" w:eastAsia="方正仿宋_GBK" w:cs="Times New Roman"/>
          <w:sz w:val="32"/>
          <w:szCs w:val="32"/>
          <w:lang w:val="en" w:eastAsia="zh-CN"/>
        </w:rPr>
        <w:t>罗琳：攀枝花市规划财务科（政策法规与行政审批科）会计</w:t>
      </w:r>
    </w:p>
    <w:p w14:paraId="7326654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cs="Times New Roman"/>
          <w:lang w:val="en" w:eastAsia="zh-CN"/>
        </w:rPr>
      </w:pPr>
      <w:r>
        <w:rPr>
          <w:rFonts w:hint="default" w:ascii="Times New Roman" w:hAnsi="Times New Roman" w:eastAsia="方正仿宋_GBK" w:cs="Times New Roman"/>
          <w:b/>
          <w:bCs/>
          <w:kern w:val="2"/>
          <w:sz w:val="32"/>
          <w:szCs w:val="32"/>
          <w:lang w:val="en-US" w:eastAsia="zh-CN" w:bidi="ar-SA"/>
        </w:rPr>
        <w:t>2.</w:t>
      </w:r>
      <w:r>
        <w:rPr>
          <w:rFonts w:hint="default" w:ascii="Times New Roman" w:hAnsi="Times New Roman" w:eastAsia="方正仿宋_GBK" w:cs="Times New Roman"/>
          <w:b/>
          <w:bCs/>
          <w:sz w:val="32"/>
          <w:szCs w:val="32"/>
          <w:lang w:val="en-US" w:eastAsia="zh-CN"/>
        </w:rPr>
        <w:t>残疾人两项补贴</w:t>
      </w:r>
      <w:r>
        <w:rPr>
          <w:rFonts w:hint="default" w:ascii="Times New Roman" w:hAnsi="Times New Roman" w:eastAsia="方正仿宋_GBK" w:cs="Times New Roman"/>
          <w:b/>
          <w:bCs/>
          <w:kern w:val="2"/>
          <w:sz w:val="32"/>
          <w:szCs w:val="32"/>
          <w:lang w:val="en" w:eastAsia="zh-CN" w:bidi="ar-SA"/>
        </w:rPr>
        <w:t>评价小组成员。</w:t>
      </w:r>
    </w:p>
    <w:p w14:paraId="1A1E43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 w:eastAsia="zh-CN"/>
        </w:rPr>
      </w:pPr>
      <w:r>
        <w:rPr>
          <w:rFonts w:hint="default" w:ascii="Times New Roman" w:hAnsi="Times New Roman" w:eastAsia="方正仿宋_GBK" w:cs="Times New Roman"/>
          <w:sz w:val="32"/>
          <w:szCs w:val="32"/>
          <w:lang w:val="en" w:eastAsia="zh-CN"/>
        </w:rPr>
        <w:t>刘高华：攀枝花市民政局党组成员、副局长（绩效评价分管局领导、残疾人“两补”项目分管局领导）</w:t>
      </w:r>
    </w:p>
    <w:p w14:paraId="1C411A1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 w:eastAsia="zh-CN"/>
        </w:rPr>
      </w:pPr>
      <w:r>
        <w:rPr>
          <w:rFonts w:hint="default" w:ascii="Times New Roman" w:hAnsi="Times New Roman" w:eastAsia="方正仿宋_GBK" w:cs="Times New Roman"/>
          <w:sz w:val="32"/>
          <w:szCs w:val="32"/>
          <w:lang w:val="en" w:eastAsia="zh-CN"/>
        </w:rPr>
        <w:t>朱跃红：攀枝花市民政局规划财务（政策法规与行政审批科）科科长（绩效评价负责人）</w:t>
      </w:r>
    </w:p>
    <w:p w14:paraId="1D8CFCE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 w:eastAsia="zh-CN"/>
        </w:rPr>
      </w:pPr>
      <w:r>
        <w:rPr>
          <w:rFonts w:hint="default" w:ascii="Times New Roman" w:hAnsi="Times New Roman" w:eastAsia="方正仿宋_GBK" w:cs="Times New Roman"/>
          <w:sz w:val="32"/>
          <w:szCs w:val="32"/>
          <w:lang w:val="en" w:eastAsia="zh-CN"/>
        </w:rPr>
        <w:t>张双：攀枝花市民政局社会福利科（儿童保障科）科长（残疾人“两补”项目负责人）</w:t>
      </w:r>
    </w:p>
    <w:p w14:paraId="5F39465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lang w:val="en" w:eastAsia="zh-CN"/>
        </w:rPr>
      </w:pPr>
      <w:r>
        <w:rPr>
          <w:rFonts w:hint="default" w:ascii="Times New Roman" w:hAnsi="Times New Roman" w:eastAsia="方正仿宋_GBK" w:cs="Times New Roman"/>
          <w:sz w:val="32"/>
          <w:szCs w:val="32"/>
          <w:lang w:val="en" w:eastAsia="zh-CN"/>
        </w:rPr>
        <w:t>罗琳：攀枝花市规划财务科（政策法规与行政审批科）会计</w:t>
      </w:r>
    </w:p>
    <w:p w14:paraId="5F7F785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cs="Times New Roman"/>
          <w:lang w:val="en" w:eastAsia="zh-CN"/>
        </w:rPr>
      </w:pPr>
      <w:r>
        <w:rPr>
          <w:rFonts w:hint="default" w:ascii="Times New Roman" w:hAnsi="Times New Roman" w:eastAsia="方正仿宋_GBK" w:cs="Times New Roman"/>
          <w:b/>
          <w:bCs/>
          <w:kern w:val="2"/>
          <w:sz w:val="32"/>
          <w:szCs w:val="32"/>
          <w:lang w:val="en-US" w:eastAsia="zh-CN" w:bidi="ar-SA"/>
        </w:rPr>
        <w:t>3.</w:t>
      </w:r>
      <w:r>
        <w:rPr>
          <w:rFonts w:hint="default" w:ascii="Times New Roman" w:hAnsi="Times New Roman" w:eastAsia="方正仿宋_GBK" w:cs="Times New Roman"/>
          <w:b/>
          <w:bCs/>
          <w:sz w:val="32"/>
          <w:szCs w:val="32"/>
          <w:lang w:val="en-US" w:eastAsia="zh-CN"/>
        </w:rPr>
        <w:t>原襄渝铁路西段伤残民兵民工、精减退职职工补助</w:t>
      </w:r>
      <w:r>
        <w:rPr>
          <w:rFonts w:hint="default" w:ascii="Times New Roman" w:hAnsi="Times New Roman" w:eastAsia="方正仿宋_GBK" w:cs="Times New Roman"/>
          <w:b/>
          <w:bCs/>
          <w:kern w:val="2"/>
          <w:sz w:val="32"/>
          <w:szCs w:val="32"/>
          <w:lang w:val="en" w:eastAsia="zh-CN" w:bidi="ar-SA"/>
        </w:rPr>
        <w:t>评价小组成员。</w:t>
      </w:r>
    </w:p>
    <w:p w14:paraId="45186B1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lang w:val="en" w:eastAsia="zh-CN"/>
        </w:rPr>
      </w:pPr>
      <w:r>
        <w:rPr>
          <w:rFonts w:hint="default" w:ascii="Times New Roman" w:hAnsi="Times New Roman" w:eastAsia="方正仿宋_GBK" w:cs="Times New Roman"/>
          <w:sz w:val="32"/>
          <w:szCs w:val="32"/>
          <w:lang w:val="en" w:eastAsia="zh-CN"/>
        </w:rPr>
        <w:t>曹永军：攀枝花市民政局党组成员、副局长（</w:t>
      </w:r>
      <w:r>
        <w:rPr>
          <w:rFonts w:hint="default" w:ascii="Times New Roman" w:hAnsi="Times New Roman" w:eastAsia="方正仿宋_GBK" w:cs="Times New Roman"/>
          <w:sz w:val="32"/>
          <w:szCs w:val="32"/>
          <w:lang w:val="en-US" w:eastAsia="zh-CN"/>
        </w:rPr>
        <w:t>襄渝铁路西段伤残民兵民工、精减退职职工补助</w:t>
      </w:r>
      <w:r>
        <w:rPr>
          <w:rFonts w:hint="default" w:ascii="Times New Roman" w:hAnsi="Times New Roman" w:eastAsia="方正仿宋_GBK" w:cs="Times New Roman"/>
          <w:sz w:val="32"/>
          <w:szCs w:val="32"/>
          <w:lang w:val="en" w:eastAsia="zh-CN"/>
        </w:rPr>
        <w:t>项目分管局领导）</w:t>
      </w:r>
    </w:p>
    <w:p w14:paraId="48F494D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 w:eastAsia="zh-CN"/>
        </w:rPr>
      </w:pPr>
      <w:r>
        <w:rPr>
          <w:rFonts w:hint="default" w:ascii="Times New Roman" w:hAnsi="Times New Roman" w:eastAsia="方正仿宋_GBK" w:cs="Times New Roman"/>
          <w:sz w:val="32"/>
          <w:szCs w:val="32"/>
          <w:lang w:val="en" w:eastAsia="zh-CN"/>
        </w:rPr>
        <w:t>朱跃红：攀枝花市民政局规划财务（政策法规与行政审批科）科科长（绩效评价负责人）</w:t>
      </w:r>
    </w:p>
    <w:p w14:paraId="106AA13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 w:eastAsia="zh-CN"/>
        </w:rPr>
      </w:pPr>
      <w:r>
        <w:rPr>
          <w:rFonts w:hint="default" w:ascii="Times New Roman" w:hAnsi="Times New Roman" w:eastAsia="方正仿宋_GBK" w:cs="Times New Roman"/>
          <w:sz w:val="32"/>
          <w:szCs w:val="32"/>
          <w:lang w:val="en" w:eastAsia="zh-CN"/>
        </w:rPr>
        <w:t>李双岑：攀枝花市民政局社会救助科科长（</w:t>
      </w:r>
      <w:r>
        <w:rPr>
          <w:rFonts w:hint="default" w:ascii="Times New Roman" w:hAnsi="Times New Roman" w:eastAsia="方正仿宋_GBK" w:cs="Times New Roman"/>
          <w:sz w:val="32"/>
          <w:szCs w:val="32"/>
          <w:lang w:val="en-US" w:eastAsia="zh-CN"/>
        </w:rPr>
        <w:t>襄渝铁路西段伤残民兵民工、精减退职职工补助</w:t>
      </w:r>
      <w:r>
        <w:rPr>
          <w:rFonts w:hint="default" w:ascii="Times New Roman" w:hAnsi="Times New Roman" w:eastAsia="方正仿宋_GBK" w:cs="Times New Roman"/>
          <w:sz w:val="32"/>
          <w:szCs w:val="32"/>
          <w:lang w:val="en" w:eastAsia="zh-CN"/>
        </w:rPr>
        <w:t>项目负责人）</w:t>
      </w:r>
    </w:p>
    <w:p w14:paraId="70F189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lang w:val="en" w:eastAsia="zh-CN"/>
        </w:rPr>
      </w:pPr>
      <w:r>
        <w:rPr>
          <w:rFonts w:hint="default" w:ascii="Times New Roman" w:hAnsi="Times New Roman" w:eastAsia="方正仿宋_GBK" w:cs="Times New Roman"/>
          <w:sz w:val="32"/>
          <w:szCs w:val="32"/>
          <w:lang w:val="en" w:eastAsia="zh-CN"/>
        </w:rPr>
        <w:t>罗琳：攀枝花市规划财务科（政策法规与行政审批科）会计</w:t>
      </w:r>
    </w:p>
    <w:p w14:paraId="50C9963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sz w:val="32"/>
          <w:szCs w:val="32"/>
          <w:lang w:val="en" w:eastAsia="zh-CN"/>
        </w:rPr>
      </w:pPr>
      <w:r>
        <w:rPr>
          <w:rFonts w:hint="default" w:ascii="Times New Roman" w:hAnsi="Times New Roman" w:eastAsia="方正仿宋_GBK" w:cs="Times New Roman"/>
          <w:b/>
          <w:bCs/>
          <w:kern w:val="2"/>
          <w:sz w:val="32"/>
          <w:szCs w:val="32"/>
          <w:lang w:val="en-US" w:eastAsia="zh-CN" w:bidi="ar-SA"/>
        </w:rPr>
        <w:t xml:space="preserve">    4.评价组分工。</w:t>
      </w:r>
    </w:p>
    <w:p w14:paraId="1132C33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sz w:val="32"/>
          <w:szCs w:val="32"/>
          <w:lang w:val="en" w:eastAsia="zh-CN"/>
        </w:rPr>
      </w:pPr>
      <w:r>
        <w:rPr>
          <w:rFonts w:hint="default" w:ascii="Times New Roman" w:hAnsi="Times New Roman" w:eastAsia="方正仿宋_GBK" w:cs="Times New Roman"/>
          <w:b/>
          <w:bCs/>
          <w:kern w:val="2"/>
          <w:sz w:val="32"/>
          <w:szCs w:val="32"/>
          <w:lang w:val="en-US" w:eastAsia="zh-CN" w:bidi="ar-SA"/>
        </w:rPr>
        <w:t xml:space="preserve">    </w:t>
      </w:r>
      <w:r>
        <w:rPr>
          <w:rFonts w:hint="default" w:ascii="Times New Roman" w:hAnsi="Times New Roman" w:eastAsia="方正仿宋_GBK" w:cs="Times New Roman"/>
          <w:sz w:val="32"/>
          <w:szCs w:val="32"/>
          <w:lang w:val="en" w:eastAsia="zh-CN"/>
        </w:rPr>
        <w:t xml:space="preserve">项目及绩效评价分管局领导：在对本次绩效评价充分理解的基础上与项目组成员共同商议设计实施方案、完善绩效评价体系、制定评价标准，负责绩效评价报告的编写，以及带领项目组成员进行具体的绩效评价工作。 </w:t>
      </w:r>
    </w:p>
    <w:p w14:paraId="189798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 w:eastAsia="zh-CN"/>
        </w:rPr>
      </w:pPr>
      <w:r>
        <w:rPr>
          <w:rFonts w:hint="default" w:ascii="Times New Roman" w:hAnsi="Times New Roman" w:eastAsia="方正仿宋_GBK" w:cs="Times New Roman"/>
          <w:sz w:val="32"/>
          <w:szCs w:val="32"/>
          <w:lang w:val="en" w:eastAsia="zh-CN"/>
        </w:rPr>
        <w:t>评价组成员：负责相关资料的收集、分析、整理和归档；按照项目实施方法对财政资金使用单位提交的财务资料和具体业务资料进行审核、数据处理和分析，汇总整理形成底稿；进行实地调研和访谈并将结果进行梳理；及时将工作结果汇报项目负责人，完成项目负责人交代的其他事项。</w:t>
      </w:r>
    </w:p>
    <w:p w14:paraId="06FED5B9">
      <w:pPr>
        <w:pStyle w:val="5"/>
        <w:keepNext w:val="0"/>
        <w:keepLines w:val="0"/>
        <w:pageBreakBefore w:val="0"/>
        <w:numPr>
          <w:ilvl w:val="0"/>
          <w:numId w:val="0"/>
        </w:numPr>
        <w:tabs>
          <w:tab w:val="left" w:pos="2160"/>
        </w:tabs>
        <w:kinsoku/>
        <w:wordWrap/>
        <w:overflowPunct/>
        <w:topLinePunct w:val="0"/>
        <w:autoSpaceDE/>
        <w:autoSpaceDN/>
        <w:bidi w:val="0"/>
        <w:adjustRightInd/>
        <w:snapToGrid/>
        <w:spacing w:line="560" w:lineRule="exact"/>
        <w:ind w:left="0" w:leftChars="0" w:firstLine="608" w:firstLineChars="200"/>
        <w:jc w:val="both"/>
        <w:textAlignment w:val="auto"/>
        <w:rPr>
          <w:rFonts w:hint="default" w:ascii="Times New Roman" w:hAnsi="Times New Roman" w:eastAsia="方正黑体_GBK" w:cs="Times New Roman"/>
          <w:color w:val="000000"/>
          <w:spacing w:val="-8"/>
          <w:kern w:val="2"/>
          <w:position w:val="0"/>
          <w:sz w:val="32"/>
          <w:szCs w:val="32"/>
          <w:lang w:val="zh-CN" w:eastAsia="zh-CN" w:bidi="ar-SA"/>
        </w:rPr>
      </w:pPr>
      <w:r>
        <w:rPr>
          <w:rFonts w:hint="default" w:ascii="Times New Roman" w:hAnsi="Times New Roman" w:eastAsia="方正黑体_GBK" w:cs="Times New Roman"/>
          <w:color w:val="000000"/>
          <w:spacing w:val="-8"/>
          <w:kern w:val="2"/>
          <w:position w:val="0"/>
          <w:sz w:val="32"/>
          <w:szCs w:val="32"/>
          <w:lang w:val="zh-CN" w:eastAsia="zh-CN" w:bidi="ar-SA"/>
        </w:rPr>
        <w:t>三、绩效分析</w:t>
      </w:r>
      <w:r>
        <w:rPr>
          <w:rFonts w:hint="default" w:ascii="Times New Roman" w:hAnsi="Times New Roman" w:eastAsia="方正黑体_GBK" w:cs="Times New Roman"/>
          <w:color w:val="000000"/>
          <w:spacing w:val="-8"/>
          <w:kern w:val="2"/>
          <w:position w:val="0"/>
          <w:sz w:val="32"/>
          <w:szCs w:val="32"/>
          <w:lang w:val="zh-CN" w:eastAsia="zh-CN" w:bidi="ar-SA"/>
        </w:rPr>
        <w:tab/>
      </w:r>
    </w:p>
    <w:p w14:paraId="114EE51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楷体_GBK" w:cs="Times New Roman"/>
          <w:b/>
          <w:sz w:val="32"/>
          <w:szCs w:val="32"/>
          <w:lang w:val="en-US" w:eastAsia="zh-CN"/>
        </w:rPr>
      </w:pPr>
      <w:r>
        <w:rPr>
          <w:rFonts w:hint="default" w:ascii="Times New Roman" w:hAnsi="Times New Roman" w:eastAsia="方正楷体_GBK" w:cs="Times New Roman"/>
          <w:b/>
          <w:sz w:val="32"/>
          <w:szCs w:val="32"/>
          <w:lang w:val="zh-CN" w:eastAsia="zh-CN"/>
        </w:rPr>
        <w:t>（一）</w:t>
      </w:r>
      <w:r>
        <w:rPr>
          <w:rFonts w:hint="default" w:ascii="Times New Roman" w:hAnsi="Times New Roman" w:eastAsia="方正楷体_GBK" w:cs="Times New Roman"/>
          <w:b/>
          <w:sz w:val="32"/>
          <w:szCs w:val="32"/>
          <w:lang w:val="en-US" w:eastAsia="zh-CN"/>
        </w:rPr>
        <w:t>通用指标</w:t>
      </w:r>
      <w:r>
        <w:rPr>
          <w:rFonts w:hint="default" w:ascii="Times New Roman" w:hAnsi="Times New Roman" w:eastAsia="方正楷体_GBK" w:cs="Times New Roman"/>
          <w:b/>
          <w:sz w:val="32"/>
          <w:szCs w:val="32"/>
          <w:lang w:val="zh-CN" w:eastAsia="zh-CN"/>
        </w:rPr>
        <w:t>绩效分析</w:t>
      </w:r>
    </w:p>
    <w:p w14:paraId="468FEDA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b/>
          <w:bCs/>
          <w:kern w:val="2"/>
          <w:sz w:val="32"/>
          <w:szCs w:val="32"/>
          <w:lang w:val="en-US" w:eastAsia="zh-CN" w:bidi="ar-SA"/>
        </w:rPr>
        <w:t>1.项目决策。</w:t>
      </w:r>
      <w:r>
        <w:rPr>
          <w:rFonts w:hint="default" w:ascii="Times New Roman" w:hAnsi="Times New Roman" w:eastAsia="方正仿宋_GBK" w:cs="Times New Roman"/>
          <w:sz w:val="32"/>
          <w:szCs w:val="32"/>
          <w:lang w:val="zh-CN" w:eastAsia="zh-CN"/>
        </w:rPr>
        <w:t>社会救助救济补助项目</w:t>
      </w:r>
      <w:r>
        <w:rPr>
          <w:rFonts w:hint="default" w:ascii="Times New Roman" w:hAnsi="Times New Roman" w:eastAsia="方正仿宋_GBK" w:cs="Times New Roman"/>
          <w:sz w:val="32"/>
          <w:szCs w:val="32"/>
          <w:lang w:val="en" w:eastAsia="zh-CN"/>
        </w:rPr>
        <w:t>决策程序严密，</w:t>
      </w:r>
      <w:r>
        <w:rPr>
          <w:rFonts w:hint="default" w:ascii="Times New Roman" w:hAnsi="Times New Roman" w:eastAsia="方正仿宋_GBK" w:cs="Times New Roman"/>
          <w:sz w:val="32"/>
          <w:szCs w:val="32"/>
          <w:lang w:val="en-US" w:eastAsia="zh-CN"/>
        </w:rPr>
        <w:t>绩效目标设置科学合理，严格对标上级文件，</w:t>
      </w:r>
      <w:r>
        <w:rPr>
          <w:rFonts w:hint="default" w:ascii="Times New Roman" w:hAnsi="Times New Roman" w:eastAsia="方正仿宋_GBK" w:cs="Times New Roman"/>
          <w:sz w:val="32"/>
          <w:szCs w:val="32"/>
          <w:lang w:val="en" w:eastAsia="zh-CN"/>
        </w:rPr>
        <w:t>资金投向及时准确，与民生事业发展相匹配。</w:t>
      </w:r>
      <w:r>
        <w:rPr>
          <w:rFonts w:hint="default" w:ascii="Times New Roman" w:hAnsi="Times New Roman" w:eastAsia="方正仿宋_GBK" w:cs="Times New Roman"/>
          <w:sz w:val="32"/>
          <w:szCs w:val="32"/>
          <w:lang w:val="zh-CN" w:eastAsia="zh-CN"/>
        </w:rPr>
        <w:t>项目均依据省级相关文件设立，立项审批流程规范，决策程序严密，资料齐全。项目决策阶段完成了需求调研与问题梳理，结合服务对象规模、资金承受能力、既有服务资源和基层承接能力，科学确定年度任务、服务内容、资金测算与绩效目标，设置了可量化、可考核、可追溯的指标体系，并同步明确县区、部门及承接机构职责分工与工作流程。</w:t>
      </w:r>
    </w:p>
    <w:p w14:paraId="6A7FA04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b/>
          <w:bCs/>
          <w:kern w:val="2"/>
          <w:sz w:val="32"/>
          <w:szCs w:val="32"/>
          <w:lang w:val="en-US" w:eastAsia="zh-CN" w:bidi="ar-SA"/>
        </w:rPr>
        <w:t>2.项目管理。</w:t>
      </w:r>
      <w:r>
        <w:rPr>
          <w:rFonts w:hint="default" w:ascii="Times New Roman" w:hAnsi="Times New Roman" w:eastAsia="方正仿宋_GBK" w:cs="Times New Roman"/>
          <w:sz w:val="32"/>
          <w:szCs w:val="32"/>
          <w:lang w:val="en" w:eastAsia="zh-CN"/>
        </w:rPr>
        <w:t>严格对照《四川省财政厅</w:t>
      </w:r>
      <w:r>
        <w:rPr>
          <w:rFonts w:hint="default" w:ascii="Times New Roman" w:hAnsi="Times New Roman" w:eastAsia="方正仿宋_GBK" w:cs="Times New Roman"/>
          <w:sz w:val="32"/>
          <w:szCs w:val="32"/>
          <w:lang w:val="en-US" w:eastAsia="zh-CN"/>
        </w:rPr>
        <w:t xml:space="preserve"> 四川省民政厅</w:t>
      </w:r>
      <w:r>
        <w:rPr>
          <w:rFonts w:hint="default" w:ascii="Times New Roman" w:hAnsi="Times New Roman" w:eastAsia="方正仿宋_GBK" w:cs="Times New Roman"/>
          <w:sz w:val="32"/>
          <w:szCs w:val="32"/>
          <w:lang w:val="en" w:eastAsia="zh-CN"/>
        </w:rPr>
        <w:t>关于印发省级财政社会救助救济补助资金管理办法的通知》（</w:t>
      </w:r>
      <w:r>
        <w:rPr>
          <w:rFonts w:hint="default" w:ascii="Times New Roman" w:hAnsi="Times New Roman" w:eastAsia="方正仿宋_GBK" w:cs="Times New Roman"/>
          <w:sz w:val="32"/>
          <w:szCs w:val="32"/>
          <w:lang w:val="en-US" w:eastAsia="zh-CN"/>
        </w:rPr>
        <w:t>川财社</w:t>
      </w:r>
      <w:r>
        <w:rPr>
          <w:rFonts w:hint="default" w:ascii="Times New Roman" w:hAnsi="Times New Roman" w:eastAsia="方正仿宋_GBK" w:cs="Times New Roman"/>
          <w:sz w:val="32"/>
          <w:szCs w:val="32"/>
          <w:lang w:val="en" w:eastAsia="zh-CN"/>
        </w:rPr>
        <w:t>〔</w:t>
      </w:r>
      <w:r>
        <w:rPr>
          <w:rFonts w:hint="default" w:ascii="Times New Roman" w:hAnsi="Times New Roman" w:eastAsia="方正仿宋_GBK" w:cs="Times New Roman"/>
          <w:sz w:val="32"/>
          <w:szCs w:val="32"/>
          <w:lang w:val="en-US" w:eastAsia="zh-CN"/>
        </w:rPr>
        <w:t>2024</w:t>
      </w:r>
      <w:r>
        <w:rPr>
          <w:rFonts w:hint="default" w:ascii="Times New Roman" w:hAnsi="Times New Roman" w:eastAsia="方正仿宋_GBK" w:cs="Times New Roman"/>
          <w:sz w:val="32"/>
          <w:szCs w:val="32"/>
          <w:lang w:val="en" w:eastAsia="zh-CN"/>
        </w:rPr>
        <w:t>〕</w:t>
      </w:r>
      <w:r>
        <w:rPr>
          <w:rFonts w:hint="default" w:ascii="Times New Roman" w:hAnsi="Times New Roman" w:eastAsia="方正仿宋_GBK" w:cs="Times New Roman"/>
          <w:sz w:val="32"/>
          <w:szCs w:val="32"/>
          <w:lang w:val="en-US" w:eastAsia="zh-CN"/>
        </w:rPr>
        <w:t>130号）进行资金分配及绩效监管，</w:t>
      </w:r>
      <w:r>
        <w:rPr>
          <w:rFonts w:hint="default" w:ascii="Times New Roman" w:hAnsi="Times New Roman" w:eastAsia="方正仿宋_GBK" w:cs="Times New Roman"/>
          <w:sz w:val="32"/>
          <w:szCs w:val="32"/>
          <w:lang w:val="zh-CN" w:eastAsia="zh-CN"/>
        </w:rPr>
        <w:t>项目规划论证符合中、省关于殡葬改革的重点要求，绩效目标设置科学合理，与公共服务提升需求高度契合。建立市级统筹、县区落实的项目管理机制，形成“目标管理—过程控制—结果评价—整改提升”的闭环。制度层面完善对象认定（建档）与动态复核、资金拨付与发放（支付）、服务采购（或协议管理）、档案台账、信息系统录入、公开公示与监督检查等管理要求；执行层面明确审批审核链条与岗位责任，落实财务管理和资金安全控制，健全资料留痕和数据质量管理，确保补贴资金、服务资金使用合规。通过定期调度、抽查核验、问题通报、培训督导等方式加强过程监管</w:t>
      </w:r>
      <w:r>
        <w:rPr>
          <w:rFonts w:hint="default" w:ascii="Times New Roman" w:hAnsi="Times New Roman" w:eastAsia="方正仿宋_GBK" w:cs="Times New Roman"/>
          <w:sz w:val="32"/>
          <w:szCs w:val="32"/>
          <w:lang w:val="en-US" w:eastAsia="zh-CN"/>
        </w:rPr>
        <w:t>。</w:t>
      </w:r>
    </w:p>
    <w:p w14:paraId="780422E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cs="Times New Roman"/>
          <w:lang w:eastAsia="zh-CN"/>
        </w:rPr>
      </w:pPr>
      <w:r>
        <w:rPr>
          <w:rFonts w:hint="default" w:ascii="Times New Roman" w:hAnsi="Times New Roman" w:eastAsia="方正仿宋_GBK" w:cs="Times New Roman"/>
          <w:b/>
          <w:bCs/>
          <w:kern w:val="2"/>
          <w:sz w:val="32"/>
          <w:szCs w:val="32"/>
          <w:lang w:val="en-US" w:eastAsia="zh-CN" w:bidi="ar-SA"/>
        </w:rPr>
        <w:t>3.项目实施。</w:t>
      </w:r>
      <w:r>
        <w:rPr>
          <w:rFonts w:hint="default" w:ascii="Times New Roman" w:hAnsi="Times New Roman" w:eastAsia="方正仿宋_GBK" w:cs="Times New Roman"/>
          <w:sz w:val="32"/>
          <w:szCs w:val="32"/>
          <w:lang w:val="zh-CN" w:eastAsia="zh-CN"/>
        </w:rPr>
        <w:t>项目资金均聚焦民生保障等重点领域，项目投向精准，覆盖绿色惠民殡葬补贴、残疾人两项补贴、原</w:t>
      </w:r>
      <w:r>
        <w:rPr>
          <w:rFonts w:hint="default" w:ascii="Times New Roman" w:hAnsi="Times New Roman" w:eastAsia="方正仿宋_GBK" w:cs="Times New Roman"/>
          <w:sz w:val="32"/>
          <w:szCs w:val="32"/>
          <w:lang w:val="en-US" w:eastAsia="zh-CN"/>
        </w:rPr>
        <w:t>襄渝铁路西段伤残民兵民工和精减退职职工补贴</w:t>
      </w:r>
      <w:r>
        <w:rPr>
          <w:rFonts w:hint="default" w:ascii="Times New Roman" w:hAnsi="Times New Roman" w:eastAsia="方正仿宋_GBK" w:cs="Times New Roman"/>
          <w:sz w:val="32"/>
          <w:szCs w:val="32"/>
          <w:lang w:val="zh-CN" w:eastAsia="zh-CN"/>
        </w:rPr>
        <w:t xml:space="preserve">。按照政策口径开展申请受理、资格认定、动态复核与停发清退等工作，依托信息系统与台账管理实现数据更新与发放核对，确保补贴按标准及时足额发放，并做好政策宣传解释与信访投诉受理处置。 </w:t>
      </w:r>
      <w:r>
        <w:rPr>
          <w:rFonts w:hint="default" w:ascii="Times New Roman" w:hAnsi="Times New Roman" w:eastAsia="方正仿宋_GBK" w:cs="Times New Roman"/>
          <w:bCs/>
          <w:color w:val="000000"/>
          <w:spacing w:val="-17"/>
          <w:lang w:bidi="ar-SA"/>
        </w:rPr>
        <w:t xml:space="preserve">    </w:t>
      </w:r>
    </w:p>
    <w:p w14:paraId="75B2F24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sz w:val="32"/>
          <w:szCs w:val="32"/>
          <w:lang w:val="en" w:eastAsia="zh-CN"/>
        </w:rPr>
      </w:pPr>
      <w:r>
        <w:rPr>
          <w:rFonts w:hint="default" w:ascii="Times New Roman" w:hAnsi="Times New Roman" w:eastAsia="方正仿宋_GBK" w:cs="Times New Roman"/>
          <w:b/>
          <w:bCs/>
          <w:kern w:val="2"/>
          <w:sz w:val="32"/>
          <w:szCs w:val="32"/>
          <w:lang w:val="en-US" w:eastAsia="zh-CN" w:bidi="ar-SA"/>
        </w:rPr>
        <w:t>4.项目结果。</w:t>
      </w:r>
      <w:r>
        <w:rPr>
          <w:rFonts w:hint="default" w:ascii="Times New Roman" w:hAnsi="Times New Roman" w:eastAsia="方正仿宋_GBK" w:cs="Times New Roman"/>
          <w:color w:val="auto"/>
          <w:sz w:val="32"/>
          <w:szCs w:val="32"/>
          <w:lang w:val="zh-CN" w:eastAsia="zh-CN"/>
        </w:rPr>
        <w:t>绿色惠民殡葬补贴</w:t>
      </w:r>
      <w:r>
        <w:rPr>
          <w:rFonts w:hint="default" w:ascii="Times New Roman" w:hAnsi="Times New Roman" w:eastAsia="方正仿宋_GBK" w:cs="Times New Roman"/>
          <w:sz w:val="32"/>
          <w:szCs w:val="32"/>
          <w:lang w:val="en-US" w:eastAsia="zh-CN"/>
        </w:rPr>
        <w:t>年初编制绩效预期目标为完成发放补贴人数</w:t>
      </w:r>
      <w:r>
        <w:rPr>
          <w:rFonts w:hint="default" w:ascii="Times New Roman" w:hAnsi="Times New Roman" w:eastAsia="东文宋体" w:cs="Times New Roman"/>
          <w:sz w:val="32"/>
          <w:szCs w:val="32"/>
          <w:lang w:val="en-US" w:eastAsia="zh-CN"/>
        </w:rPr>
        <w:t>≥</w:t>
      </w:r>
      <w:r>
        <w:rPr>
          <w:rFonts w:hint="default" w:ascii="Times New Roman" w:hAnsi="Times New Roman" w:eastAsia="方正仿宋_GBK" w:cs="Times New Roman"/>
          <w:sz w:val="32"/>
          <w:szCs w:val="32"/>
          <w:lang w:val="en-US" w:eastAsia="zh-CN"/>
        </w:rPr>
        <w:t>2700人，实际完成3580人；困难</w:t>
      </w:r>
      <w:r>
        <w:rPr>
          <w:rFonts w:hint="default" w:ascii="Times New Roman" w:hAnsi="Times New Roman" w:eastAsia="方正仿宋_GBK" w:cs="Times New Roman"/>
          <w:color w:val="auto"/>
          <w:sz w:val="32"/>
          <w:szCs w:val="32"/>
          <w:lang w:val="zh-CN" w:eastAsia="zh-CN"/>
        </w:rPr>
        <w:t>残疾人生活补贴</w:t>
      </w:r>
      <w:r>
        <w:rPr>
          <w:rFonts w:hint="default" w:ascii="Times New Roman" w:hAnsi="Times New Roman" w:eastAsia="方正仿宋_GBK" w:cs="Times New Roman"/>
          <w:sz w:val="32"/>
          <w:szCs w:val="32"/>
          <w:lang w:val="en-US" w:eastAsia="zh-CN"/>
        </w:rPr>
        <w:t>年初编制绩效预期目标为</w:t>
      </w:r>
      <w:r>
        <w:rPr>
          <w:rFonts w:hint="default" w:ascii="Times New Roman" w:hAnsi="Times New Roman" w:eastAsia="方正仿宋_GBK" w:cs="Times New Roman"/>
          <w:color w:val="auto"/>
          <w:sz w:val="32"/>
          <w:szCs w:val="32"/>
          <w:lang w:val="zh-CN" w:eastAsia="zh-CN"/>
        </w:rPr>
        <w:t>完成发放人数</w:t>
      </w:r>
      <w:r>
        <w:rPr>
          <w:rFonts w:hint="default" w:ascii="Times New Roman" w:hAnsi="Times New Roman" w:eastAsia="东文宋体" w:cs="Times New Roman"/>
          <w:color w:val="auto"/>
          <w:sz w:val="32"/>
          <w:szCs w:val="32"/>
          <w:lang w:val="zh-CN" w:eastAsia="zh-CN"/>
        </w:rPr>
        <w:t>≥</w:t>
      </w:r>
      <w:r>
        <w:rPr>
          <w:rFonts w:hint="default" w:ascii="Times New Roman" w:hAnsi="Times New Roman" w:eastAsia="方正仿宋_GBK" w:cs="Times New Roman"/>
          <w:sz w:val="32"/>
          <w:szCs w:val="32"/>
          <w:lang w:val="en-US" w:eastAsia="zh-CN"/>
        </w:rPr>
        <w:t>5000人，实际发放人数为5429人，重度残疾人护理补贴年初编制绩效预期目标为</w:t>
      </w:r>
      <w:r>
        <w:rPr>
          <w:rFonts w:hint="default" w:ascii="Times New Roman" w:hAnsi="Times New Roman" w:eastAsia="方正仿宋_GBK" w:cs="Times New Roman"/>
          <w:color w:val="auto"/>
          <w:sz w:val="32"/>
          <w:szCs w:val="32"/>
          <w:lang w:val="zh-CN" w:eastAsia="zh-CN"/>
        </w:rPr>
        <w:t>完成发放人数</w:t>
      </w:r>
      <w:r>
        <w:rPr>
          <w:rFonts w:hint="default" w:ascii="Times New Roman" w:hAnsi="Times New Roman" w:eastAsia="东文宋体" w:cs="Times New Roman"/>
          <w:color w:val="auto"/>
          <w:sz w:val="32"/>
          <w:szCs w:val="32"/>
          <w:lang w:val="zh-CN" w:eastAsia="zh-CN"/>
        </w:rPr>
        <w:t>≥</w:t>
      </w:r>
      <w:r>
        <w:rPr>
          <w:rFonts w:hint="default" w:ascii="Times New Roman" w:hAnsi="Times New Roman" w:eastAsia="方正仿宋_GBK" w:cs="Times New Roman"/>
          <w:color w:val="auto"/>
          <w:sz w:val="32"/>
          <w:szCs w:val="32"/>
          <w:lang w:val="en-US" w:eastAsia="zh-CN"/>
        </w:rPr>
        <w:t>9000人，实际发放人数为9458人；均超额完成预期目标</w:t>
      </w:r>
      <w:r>
        <w:rPr>
          <w:rFonts w:hint="default" w:ascii="Times New Roman" w:hAnsi="Times New Roman" w:eastAsia="方正仿宋_GBK" w:cs="Times New Roman"/>
          <w:color w:val="auto"/>
          <w:sz w:val="32"/>
          <w:szCs w:val="32"/>
          <w:lang w:val="zh-CN" w:eastAsia="zh-CN"/>
        </w:rPr>
        <w:t>。</w:t>
      </w:r>
      <w:r>
        <w:rPr>
          <w:rFonts w:hint="default" w:ascii="Times New Roman" w:hAnsi="Times New Roman" w:eastAsia="方正仿宋_GBK" w:cs="Times New Roman"/>
          <w:color w:val="auto"/>
          <w:sz w:val="32"/>
          <w:szCs w:val="32"/>
          <w:lang w:val="en-US" w:eastAsia="zh-CN"/>
        </w:rPr>
        <w:t>襄渝铁路西段伤残民兵民工项目</w:t>
      </w:r>
      <w:r>
        <w:rPr>
          <w:rFonts w:hint="default" w:ascii="Times New Roman" w:hAnsi="Times New Roman" w:eastAsia="方正仿宋_GBK" w:cs="Times New Roman"/>
          <w:sz w:val="32"/>
          <w:szCs w:val="32"/>
          <w:lang w:val="en-US" w:eastAsia="zh-CN"/>
        </w:rPr>
        <w:t>年初编制绩效预期目标为</w:t>
      </w:r>
      <w:r>
        <w:rPr>
          <w:rFonts w:hint="default" w:ascii="Times New Roman" w:hAnsi="Times New Roman" w:eastAsia="方正仿宋_GBK" w:cs="Times New Roman"/>
          <w:color w:val="auto"/>
          <w:sz w:val="32"/>
          <w:szCs w:val="32"/>
          <w:lang w:val="zh-CN" w:eastAsia="zh-CN"/>
        </w:rPr>
        <w:t>完成发放人数</w:t>
      </w:r>
      <w:r>
        <w:rPr>
          <w:rFonts w:hint="default" w:ascii="Times New Roman" w:hAnsi="Times New Roman" w:eastAsia="方正仿宋_GBK" w:cs="Times New Roman"/>
          <w:sz w:val="32"/>
          <w:szCs w:val="32"/>
          <w:lang w:val="en" w:eastAsia="zh-CN"/>
        </w:rPr>
        <w:t>≥</w:t>
      </w:r>
      <w:r>
        <w:rPr>
          <w:rFonts w:hint="default" w:ascii="Times New Roman" w:hAnsi="Times New Roman" w:eastAsia="方正仿宋_GBK" w:cs="Times New Roman"/>
          <w:sz w:val="32"/>
          <w:szCs w:val="32"/>
          <w:lang w:val="en-US" w:eastAsia="zh-CN"/>
        </w:rPr>
        <w:t>2人，实际完成发放2人；</w:t>
      </w:r>
      <w:r>
        <w:rPr>
          <w:rFonts w:hint="default" w:ascii="Times New Roman" w:hAnsi="Times New Roman" w:eastAsia="方正仿宋_GBK" w:cs="Times New Roman"/>
          <w:color w:val="auto"/>
          <w:sz w:val="32"/>
          <w:szCs w:val="32"/>
          <w:lang w:val="en-US" w:eastAsia="zh-CN"/>
        </w:rPr>
        <w:t>精减退职职工补贴</w:t>
      </w:r>
      <w:r>
        <w:rPr>
          <w:rFonts w:hint="default" w:ascii="Times New Roman" w:hAnsi="Times New Roman" w:eastAsia="方正仿宋_GBK" w:cs="Times New Roman"/>
          <w:color w:val="auto"/>
          <w:sz w:val="32"/>
          <w:szCs w:val="32"/>
          <w:lang w:val="zh-CN" w:eastAsia="zh-CN"/>
        </w:rPr>
        <w:t>项目</w:t>
      </w:r>
      <w:r>
        <w:rPr>
          <w:rFonts w:hint="default" w:ascii="Times New Roman" w:hAnsi="Times New Roman" w:eastAsia="方正仿宋_GBK" w:cs="Times New Roman"/>
          <w:sz w:val="32"/>
          <w:szCs w:val="32"/>
          <w:lang w:val="en-US" w:eastAsia="zh-CN"/>
        </w:rPr>
        <w:t>年初编制绩效预期目标为</w:t>
      </w:r>
      <w:r>
        <w:rPr>
          <w:rFonts w:hint="default" w:ascii="Times New Roman" w:hAnsi="Times New Roman" w:eastAsia="方正仿宋_GBK" w:cs="Times New Roman"/>
          <w:color w:val="auto"/>
          <w:sz w:val="32"/>
          <w:szCs w:val="32"/>
          <w:lang w:val="zh-CN" w:eastAsia="zh-CN"/>
        </w:rPr>
        <w:t>完成发放人数</w:t>
      </w:r>
      <w:r>
        <w:rPr>
          <w:rFonts w:hint="default" w:ascii="Times New Roman" w:hAnsi="Times New Roman" w:eastAsia="方正仿宋_GBK" w:cs="Times New Roman"/>
          <w:sz w:val="32"/>
          <w:szCs w:val="32"/>
          <w:lang w:val="en" w:eastAsia="zh-CN"/>
        </w:rPr>
        <w:t>≥</w:t>
      </w:r>
      <w:r>
        <w:rPr>
          <w:rFonts w:hint="default" w:ascii="Times New Roman" w:hAnsi="Times New Roman" w:eastAsia="方正仿宋_GBK" w:cs="Times New Roman"/>
          <w:sz w:val="32"/>
          <w:szCs w:val="32"/>
          <w:lang w:val="en-US" w:eastAsia="zh-CN"/>
        </w:rPr>
        <w:t>15人，实际完成发放15人，</w:t>
      </w:r>
      <w:r>
        <w:rPr>
          <w:rFonts w:hint="default" w:ascii="Times New Roman" w:hAnsi="Times New Roman" w:eastAsia="方正仿宋_GBK" w:cs="Times New Roman"/>
          <w:color w:val="auto"/>
          <w:sz w:val="32"/>
          <w:szCs w:val="32"/>
          <w:lang w:val="en-US" w:eastAsia="zh-CN"/>
        </w:rPr>
        <w:t>全面完成预期目标，实际完成时间与计划完成时间相匹配，</w:t>
      </w:r>
      <w:r>
        <w:rPr>
          <w:rFonts w:hint="default" w:ascii="Times New Roman" w:hAnsi="Times New Roman" w:eastAsia="方正仿宋_GBK" w:cs="Times New Roman"/>
          <w:color w:val="auto"/>
          <w:sz w:val="32"/>
          <w:szCs w:val="32"/>
          <w:lang w:val="en" w:eastAsia="zh-CN"/>
        </w:rPr>
        <w:t>补助人数、补助标准、资金拨付及时率、满意度均达到</w:t>
      </w:r>
      <w:r>
        <w:rPr>
          <w:rFonts w:hint="default" w:ascii="Times New Roman" w:hAnsi="Times New Roman" w:eastAsia="方正仿宋_GBK" w:cs="Times New Roman"/>
          <w:color w:val="auto"/>
          <w:sz w:val="32"/>
          <w:szCs w:val="32"/>
          <w:lang w:val="en-US" w:eastAsia="zh-CN"/>
        </w:rPr>
        <w:t>绩效目标</w:t>
      </w:r>
      <w:r>
        <w:rPr>
          <w:rFonts w:hint="default" w:ascii="Times New Roman" w:hAnsi="Times New Roman" w:eastAsia="方正仿宋_GBK" w:cs="Times New Roman"/>
          <w:color w:val="auto"/>
          <w:sz w:val="32"/>
          <w:szCs w:val="32"/>
          <w:lang w:val="en" w:eastAsia="zh-CN"/>
        </w:rPr>
        <w:t>，补贴人员基本生活有效改善，符合条件的受助对象幸福</w:t>
      </w:r>
      <w:r>
        <w:rPr>
          <w:rFonts w:hint="default" w:ascii="Times New Roman" w:hAnsi="Times New Roman" w:eastAsia="方正仿宋_GBK" w:cs="Times New Roman"/>
          <w:sz w:val="32"/>
          <w:szCs w:val="32"/>
          <w:lang w:val="en" w:eastAsia="zh-CN"/>
        </w:rPr>
        <w:t>感显著增强。</w:t>
      </w:r>
    </w:p>
    <w:p w14:paraId="4E1EB3E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楷体_GBK" w:cs="Times New Roman"/>
          <w:b/>
          <w:sz w:val="32"/>
          <w:szCs w:val="32"/>
          <w:lang w:val="zh-CN" w:eastAsia="zh-CN"/>
        </w:rPr>
        <w:t>（二）</w:t>
      </w:r>
      <w:r>
        <w:rPr>
          <w:rFonts w:hint="default" w:ascii="Times New Roman" w:hAnsi="Times New Roman" w:eastAsia="方正楷体_GBK" w:cs="Times New Roman"/>
          <w:b/>
          <w:sz w:val="32"/>
          <w:szCs w:val="32"/>
          <w:lang w:val="en-US" w:eastAsia="zh-CN"/>
        </w:rPr>
        <w:t>专用指标</w:t>
      </w:r>
      <w:r>
        <w:rPr>
          <w:rFonts w:hint="default" w:ascii="Times New Roman" w:hAnsi="Times New Roman" w:eastAsia="方正楷体_GBK" w:cs="Times New Roman"/>
          <w:b/>
          <w:sz w:val="32"/>
          <w:szCs w:val="32"/>
          <w:lang w:val="zh-CN" w:eastAsia="zh-CN"/>
        </w:rPr>
        <w:t>绩效分析</w:t>
      </w:r>
    </w:p>
    <w:p w14:paraId="695A5AC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1.绿色惠民殡葬补贴（民生保障类）。</w:t>
      </w:r>
    </w:p>
    <w:p w14:paraId="696CCA0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区域均衡性：资金覆盖全市户籍人口，体现公平性。</w:t>
      </w:r>
    </w:p>
    <w:p w14:paraId="42F2A92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对象精准性：补贴对象符合政策范围，无违规发放。</w:t>
      </w:r>
    </w:p>
    <w:p w14:paraId="31033E5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标准合理性：补贴标准符合文件规定，执行到位。</w:t>
      </w:r>
    </w:p>
    <w:p w14:paraId="21C2E62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群众满意度：受益群众满意度达95%以上。</w:t>
      </w:r>
    </w:p>
    <w:p w14:paraId="1400437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2.残疾人两项补贴。</w:t>
      </w:r>
    </w:p>
    <w:p w14:paraId="7AC2421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区域均衡性：残疾人两项补贴属民生保障项目，总体实现“市级统筹、县区落实”的全域覆盖，通过统一政策口径、统一流程规范、统一数据管理，推动服务与资金向基层延伸。绩效自评中对5个县区点位开展实地核查，重点关注资金拨付进度、服务供给能力、承接机构分布与可及性等指标，整体运行平稳。</w:t>
      </w:r>
    </w:p>
    <w:p w14:paraId="7E6C5C9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 w:eastAsia="en"/>
        </w:rPr>
      </w:pPr>
      <w:r>
        <w:rPr>
          <w:rFonts w:hint="default" w:ascii="Times New Roman" w:hAnsi="Times New Roman" w:eastAsia="方正仿宋_GBK" w:cs="Times New Roman"/>
          <w:sz w:val="32"/>
          <w:szCs w:val="32"/>
          <w:lang w:val="en-US" w:eastAsia="zh-CN"/>
        </w:rPr>
        <w:t>对象精准性：以困难残疾人、重度残疾人为核心对象，精准性主要体现在“应补尽补、应退尽退、动态管理”。通过与民政内部数据、残联、卫健委、人社、公安等数据比对，减少错发漏发风险；对新增、死亡、迁移、等级变更等情形及时更新，提升资金投向精准度。</w:t>
      </w:r>
    </w:p>
    <w:p w14:paraId="749E907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en-US" w:eastAsia="zh-CN"/>
        </w:rPr>
        <w:t>标准合理性：残疾人两项补贴标准总体符合兜底保障定位，标准制定与调整遵循上级政策要求并与地方财力相匹配，具有稳定性与可预期性；确保</w:t>
      </w:r>
      <w:r>
        <w:rPr>
          <w:rFonts w:hint="default" w:ascii="Times New Roman" w:hAnsi="Times New Roman" w:eastAsia="方正仿宋_GBK" w:cs="Times New Roman"/>
          <w:sz w:val="32"/>
          <w:szCs w:val="32"/>
          <w:lang w:val="zh-CN" w:eastAsia="zh-CN"/>
        </w:rPr>
        <w:t>政策落实到位、流程规范，切实减轻家庭负担，保障作用较为明显。</w:t>
      </w:r>
    </w:p>
    <w:p w14:paraId="076571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en-US" w:eastAsia="zh-CN"/>
        </w:rPr>
        <w:t>群众满意度：受益群众满意度达95%以上。</w:t>
      </w:r>
    </w:p>
    <w:p w14:paraId="5C3CA68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en-US" w:eastAsia="zh-CN"/>
        </w:rPr>
        <w:t>3.原襄渝铁路。西段伤残民兵民工及遗属定期生活补助、精减退职职工救济和起义投诚人员生活补助，属</w:t>
      </w:r>
      <w:r>
        <w:rPr>
          <w:rFonts w:hint="default" w:ascii="Times New Roman" w:hAnsi="Times New Roman" w:eastAsia="方正仿宋_GBK" w:cs="Times New Roman"/>
          <w:sz w:val="32"/>
          <w:szCs w:val="32"/>
          <w:lang w:val="zh-CN" w:eastAsia="zh-CN"/>
        </w:rPr>
        <w:t>民生保障</w:t>
      </w:r>
      <w:r>
        <w:rPr>
          <w:rFonts w:hint="default" w:ascii="Times New Roman" w:hAnsi="Times New Roman" w:eastAsia="方正仿宋_GBK" w:cs="Times New Roman"/>
          <w:sz w:val="32"/>
          <w:szCs w:val="32"/>
          <w:lang w:val="en-US" w:eastAsia="zh-CN"/>
        </w:rPr>
        <w:t>类项目</w:t>
      </w:r>
      <w:r>
        <w:rPr>
          <w:rFonts w:hint="default" w:ascii="Times New Roman" w:hAnsi="Times New Roman" w:eastAsia="方正仿宋_GBK" w:cs="Times New Roman"/>
          <w:sz w:val="32"/>
          <w:szCs w:val="32"/>
          <w:lang w:val="zh-CN" w:eastAsia="zh-CN"/>
        </w:rPr>
        <w:t>。</w:t>
      </w:r>
    </w:p>
    <w:p w14:paraId="64E184F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区域均衡性：资金覆盖符合条件的原襄渝铁路西段伤残民兵民工及遗属定期生活补助、精减退职职工救济和起义投诚人员，体现公平性。</w:t>
      </w:r>
    </w:p>
    <w:p w14:paraId="5393A5F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对象精准性：补贴对象符合政策范围，无违规发放。</w:t>
      </w:r>
    </w:p>
    <w:p w14:paraId="24F794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标准合理性：补贴标准符合文件规定，执行到位。</w:t>
      </w:r>
    </w:p>
    <w:p w14:paraId="2F58E22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群众满意度：受益群众满意度达100%以上。</w:t>
      </w:r>
    </w:p>
    <w:p w14:paraId="18D4530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楷体_GBK" w:cs="Times New Roman"/>
          <w:b/>
          <w:sz w:val="32"/>
          <w:szCs w:val="32"/>
          <w:lang w:val="en-US" w:eastAsia="zh-CN"/>
        </w:rPr>
        <w:t>（三）个性指标</w:t>
      </w:r>
      <w:r>
        <w:rPr>
          <w:rFonts w:hint="default" w:ascii="Times New Roman" w:hAnsi="Times New Roman" w:eastAsia="方正楷体_GBK" w:cs="Times New Roman"/>
          <w:b/>
          <w:sz w:val="32"/>
          <w:szCs w:val="32"/>
          <w:lang w:val="zh-CN" w:eastAsia="zh-CN"/>
        </w:rPr>
        <w:t>绩效分析</w:t>
      </w:r>
    </w:p>
    <w:p w14:paraId="1D2425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zh-CN" w:eastAsia="zh-CN"/>
        </w:rPr>
        <w:t>建立动态管理和数据复核机制并及时开展数据比对，对符合条件的补贴人员按时足额发放补助。</w:t>
      </w:r>
    </w:p>
    <w:p w14:paraId="06540D0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 xml:space="preserve"> 残疾人两项补贴：已与人社、卫生健康委、残联、公安等部门建立数据比对机制，定期开展数据比对与动态复核，每月定时向一卡通数据平台推送信息 。</w:t>
      </w:r>
    </w:p>
    <w:p w14:paraId="7EED503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绿色环保殡葬项目实施地区散埋乱葬现象得到有效遏制，殡葬设施项目建成后将立即投用。</w:t>
      </w:r>
    </w:p>
    <w:p w14:paraId="5253ECD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原襄渝铁路西段伤残民兵民工及遗属定期生活补助、精减退职职工救济和起义投诚人员生活补助资金发放通过天府救助通智慧救助平台推送惠民惠农资金一卡通系统。</w:t>
      </w:r>
    </w:p>
    <w:p w14:paraId="710378A1">
      <w:pPr>
        <w:pStyle w:val="5"/>
        <w:keepNext w:val="0"/>
        <w:keepLines w:val="0"/>
        <w:pageBreakBefore w:val="0"/>
        <w:numPr>
          <w:ilvl w:val="0"/>
          <w:numId w:val="0"/>
        </w:numPr>
        <w:tabs>
          <w:tab w:val="left" w:pos="2160"/>
        </w:tabs>
        <w:kinsoku/>
        <w:wordWrap/>
        <w:overflowPunct/>
        <w:topLinePunct w:val="0"/>
        <w:autoSpaceDE/>
        <w:autoSpaceDN/>
        <w:bidi w:val="0"/>
        <w:adjustRightInd/>
        <w:snapToGrid/>
        <w:spacing w:line="560" w:lineRule="exact"/>
        <w:ind w:left="0" w:leftChars="0" w:firstLine="608" w:firstLineChars="200"/>
        <w:jc w:val="both"/>
        <w:textAlignment w:val="auto"/>
        <w:rPr>
          <w:rFonts w:hint="default" w:ascii="Times New Roman" w:hAnsi="Times New Roman" w:eastAsia="方正仿宋_GBK" w:cs="Times New Roman"/>
          <w:kern w:val="2"/>
          <w:position w:val="0"/>
          <w:sz w:val="32"/>
          <w:szCs w:val="32"/>
          <w:lang w:val="zh-CN" w:eastAsia="zh-CN" w:bidi="ar-SA"/>
        </w:rPr>
      </w:pPr>
      <w:r>
        <w:rPr>
          <w:rFonts w:hint="default" w:ascii="Times New Roman" w:hAnsi="Times New Roman" w:eastAsia="方正黑体_GBK" w:cs="Times New Roman"/>
          <w:color w:val="000000"/>
          <w:spacing w:val="-8"/>
          <w:kern w:val="2"/>
          <w:position w:val="0"/>
          <w:sz w:val="32"/>
          <w:szCs w:val="32"/>
          <w:lang w:val="zh-CN" w:eastAsia="zh-CN" w:bidi="ar-SA"/>
        </w:rPr>
        <w:t>四、评价结论</w:t>
      </w:r>
    </w:p>
    <w:p w14:paraId="602482CA">
      <w:pPr>
        <w:pStyle w:val="5"/>
        <w:keepNext w:val="0"/>
        <w:keepLines w:val="0"/>
        <w:pageBreakBefore w:val="0"/>
        <w:numPr>
          <w:ilvl w:val="0"/>
          <w:numId w:val="0"/>
        </w:numPr>
        <w:tabs>
          <w:tab w:val="left" w:pos="2160"/>
        </w:tabs>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仿宋_GBK" w:cs="Times New Roman"/>
          <w:kern w:val="2"/>
          <w:position w:val="0"/>
          <w:sz w:val="32"/>
          <w:szCs w:val="32"/>
          <w:lang w:val="en-US" w:eastAsia="zh-CN" w:bidi="ar-SA"/>
        </w:rPr>
        <w:t>社会救助救济项目整体绩效优秀，民生保障导向突出，管理较为规范，实施成效明显，资金使用合规有效，达到预期目标。</w:t>
      </w:r>
      <w:r>
        <w:rPr>
          <w:rFonts w:hint="default" w:ascii="Times New Roman" w:hAnsi="Times New Roman" w:eastAsia="方正仿宋_GBK" w:cs="Times New Roman"/>
          <w:kern w:val="2"/>
          <w:position w:val="0"/>
          <w:sz w:val="32"/>
          <w:szCs w:val="32"/>
          <w:lang w:val="en" w:eastAsia="zh-CN" w:bidi="ar-SA"/>
        </w:rPr>
        <w:t>为维护社会稳定和谐发挥了积极作用，取得了较好的社会效益。</w:t>
      </w:r>
    </w:p>
    <w:p w14:paraId="59C5A1DE">
      <w:pPr>
        <w:pStyle w:val="5"/>
        <w:keepNext w:val="0"/>
        <w:keepLines w:val="0"/>
        <w:pageBreakBefore w:val="0"/>
        <w:numPr>
          <w:ilvl w:val="0"/>
          <w:numId w:val="0"/>
        </w:numPr>
        <w:tabs>
          <w:tab w:val="left" w:pos="2160"/>
        </w:tabs>
        <w:kinsoku/>
        <w:wordWrap/>
        <w:overflowPunct/>
        <w:topLinePunct w:val="0"/>
        <w:autoSpaceDE/>
        <w:autoSpaceDN/>
        <w:bidi w:val="0"/>
        <w:adjustRightInd/>
        <w:snapToGrid/>
        <w:spacing w:line="560" w:lineRule="exact"/>
        <w:ind w:left="0" w:leftChars="0" w:firstLine="643" w:firstLineChars="200"/>
        <w:jc w:val="both"/>
        <w:textAlignment w:val="auto"/>
        <w:rPr>
          <w:rFonts w:hint="default" w:ascii="Times New Roman" w:hAnsi="Times New Roman" w:eastAsia="方正仿宋_GBK" w:cs="Times New Roman"/>
          <w:color w:val="auto"/>
          <w:kern w:val="2"/>
          <w:position w:val="0"/>
          <w:sz w:val="32"/>
          <w:szCs w:val="32"/>
          <w:lang w:val="en-US" w:eastAsia="zh-CN" w:bidi="ar-SA"/>
        </w:rPr>
      </w:pPr>
      <w:r>
        <w:rPr>
          <w:rFonts w:hint="default" w:ascii="Times New Roman" w:hAnsi="Times New Roman" w:eastAsia="方正楷体_GBK" w:cs="Times New Roman"/>
          <w:b/>
          <w:bCs/>
          <w:sz w:val="32"/>
          <w:szCs w:val="32"/>
          <w:lang w:val="en-US" w:eastAsia="zh-CN"/>
        </w:rPr>
        <w:t>（一）残疾人“</w:t>
      </w:r>
      <w:r>
        <w:rPr>
          <w:rFonts w:hint="default" w:ascii="Times New Roman" w:hAnsi="Times New Roman" w:eastAsia="方正楷体_GBK" w:cs="Times New Roman"/>
          <w:b/>
          <w:bCs/>
          <w:kern w:val="2"/>
          <w:position w:val="0"/>
          <w:sz w:val="32"/>
          <w:szCs w:val="32"/>
          <w:lang w:val="en-US" w:eastAsia="zh-CN" w:bidi="ar-SA"/>
        </w:rPr>
        <w:t>两项补贴”。</w:t>
      </w:r>
      <w:r>
        <w:rPr>
          <w:rFonts w:hint="default" w:ascii="Times New Roman" w:hAnsi="Times New Roman" w:eastAsia="方正仿宋_GBK" w:cs="Times New Roman"/>
          <w:sz w:val="32"/>
          <w:szCs w:val="32"/>
          <w:lang w:val="en-US" w:eastAsia="zh-CN"/>
        </w:rPr>
        <w:t>残疾人“</w:t>
      </w:r>
      <w:r>
        <w:rPr>
          <w:rFonts w:hint="default" w:ascii="Times New Roman" w:hAnsi="Times New Roman" w:eastAsia="方正仿宋_GBK" w:cs="Times New Roman"/>
          <w:kern w:val="2"/>
          <w:position w:val="0"/>
          <w:sz w:val="32"/>
          <w:szCs w:val="32"/>
          <w:lang w:val="en-US" w:eastAsia="zh-CN" w:bidi="ar-SA"/>
        </w:rPr>
        <w:t>两项补贴”政策保障作用发挥充分，补贴对象覆盖较为全面、发放及时，切实增强了困难残疾人基本生活保障能力和重度残疾人照护支持水平。</w:t>
      </w:r>
      <w:r>
        <w:rPr>
          <w:rFonts w:hint="default" w:ascii="Times New Roman" w:hAnsi="Times New Roman" w:eastAsia="方正仿宋_GBK" w:cs="Times New Roman"/>
          <w:color w:val="auto"/>
          <w:kern w:val="2"/>
          <w:position w:val="0"/>
          <w:sz w:val="32"/>
          <w:szCs w:val="32"/>
          <w:lang w:val="en" w:eastAsia="zh-CN" w:bidi="ar-SA"/>
        </w:rPr>
        <w:t>对象满意度</w:t>
      </w:r>
      <w:r>
        <w:rPr>
          <w:rFonts w:hint="default" w:ascii="Times New Roman" w:hAnsi="Times New Roman" w:eastAsia="方正仿宋_GBK" w:cs="Times New Roman"/>
          <w:color w:val="auto"/>
          <w:kern w:val="2"/>
          <w:position w:val="0"/>
          <w:sz w:val="32"/>
          <w:szCs w:val="32"/>
          <w:lang w:val="en-US" w:eastAsia="zh-CN" w:bidi="ar-SA"/>
        </w:rPr>
        <w:t>95</w:t>
      </w:r>
      <w:r>
        <w:rPr>
          <w:rFonts w:hint="default" w:ascii="Times New Roman" w:hAnsi="Times New Roman" w:eastAsia="方正仿宋_GBK" w:cs="Times New Roman"/>
          <w:color w:val="auto"/>
          <w:kern w:val="2"/>
          <w:position w:val="0"/>
          <w:sz w:val="32"/>
          <w:szCs w:val="32"/>
          <w:lang w:val="en" w:eastAsia="zh-CN" w:bidi="ar-SA"/>
        </w:rPr>
        <w:t>%，自评总分</w:t>
      </w:r>
      <w:r>
        <w:rPr>
          <w:rFonts w:hint="default" w:ascii="Times New Roman" w:hAnsi="Times New Roman" w:eastAsia="方正仿宋_GBK" w:cs="Times New Roman"/>
          <w:color w:val="auto"/>
          <w:kern w:val="2"/>
          <w:position w:val="0"/>
          <w:sz w:val="32"/>
          <w:szCs w:val="32"/>
          <w:lang w:val="en-US" w:eastAsia="zh-CN" w:bidi="ar-SA"/>
        </w:rPr>
        <w:t>100分。</w:t>
      </w:r>
    </w:p>
    <w:p w14:paraId="354F223E">
      <w:pPr>
        <w:pStyle w:val="5"/>
        <w:keepNext w:val="0"/>
        <w:keepLines w:val="0"/>
        <w:pageBreakBefore w:val="0"/>
        <w:numPr>
          <w:ilvl w:val="0"/>
          <w:numId w:val="0"/>
        </w:numPr>
        <w:tabs>
          <w:tab w:val="left" w:pos="2160"/>
        </w:tabs>
        <w:kinsoku/>
        <w:wordWrap/>
        <w:overflowPunct/>
        <w:topLinePunct w:val="0"/>
        <w:autoSpaceDE/>
        <w:autoSpaceDN/>
        <w:bidi w:val="0"/>
        <w:adjustRightInd/>
        <w:snapToGrid/>
        <w:spacing w:line="560" w:lineRule="exact"/>
        <w:ind w:left="0" w:leftChars="0" w:firstLine="643" w:firstLineChars="200"/>
        <w:jc w:val="both"/>
        <w:textAlignment w:val="auto"/>
        <w:rPr>
          <w:rFonts w:hint="default" w:ascii="Times New Roman" w:hAnsi="Times New Roman" w:eastAsia="方正仿宋_GBK" w:cs="Times New Roman"/>
          <w:color w:val="FF0000"/>
          <w:kern w:val="2"/>
          <w:position w:val="0"/>
          <w:sz w:val="32"/>
          <w:szCs w:val="32"/>
          <w:lang w:val="en-US" w:eastAsia="zh-CN" w:bidi="ar-SA"/>
        </w:rPr>
      </w:pPr>
      <w:r>
        <w:rPr>
          <w:rFonts w:hint="default" w:ascii="Times New Roman" w:hAnsi="Times New Roman" w:eastAsia="方正楷体_GBK" w:cs="Times New Roman"/>
          <w:b/>
          <w:bCs/>
          <w:kern w:val="2"/>
          <w:position w:val="0"/>
          <w:sz w:val="32"/>
          <w:szCs w:val="32"/>
          <w:lang w:val="en-US" w:eastAsia="zh-CN" w:bidi="ar-SA"/>
        </w:rPr>
        <w:t>（二）绿色惠民殡葬。</w:t>
      </w:r>
      <w:r>
        <w:rPr>
          <w:rFonts w:hint="default" w:ascii="Times New Roman" w:hAnsi="Times New Roman" w:eastAsia="方正仿宋_GBK" w:cs="Times New Roman"/>
          <w:kern w:val="2"/>
          <w:position w:val="0"/>
          <w:sz w:val="32"/>
          <w:szCs w:val="32"/>
          <w:lang w:val="en-US" w:eastAsia="zh-CN" w:bidi="ar-SA"/>
        </w:rPr>
        <w:t>绿色惠民殡葬项目总体实施情况良好，资金使用规范。</w:t>
      </w:r>
      <w:r>
        <w:rPr>
          <w:rFonts w:hint="default" w:ascii="Times New Roman" w:hAnsi="Times New Roman" w:eastAsia="方正仿宋_GBK" w:cs="Times New Roman"/>
          <w:color w:val="auto"/>
          <w:kern w:val="2"/>
          <w:position w:val="0"/>
          <w:sz w:val="32"/>
          <w:szCs w:val="32"/>
          <w:lang w:val="en" w:eastAsia="zh-CN" w:bidi="ar-SA"/>
        </w:rPr>
        <w:t>对象满意度</w:t>
      </w:r>
      <w:r>
        <w:rPr>
          <w:rFonts w:hint="default" w:ascii="Times New Roman" w:hAnsi="Times New Roman" w:eastAsia="方正仿宋_GBK" w:cs="Times New Roman"/>
          <w:color w:val="auto"/>
          <w:kern w:val="2"/>
          <w:position w:val="0"/>
          <w:sz w:val="32"/>
          <w:szCs w:val="32"/>
          <w:lang w:val="en-US" w:eastAsia="zh-CN" w:bidi="ar-SA"/>
        </w:rPr>
        <w:t>95</w:t>
      </w:r>
      <w:r>
        <w:rPr>
          <w:rFonts w:hint="default" w:ascii="Times New Roman" w:hAnsi="Times New Roman" w:eastAsia="方正仿宋_GBK" w:cs="Times New Roman"/>
          <w:color w:val="auto"/>
          <w:kern w:val="2"/>
          <w:position w:val="0"/>
          <w:sz w:val="32"/>
          <w:szCs w:val="32"/>
          <w:lang w:val="en" w:eastAsia="zh-CN" w:bidi="ar-SA"/>
        </w:rPr>
        <w:t>%，自评总分</w:t>
      </w:r>
      <w:r>
        <w:rPr>
          <w:rFonts w:hint="default" w:ascii="Times New Roman" w:hAnsi="Times New Roman" w:eastAsia="方正仿宋_GBK" w:cs="Times New Roman"/>
          <w:color w:val="auto"/>
          <w:kern w:val="2"/>
          <w:position w:val="0"/>
          <w:sz w:val="32"/>
          <w:szCs w:val="32"/>
          <w:lang w:val="en-US" w:eastAsia="zh-CN" w:bidi="ar-SA"/>
        </w:rPr>
        <w:t>100分。</w:t>
      </w:r>
    </w:p>
    <w:p w14:paraId="73A96418">
      <w:pPr>
        <w:pStyle w:val="8"/>
        <w:pageBreakBefore w:val="0"/>
        <w:kinsoku/>
        <w:wordWrap/>
        <w:overflowPunct/>
        <w:topLinePunct w:val="0"/>
        <w:autoSpaceDE/>
        <w:autoSpaceDN/>
        <w:bidi w:val="0"/>
        <w:adjustRightInd/>
        <w:snapToGrid/>
        <w:spacing w:line="560" w:lineRule="exact"/>
        <w:ind w:left="0" w:leftChars="0" w:firstLine="643" w:firstLineChars="200"/>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楷体_GBK" w:cs="Times New Roman"/>
          <w:b/>
          <w:bCs/>
          <w:kern w:val="2"/>
          <w:position w:val="0"/>
          <w:sz w:val="32"/>
          <w:szCs w:val="32"/>
          <w:lang w:val="en" w:eastAsia="zh-CN" w:bidi="ar-SA"/>
        </w:rPr>
        <w:t>（三）襄渝铁路西段伤残民兵民工补助。</w:t>
      </w:r>
      <w:r>
        <w:rPr>
          <w:rFonts w:hint="default" w:ascii="Times New Roman" w:hAnsi="Times New Roman" w:eastAsia="方正仿宋_GBK" w:cs="Times New Roman"/>
          <w:kern w:val="2"/>
          <w:position w:val="0"/>
          <w:sz w:val="32"/>
          <w:szCs w:val="32"/>
          <w:lang w:val="en" w:eastAsia="zh-CN" w:bidi="ar-SA"/>
        </w:rPr>
        <w:t>襄渝铁路西段伤残民兵民工补助资金拨付及时，均通过惠民惠农一卡通系统及时发放到位，对象满意度100%，自评总分</w:t>
      </w:r>
      <w:r>
        <w:rPr>
          <w:rFonts w:hint="default" w:ascii="Times New Roman" w:hAnsi="Times New Roman" w:eastAsia="方正仿宋_GBK" w:cs="Times New Roman"/>
          <w:kern w:val="2"/>
          <w:position w:val="0"/>
          <w:sz w:val="32"/>
          <w:szCs w:val="32"/>
          <w:lang w:val="en-US" w:eastAsia="zh-CN" w:bidi="ar-SA"/>
        </w:rPr>
        <w:t>100分。</w:t>
      </w:r>
    </w:p>
    <w:p w14:paraId="677DE80A">
      <w:pPr>
        <w:pStyle w:val="8"/>
        <w:pageBreakBefore w:val="0"/>
        <w:kinsoku/>
        <w:wordWrap/>
        <w:overflowPunct/>
        <w:topLinePunct w:val="0"/>
        <w:autoSpaceDE/>
        <w:autoSpaceDN/>
        <w:bidi w:val="0"/>
        <w:adjustRightInd/>
        <w:snapToGrid/>
        <w:spacing w:line="560" w:lineRule="exact"/>
        <w:ind w:left="0" w:leftChars="0" w:firstLine="643" w:firstLineChars="200"/>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楷体_GBK" w:cs="Times New Roman"/>
          <w:b/>
          <w:bCs/>
          <w:kern w:val="2"/>
          <w:position w:val="0"/>
          <w:sz w:val="32"/>
          <w:szCs w:val="32"/>
          <w:lang w:val="en" w:eastAsia="zh-CN" w:bidi="ar-SA"/>
        </w:rPr>
        <w:t>（四）精减退职职工补助。</w:t>
      </w:r>
      <w:r>
        <w:rPr>
          <w:rFonts w:hint="default" w:ascii="Times New Roman" w:hAnsi="Times New Roman" w:eastAsia="方正仿宋_GBK" w:cs="Times New Roman"/>
          <w:kern w:val="2"/>
          <w:position w:val="0"/>
          <w:sz w:val="32"/>
          <w:szCs w:val="32"/>
          <w:lang w:val="en" w:eastAsia="zh-CN" w:bidi="ar-SA"/>
        </w:rPr>
        <w:t>精减退职职工补助资金拨付及时，均通过惠民惠农一卡通系统及时发放到位，精减退职职工满意度达</w:t>
      </w:r>
      <w:r>
        <w:rPr>
          <w:rFonts w:hint="default" w:ascii="Times New Roman" w:hAnsi="Times New Roman" w:eastAsia="方正仿宋_GBK" w:cs="Times New Roman"/>
          <w:kern w:val="2"/>
          <w:position w:val="0"/>
          <w:sz w:val="32"/>
          <w:szCs w:val="32"/>
          <w:lang w:val="en-US" w:eastAsia="zh-CN" w:bidi="ar-SA"/>
        </w:rPr>
        <w:t>100</w:t>
      </w:r>
      <w:r>
        <w:rPr>
          <w:rFonts w:hint="default" w:ascii="Times New Roman" w:hAnsi="Times New Roman" w:eastAsia="方正仿宋_GBK" w:cs="Times New Roman"/>
          <w:kern w:val="2"/>
          <w:position w:val="0"/>
          <w:sz w:val="32"/>
          <w:szCs w:val="32"/>
          <w:lang w:val="en" w:eastAsia="zh-CN" w:bidi="ar-SA"/>
        </w:rPr>
        <w:t>%以上，自评总分</w:t>
      </w:r>
      <w:r>
        <w:rPr>
          <w:rFonts w:hint="default" w:ascii="Times New Roman" w:hAnsi="Times New Roman" w:eastAsia="方正仿宋_GBK" w:cs="Times New Roman"/>
          <w:kern w:val="2"/>
          <w:position w:val="0"/>
          <w:sz w:val="32"/>
          <w:szCs w:val="32"/>
          <w:lang w:val="en-US" w:eastAsia="zh-CN" w:bidi="ar-SA"/>
        </w:rPr>
        <w:t>100分</w:t>
      </w:r>
      <w:r>
        <w:rPr>
          <w:rFonts w:hint="default" w:ascii="Times New Roman" w:hAnsi="Times New Roman" w:eastAsia="方正仿宋_GBK" w:cs="Times New Roman"/>
          <w:kern w:val="2"/>
          <w:position w:val="0"/>
          <w:sz w:val="32"/>
          <w:szCs w:val="32"/>
          <w:lang w:val="en" w:eastAsia="zh-CN" w:bidi="ar-SA"/>
        </w:rPr>
        <w:t>。</w:t>
      </w:r>
    </w:p>
    <w:p w14:paraId="0C22412A">
      <w:pPr>
        <w:pStyle w:val="5"/>
        <w:keepNext w:val="0"/>
        <w:keepLines w:val="0"/>
        <w:pageBreakBefore w:val="0"/>
        <w:numPr>
          <w:ilvl w:val="0"/>
          <w:numId w:val="0"/>
        </w:numPr>
        <w:tabs>
          <w:tab w:val="left" w:pos="2160"/>
        </w:tabs>
        <w:kinsoku/>
        <w:wordWrap/>
        <w:overflowPunct/>
        <w:topLinePunct w:val="0"/>
        <w:autoSpaceDE/>
        <w:autoSpaceDN/>
        <w:bidi w:val="0"/>
        <w:adjustRightInd/>
        <w:snapToGrid/>
        <w:spacing w:line="560" w:lineRule="exact"/>
        <w:ind w:left="0" w:leftChars="0" w:firstLine="608" w:firstLineChars="200"/>
        <w:jc w:val="both"/>
        <w:textAlignment w:val="auto"/>
        <w:rPr>
          <w:rFonts w:hint="default" w:ascii="Times New Roman" w:hAnsi="Times New Roman" w:eastAsia="方正黑体_GBK" w:cs="Times New Roman"/>
          <w:color w:val="000000"/>
          <w:spacing w:val="-8"/>
          <w:kern w:val="2"/>
          <w:position w:val="0"/>
          <w:sz w:val="32"/>
          <w:szCs w:val="32"/>
          <w:lang w:val="zh-CN" w:eastAsia="zh-CN" w:bidi="ar-SA"/>
        </w:rPr>
      </w:pPr>
      <w:r>
        <w:rPr>
          <w:rFonts w:hint="default" w:ascii="Times New Roman" w:hAnsi="Times New Roman" w:eastAsia="方正黑体_GBK" w:cs="Times New Roman"/>
          <w:color w:val="000000"/>
          <w:spacing w:val="-8"/>
          <w:kern w:val="2"/>
          <w:position w:val="0"/>
          <w:sz w:val="32"/>
          <w:szCs w:val="32"/>
          <w:lang w:val="zh-CN" w:eastAsia="zh-CN" w:bidi="ar-SA"/>
        </w:rPr>
        <w:t>五、存在主要问题</w:t>
      </w:r>
    </w:p>
    <w:p w14:paraId="40C2CC45">
      <w:pPr>
        <w:pStyle w:val="8"/>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cs="Times New Roman"/>
          <w:lang w:val="en-US" w:eastAsia="zh-CN"/>
        </w:rPr>
      </w:pPr>
      <w:r>
        <w:rPr>
          <w:rFonts w:hint="default" w:ascii="Times New Roman" w:hAnsi="Times New Roman" w:cs="Times New Roman"/>
          <w:b w:val="0"/>
          <w:bCs w:val="0"/>
          <w:kern w:val="0"/>
          <w:position w:val="0"/>
          <w:sz w:val="32"/>
          <w:szCs w:val="32"/>
          <w:highlight w:val="none"/>
          <w:lang w:val="en-US" w:eastAsia="zh-CN" w:bidi="ar-SA"/>
        </w:rPr>
        <w:t>无</w:t>
      </w:r>
    </w:p>
    <w:p w14:paraId="46C4C298">
      <w:pPr>
        <w:pStyle w:val="5"/>
        <w:keepNext w:val="0"/>
        <w:keepLines w:val="0"/>
        <w:pageBreakBefore w:val="0"/>
        <w:numPr>
          <w:ilvl w:val="0"/>
          <w:numId w:val="0"/>
        </w:numPr>
        <w:tabs>
          <w:tab w:val="left" w:pos="2160"/>
        </w:tabs>
        <w:kinsoku/>
        <w:wordWrap/>
        <w:overflowPunct/>
        <w:topLinePunct w:val="0"/>
        <w:autoSpaceDE/>
        <w:autoSpaceDN/>
        <w:bidi w:val="0"/>
        <w:adjustRightInd/>
        <w:snapToGrid/>
        <w:spacing w:line="560" w:lineRule="exact"/>
        <w:ind w:left="0" w:leftChars="0" w:firstLine="608" w:firstLineChars="200"/>
        <w:jc w:val="both"/>
        <w:textAlignment w:val="auto"/>
        <w:rPr>
          <w:rFonts w:hint="default" w:ascii="Times New Roman" w:hAnsi="Times New Roman" w:eastAsia="方正黑体_GBK" w:cs="Times New Roman"/>
          <w:color w:val="000000"/>
          <w:spacing w:val="-8"/>
          <w:kern w:val="2"/>
          <w:position w:val="0"/>
          <w:sz w:val="32"/>
          <w:szCs w:val="32"/>
          <w:lang w:val="zh-CN" w:eastAsia="zh-CN" w:bidi="ar-SA"/>
        </w:rPr>
      </w:pPr>
      <w:r>
        <w:rPr>
          <w:rFonts w:hint="default" w:ascii="Times New Roman" w:hAnsi="Times New Roman" w:eastAsia="方正黑体_GBK" w:cs="Times New Roman"/>
          <w:color w:val="000000"/>
          <w:spacing w:val="-8"/>
          <w:kern w:val="2"/>
          <w:position w:val="0"/>
          <w:sz w:val="32"/>
          <w:szCs w:val="32"/>
          <w:lang w:val="zh-CN" w:eastAsia="zh-CN" w:bidi="ar-SA"/>
        </w:rPr>
        <w:t>六、改进建议</w:t>
      </w:r>
    </w:p>
    <w:p w14:paraId="1C43AD45">
      <w:pPr>
        <w:keepNext w:val="0"/>
        <w:keepLines w:val="0"/>
        <w:pageBreakBefore w:val="0"/>
        <w:tabs>
          <w:tab w:val="left" w:pos="1911"/>
        </w:tabs>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eastAsia="方正仿宋_GBK" w:cs="Times New Roman"/>
          <w:b w:val="0"/>
          <w:kern w:val="2"/>
          <w:position w:val="0"/>
          <w:sz w:val="32"/>
          <w:szCs w:val="32"/>
          <w:lang w:val="en-US" w:eastAsia="zh-CN" w:bidi="ar-SA"/>
        </w:rPr>
        <w:t xml:space="preserve">无  </w:t>
      </w:r>
    </w:p>
    <w:p w14:paraId="0218E8A2">
      <w:pPr>
        <w:keepNext w:val="0"/>
        <w:keepLines w:val="0"/>
        <w:pageBreakBefore w:val="0"/>
        <w:kinsoku/>
        <w:wordWrap/>
        <w:overflowPunct/>
        <w:topLinePunct w:val="0"/>
        <w:autoSpaceDE/>
        <w:autoSpaceDN/>
        <w:bidi w:val="0"/>
        <w:adjustRightInd/>
        <w:snapToGrid w:val="0"/>
        <w:spacing w:line="560" w:lineRule="exact"/>
        <w:ind w:left="0" w:leftChars="0" w:firstLine="420" w:firstLineChars="200"/>
        <w:jc w:val="both"/>
        <w:textAlignment w:val="auto"/>
        <w:outlineLvl w:val="9"/>
        <w:rPr>
          <w:rFonts w:hint="default" w:ascii="Times New Roman" w:hAnsi="Times New Roman" w:cs="Times New Roman"/>
          <w:color w:val="000000"/>
          <w:kern w:val="0"/>
          <w:szCs w:val="32"/>
          <w:highlight w:val="none"/>
          <w:shd w:val="clear" w:color="auto" w:fill="FFFFFF"/>
          <w:lang w:val="en-US" w:eastAsia="zh-CN"/>
        </w:rPr>
      </w:pPr>
    </w:p>
    <w:p w14:paraId="4A0FCDFB">
      <w:pPr>
        <w:keepNext w:val="0"/>
        <w:keepLines w:val="0"/>
        <w:pageBreakBefore w:val="0"/>
        <w:kinsoku/>
        <w:wordWrap/>
        <w:overflowPunct/>
        <w:topLinePunct w:val="0"/>
        <w:autoSpaceDE/>
        <w:autoSpaceDN/>
        <w:bidi w:val="0"/>
        <w:adjustRightInd/>
        <w:snapToGrid w:val="0"/>
        <w:spacing w:line="560" w:lineRule="exact"/>
        <w:ind w:left="0" w:leftChars="0" w:firstLine="640" w:firstLineChars="200"/>
        <w:jc w:val="both"/>
        <w:textAlignment w:val="auto"/>
        <w:outlineLvl w:val="9"/>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仿宋_GBK" w:cs="Times New Roman"/>
          <w:kern w:val="2"/>
          <w:position w:val="0"/>
          <w:sz w:val="32"/>
          <w:szCs w:val="32"/>
          <w:lang w:val="en-US" w:eastAsia="zh-CN" w:bidi="ar-SA"/>
        </w:rPr>
        <w:t>附表：1.专项预算绩效自评打分表</w:t>
      </w:r>
    </w:p>
    <w:p w14:paraId="7245048E">
      <w:pPr>
        <w:keepNext w:val="0"/>
        <w:keepLines w:val="0"/>
        <w:pageBreakBefore w:val="0"/>
        <w:kinsoku/>
        <w:wordWrap/>
        <w:overflowPunct/>
        <w:topLinePunct w:val="0"/>
        <w:autoSpaceDE/>
        <w:autoSpaceDN/>
        <w:bidi w:val="0"/>
        <w:adjustRightInd/>
        <w:snapToGrid w:val="0"/>
        <w:spacing w:line="560" w:lineRule="exact"/>
        <w:ind w:left="0" w:leftChars="0" w:firstLine="1600" w:firstLineChars="500"/>
        <w:jc w:val="both"/>
        <w:textAlignment w:val="auto"/>
        <w:outlineLvl w:val="9"/>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仿宋_GBK" w:cs="Times New Roman"/>
          <w:kern w:val="2"/>
          <w:position w:val="0"/>
          <w:sz w:val="32"/>
          <w:szCs w:val="32"/>
          <w:lang w:val="en-US" w:eastAsia="zh-CN" w:bidi="ar-SA"/>
        </w:rPr>
        <w:t>2.专项预算绩效自评实地踏勘点位清单表</w:t>
      </w:r>
    </w:p>
    <w:p w14:paraId="5F5A54D6">
      <w:pPr>
        <w:keepNext w:val="0"/>
        <w:keepLines w:val="0"/>
        <w:pageBreakBefore w:val="0"/>
        <w:kinsoku/>
        <w:wordWrap/>
        <w:overflowPunct/>
        <w:topLinePunct w:val="0"/>
        <w:autoSpaceDE/>
        <w:autoSpaceDN/>
        <w:bidi w:val="0"/>
        <w:adjustRightInd/>
        <w:snapToGrid w:val="0"/>
        <w:spacing w:line="560" w:lineRule="exact"/>
        <w:ind w:left="0" w:leftChars="0" w:firstLine="1600" w:firstLineChars="500"/>
        <w:jc w:val="both"/>
        <w:textAlignment w:val="auto"/>
        <w:outlineLvl w:val="9"/>
        <w:rPr>
          <w:rFonts w:hint="default" w:ascii="Times New Roman" w:hAnsi="Times New Roman" w:eastAsia="方正仿宋_GBK" w:cs="Times New Roman"/>
          <w:kern w:val="2"/>
          <w:position w:val="0"/>
          <w:sz w:val="32"/>
          <w:szCs w:val="32"/>
          <w:lang w:val="zh-CN" w:eastAsia="zh-CN" w:bidi="ar-SA"/>
        </w:rPr>
      </w:pPr>
      <w:r>
        <w:rPr>
          <w:rFonts w:hint="default" w:ascii="Times New Roman" w:hAnsi="Times New Roman" w:eastAsia="方正仿宋_GBK" w:cs="Times New Roman"/>
          <w:kern w:val="2"/>
          <w:position w:val="0"/>
          <w:sz w:val="32"/>
          <w:szCs w:val="32"/>
          <w:lang w:val="en-US" w:eastAsia="zh-CN" w:bidi="ar-SA"/>
        </w:rPr>
        <w:t>3.专项预算项目绩效目标完成情况自评表</w:t>
      </w:r>
    </w:p>
    <w:p w14:paraId="76325F90">
      <w:pPr>
        <w:keepNext w:val="0"/>
        <w:keepLines w:val="0"/>
        <w:pageBreakBefore w:val="0"/>
        <w:kinsoku/>
        <w:wordWrap/>
        <w:overflowPunct/>
        <w:topLinePunct w:val="0"/>
        <w:autoSpaceDE/>
        <w:autoSpaceDN/>
        <w:bidi w:val="0"/>
        <w:spacing w:line="560" w:lineRule="exact"/>
        <w:jc w:val="both"/>
        <w:textAlignment w:val="auto"/>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4A4A66A8">
      <w:pPr>
        <w:keepNext w:val="0"/>
        <w:keepLines w:val="0"/>
        <w:pageBreakBefore w:val="0"/>
        <w:widowControl w:val="0"/>
        <w:kinsoku/>
        <w:wordWrap/>
        <w:overflowPunct/>
        <w:topLinePunct w:val="0"/>
        <w:autoSpaceDE/>
        <w:autoSpaceDN/>
        <w:bidi w:val="0"/>
        <w:spacing w:line="578" w:lineRule="exact"/>
        <w:ind w:left="0"/>
        <w:jc w:val="center"/>
        <w:textAlignment w:val="auto"/>
        <w:rPr>
          <w:rFonts w:hint="default" w:ascii="Times New Roman" w:hAnsi="Times New Roman" w:eastAsia="方正小标宋_GBK" w:cs="Times New Roman"/>
          <w:color w:val="auto"/>
          <w:sz w:val="40"/>
          <w:szCs w:val="40"/>
          <w:highlight w:val="none"/>
          <w:u w:val="none"/>
          <w:lang w:val="en-US" w:eastAsia="zh-CN" w:bidi="ar-SA"/>
        </w:rPr>
      </w:pPr>
      <w:r>
        <w:rPr>
          <w:rFonts w:hint="default" w:ascii="Times New Roman" w:hAnsi="Times New Roman" w:eastAsia="方正小标宋_GBK" w:cs="Times New Roman"/>
          <w:color w:val="auto"/>
          <w:sz w:val="40"/>
          <w:szCs w:val="40"/>
          <w:highlight w:val="none"/>
          <w:u w:val="none"/>
          <w:lang w:val="en-US" w:eastAsia="zh-CN" w:bidi="ar-SA"/>
        </w:rPr>
        <w:t>专项预算绩效自评打分表</w:t>
      </w:r>
    </w:p>
    <w:tbl>
      <w:tblPr>
        <w:tblStyle w:val="17"/>
        <w:tblW w:w="10900" w:type="dxa"/>
        <w:jc w:val="center"/>
        <w:tblLayout w:type="fixed"/>
        <w:tblCellMar>
          <w:top w:w="0" w:type="dxa"/>
          <w:left w:w="108" w:type="dxa"/>
          <w:bottom w:w="0" w:type="dxa"/>
          <w:right w:w="108" w:type="dxa"/>
        </w:tblCellMar>
      </w:tblPr>
      <w:tblGrid>
        <w:gridCol w:w="1074"/>
        <w:gridCol w:w="1235"/>
        <w:gridCol w:w="1435"/>
        <w:gridCol w:w="616"/>
        <w:gridCol w:w="5340"/>
        <w:gridCol w:w="732"/>
        <w:gridCol w:w="468"/>
      </w:tblGrid>
      <w:tr w14:paraId="465F4756">
        <w:tblPrEx>
          <w:tblCellMar>
            <w:top w:w="0" w:type="dxa"/>
            <w:left w:w="108" w:type="dxa"/>
            <w:bottom w:w="0" w:type="dxa"/>
            <w:right w:w="108" w:type="dxa"/>
          </w:tblCellMar>
        </w:tblPrEx>
        <w:trPr>
          <w:trHeight w:val="360" w:hRule="atLeast"/>
          <w:jc w:val="center"/>
        </w:trPr>
        <w:tc>
          <w:tcPr>
            <w:tcW w:w="4360" w:type="dxa"/>
            <w:gridSpan w:val="4"/>
            <w:tcBorders>
              <w:top w:val="single" w:color="000000" w:sz="4" w:space="0"/>
              <w:left w:val="single" w:color="000000" w:sz="4" w:space="0"/>
              <w:bottom w:val="nil"/>
              <w:right w:val="nil"/>
            </w:tcBorders>
            <w:noWrap w:val="0"/>
            <w:vAlign w:val="center"/>
          </w:tcPr>
          <w:p w14:paraId="5969C3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color w:val="000000"/>
                <w:sz w:val="24"/>
                <w:szCs w:val="24"/>
                <w:u w:val="none"/>
                <w:lang w:bidi="ar-SA"/>
              </w:rPr>
            </w:pPr>
            <w:r>
              <w:rPr>
                <w:rFonts w:hint="default" w:ascii="Times New Roman" w:hAnsi="Times New Roman" w:eastAsia="黑体" w:cs="Times New Roman"/>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14:paraId="1AD8DE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color w:val="000000"/>
                <w:sz w:val="24"/>
                <w:szCs w:val="24"/>
                <w:u w:val="none"/>
                <w:lang w:bidi="ar-SA"/>
              </w:rPr>
            </w:pPr>
            <w:r>
              <w:rPr>
                <w:rFonts w:hint="default" w:ascii="Times New Roman" w:hAnsi="Times New Roman" w:eastAsia="黑体" w:cs="Times New Roman"/>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bottom w:val="nil"/>
              <w:right w:val="single" w:color="000000" w:sz="4" w:space="0"/>
            </w:tcBorders>
            <w:noWrap w:val="0"/>
            <w:vAlign w:val="center"/>
          </w:tcPr>
          <w:p w14:paraId="75851F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color w:val="000000"/>
                <w:kern w:val="0"/>
                <w:sz w:val="24"/>
                <w:szCs w:val="24"/>
                <w:u w:val="none"/>
                <w:lang w:val="en-US" w:eastAsia="zh-CN" w:bidi="ar"/>
              </w:rPr>
            </w:pPr>
            <w:r>
              <w:rPr>
                <w:rFonts w:hint="default" w:ascii="Times New Roman" w:hAnsi="Times New Roman" w:eastAsia="黑体" w:cs="Times New Roman"/>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bottom w:val="nil"/>
              <w:right w:val="single" w:color="000000" w:sz="4" w:space="0"/>
            </w:tcBorders>
            <w:noWrap w:val="0"/>
            <w:vAlign w:val="center"/>
          </w:tcPr>
          <w:p w14:paraId="3EAADD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color w:val="000000"/>
                <w:kern w:val="0"/>
                <w:sz w:val="24"/>
                <w:szCs w:val="24"/>
                <w:u w:val="none"/>
                <w:lang w:val="en-US" w:eastAsia="zh-CN" w:bidi="ar"/>
              </w:rPr>
            </w:pPr>
            <w:r>
              <w:rPr>
                <w:rFonts w:hint="default" w:ascii="Times New Roman" w:hAnsi="Times New Roman" w:eastAsia="黑体" w:cs="Times New Roman"/>
                <w:color w:val="000000"/>
                <w:kern w:val="0"/>
                <w:sz w:val="24"/>
                <w:szCs w:val="24"/>
                <w:u w:val="none"/>
                <w:lang w:val="en-US" w:eastAsia="zh-CN" w:bidi="ar"/>
              </w:rPr>
              <w:t>备注</w:t>
            </w:r>
          </w:p>
        </w:tc>
      </w:tr>
      <w:tr w14:paraId="47024156">
        <w:tblPrEx>
          <w:tblCellMar>
            <w:top w:w="0" w:type="dxa"/>
            <w:left w:w="108" w:type="dxa"/>
            <w:bottom w:w="0" w:type="dxa"/>
            <w:right w:w="108" w:type="dxa"/>
          </w:tblCellMar>
        </w:tblPrEx>
        <w:trPr>
          <w:trHeight w:val="23" w:hRule="atLeast"/>
          <w:jc w:val="center"/>
        </w:trPr>
        <w:tc>
          <w:tcPr>
            <w:tcW w:w="1074" w:type="dxa"/>
            <w:tcBorders>
              <w:top w:val="single" w:color="000000" w:sz="4" w:space="0"/>
              <w:left w:val="single" w:color="000000" w:sz="4" w:space="0"/>
              <w:bottom w:val="single" w:color="000000" w:sz="4" w:space="0"/>
              <w:right w:val="single" w:color="000000" w:sz="4" w:space="0"/>
            </w:tcBorders>
            <w:noWrap w:val="0"/>
            <w:vAlign w:val="center"/>
          </w:tcPr>
          <w:p w14:paraId="007FB0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color w:val="000000"/>
                <w:sz w:val="24"/>
                <w:szCs w:val="24"/>
                <w:u w:val="none"/>
                <w:lang w:bidi="ar-SA"/>
              </w:rPr>
            </w:pPr>
            <w:r>
              <w:rPr>
                <w:rFonts w:hint="default" w:ascii="Times New Roman" w:hAnsi="Times New Roman" w:eastAsia="黑体" w:cs="Times New Roman"/>
                <w:color w:val="000000"/>
                <w:kern w:val="0"/>
                <w:sz w:val="24"/>
                <w:szCs w:val="24"/>
                <w:u w:val="none"/>
                <w:lang w:val="en-US" w:eastAsia="zh-CN" w:bidi="ar"/>
              </w:rPr>
              <w:t>一级指标</w:t>
            </w:r>
          </w:p>
        </w:tc>
        <w:tc>
          <w:tcPr>
            <w:tcW w:w="1235" w:type="dxa"/>
            <w:tcBorders>
              <w:top w:val="single" w:color="000000" w:sz="4" w:space="0"/>
              <w:left w:val="single" w:color="000000" w:sz="4" w:space="0"/>
              <w:bottom w:val="single" w:color="000000" w:sz="4" w:space="0"/>
              <w:right w:val="single" w:color="000000" w:sz="4" w:space="0"/>
            </w:tcBorders>
            <w:noWrap w:val="0"/>
            <w:vAlign w:val="center"/>
          </w:tcPr>
          <w:p w14:paraId="5C096D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color w:val="000000"/>
                <w:sz w:val="24"/>
                <w:szCs w:val="24"/>
                <w:u w:val="none"/>
                <w:lang w:bidi="ar-SA"/>
              </w:rPr>
            </w:pPr>
            <w:r>
              <w:rPr>
                <w:rFonts w:hint="default" w:ascii="Times New Roman" w:hAnsi="Times New Roman" w:eastAsia="黑体" w:cs="Times New Roman"/>
                <w:color w:val="000000"/>
                <w:kern w:val="0"/>
                <w:sz w:val="24"/>
                <w:szCs w:val="24"/>
                <w:u w:val="none"/>
                <w:lang w:val="en-US" w:eastAsia="zh-CN" w:bidi="ar"/>
              </w:rPr>
              <w:t>二级指标</w:t>
            </w: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02D570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color w:val="000000"/>
                <w:sz w:val="24"/>
                <w:szCs w:val="24"/>
                <w:u w:val="none"/>
                <w:lang w:bidi="ar-SA"/>
              </w:rPr>
            </w:pPr>
            <w:r>
              <w:rPr>
                <w:rFonts w:hint="default" w:ascii="Times New Roman" w:hAnsi="Times New Roman" w:eastAsia="黑体" w:cs="Times New Roman"/>
                <w:color w:val="000000"/>
                <w:kern w:val="0"/>
                <w:sz w:val="24"/>
                <w:szCs w:val="24"/>
                <w:u w:val="none"/>
                <w:lang w:val="en-US" w:eastAsia="zh-CN" w:bidi="ar"/>
              </w:rPr>
              <w:t>三级指标</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792599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color w:val="000000"/>
                <w:sz w:val="24"/>
                <w:szCs w:val="24"/>
                <w:u w:val="none"/>
                <w:lang w:bidi="ar-SA"/>
              </w:rPr>
            </w:pPr>
            <w:r>
              <w:rPr>
                <w:rFonts w:hint="default" w:ascii="Times New Roman" w:hAnsi="Times New Roman" w:eastAsia="黑体" w:cs="Times New Roman"/>
                <w:color w:val="000000"/>
                <w:kern w:val="0"/>
                <w:sz w:val="24"/>
                <w:szCs w:val="24"/>
                <w:u w:val="none"/>
                <w:lang w:val="en-US" w:eastAsia="zh-CN" w:bidi="ar"/>
              </w:rPr>
              <w:t>指标</w:t>
            </w:r>
            <w:r>
              <w:rPr>
                <w:rFonts w:hint="default" w:ascii="Times New Roman" w:hAnsi="Times New Roman" w:eastAsia="黑体" w:cs="Times New Roman"/>
                <w:color w:val="000000"/>
                <w:kern w:val="0"/>
                <w:sz w:val="24"/>
                <w:szCs w:val="24"/>
                <w:u w:val="none"/>
                <w:lang w:val="en-US" w:eastAsia="zh-CN" w:bidi="ar"/>
              </w:rPr>
              <w:br w:type="textWrapping"/>
            </w:r>
            <w:r>
              <w:rPr>
                <w:rFonts w:hint="default" w:ascii="Times New Roman" w:hAnsi="Times New Roman" w:eastAsia="黑体" w:cs="Times New Roman"/>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979F2E">
            <w:pPr>
              <w:rPr>
                <w:rFonts w:hint="default" w:ascii="Times New Roman" w:hAnsi="Times New Roman" w:cs="Times New Roman"/>
              </w:rPr>
            </w:pPr>
          </w:p>
        </w:tc>
        <w:tc>
          <w:tcPr>
            <w:tcW w:w="732" w:type="dxa"/>
            <w:vMerge w:val="continue"/>
            <w:tcBorders>
              <w:top w:val="nil"/>
              <w:left w:val="single" w:color="000000" w:sz="4" w:space="0"/>
              <w:bottom w:val="single" w:color="000000" w:sz="4" w:space="0"/>
              <w:right w:val="single" w:color="000000" w:sz="4" w:space="0"/>
            </w:tcBorders>
            <w:noWrap w:val="0"/>
            <w:vAlign w:val="center"/>
          </w:tcPr>
          <w:p w14:paraId="2BF419B5">
            <w:pPr>
              <w:rPr>
                <w:rFonts w:hint="default" w:ascii="Times New Roman" w:hAnsi="Times New Roman" w:cs="Times New Roman"/>
              </w:rPr>
            </w:pPr>
          </w:p>
        </w:tc>
        <w:tc>
          <w:tcPr>
            <w:tcW w:w="468" w:type="dxa"/>
            <w:vMerge w:val="continue"/>
            <w:tcBorders>
              <w:top w:val="nil"/>
              <w:left w:val="single" w:color="000000" w:sz="4" w:space="0"/>
              <w:bottom w:val="single" w:color="000000" w:sz="4" w:space="0"/>
              <w:right w:val="single" w:color="000000" w:sz="4" w:space="0"/>
            </w:tcBorders>
            <w:noWrap w:val="0"/>
            <w:vAlign w:val="center"/>
          </w:tcPr>
          <w:p w14:paraId="4C13793B">
            <w:pPr>
              <w:rPr>
                <w:rFonts w:hint="default" w:ascii="Times New Roman" w:hAnsi="Times New Roman" w:cs="Times New Roman"/>
              </w:rPr>
            </w:pPr>
          </w:p>
        </w:tc>
      </w:tr>
      <w:tr w14:paraId="05F1E02A">
        <w:tblPrEx>
          <w:tblCellMar>
            <w:top w:w="0" w:type="dxa"/>
            <w:left w:w="108" w:type="dxa"/>
            <w:bottom w:w="0" w:type="dxa"/>
            <w:right w:w="108" w:type="dxa"/>
          </w:tblCellMar>
        </w:tblPrEx>
        <w:trPr>
          <w:trHeight w:val="23" w:hRule="atLeast"/>
          <w:jc w:val="center"/>
        </w:trPr>
        <w:tc>
          <w:tcPr>
            <w:tcW w:w="1074" w:type="dxa"/>
            <w:vMerge w:val="restart"/>
            <w:tcBorders>
              <w:top w:val="single" w:color="000000" w:sz="4" w:space="0"/>
              <w:left w:val="single" w:color="000000" w:sz="4" w:space="0"/>
              <w:bottom w:val="single" w:color="000000" w:sz="4" w:space="0"/>
              <w:right w:val="single" w:color="000000" w:sz="4" w:space="0"/>
            </w:tcBorders>
            <w:noWrap w:val="0"/>
            <w:vAlign w:val="center"/>
          </w:tcPr>
          <w:p w14:paraId="245770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方正仿宋_GBK" w:cs="Times New Roman"/>
                <w:b/>
                <w:color w:val="000000"/>
                <w:kern w:val="0"/>
                <w:sz w:val="24"/>
                <w:szCs w:val="24"/>
                <w:u w:val="none"/>
                <w:lang w:val="en-US" w:eastAsia="zh-CN" w:bidi="ar"/>
              </w:rPr>
              <w:t>通用指标</w:t>
            </w:r>
            <w:r>
              <w:rPr>
                <w:rFonts w:hint="default" w:ascii="Times New Roman" w:hAnsi="Times New Roman" w:eastAsia="宋体"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w:t>
            </w:r>
            <w:r>
              <w:rPr>
                <w:rFonts w:hint="default" w:ascii="Times New Roman" w:hAnsi="Times New Roman" w:eastAsia="方正仿宋简体" w:cs="Times New Roman"/>
                <w:b/>
                <w:bCs/>
                <w:spacing w:val="-17"/>
                <w:sz w:val="24"/>
                <w:szCs w:val="24"/>
              </w:rPr>
              <w:t>54</w:t>
            </w:r>
            <w:r>
              <w:rPr>
                <w:rFonts w:hint="default" w:ascii="Times New Roman" w:hAnsi="Times New Roman" w:eastAsia="方正仿宋_GBK" w:cs="Times New Roman"/>
                <w:b/>
                <w:color w:val="000000"/>
                <w:kern w:val="0"/>
                <w:sz w:val="24"/>
                <w:szCs w:val="24"/>
                <w:u w:val="none"/>
                <w:lang w:val="en-US" w:eastAsia="zh-CN" w:bidi="ar"/>
              </w:rPr>
              <w:t>分</w:t>
            </w:r>
            <w:r>
              <w:rPr>
                <w:rFonts w:hint="default" w:ascii="Times New Roman" w:hAnsi="Times New Roman" w:eastAsia="宋体" w:cs="Times New Roman"/>
                <w:b/>
                <w:color w:val="000000"/>
                <w:kern w:val="0"/>
                <w:sz w:val="24"/>
                <w:szCs w:val="24"/>
                <w:u w:val="none"/>
                <w:lang w:val="en-US" w:eastAsia="zh-CN" w:bidi="ar"/>
              </w:rPr>
              <w:t>）</w:t>
            </w:r>
          </w:p>
        </w:tc>
        <w:tc>
          <w:tcPr>
            <w:tcW w:w="1235" w:type="dxa"/>
            <w:vMerge w:val="restart"/>
            <w:tcBorders>
              <w:top w:val="single" w:color="000000" w:sz="4" w:space="0"/>
              <w:left w:val="single" w:color="000000" w:sz="4" w:space="0"/>
              <w:bottom w:val="single" w:color="000000" w:sz="4" w:space="0"/>
              <w:right w:val="single" w:color="000000" w:sz="4" w:space="0"/>
            </w:tcBorders>
            <w:noWrap w:val="0"/>
            <w:vAlign w:val="center"/>
          </w:tcPr>
          <w:p w14:paraId="10C272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方正仿宋_GBK" w:cs="Times New Roman"/>
                <w:b/>
                <w:color w:val="000000"/>
                <w:kern w:val="0"/>
                <w:sz w:val="24"/>
                <w:szCs w:val="24"/>
                <w:u w:val="none"/>
                <w:lang w:val="en-US" w:eastAsia="zh-CN" w:bidi="ar"/>
              </w:rPr>
              <w:t>项目决策</w:t>
            </w:r>
            <w:r>
              <w:rPr>
                <w:rFonts w:hint="default" w:ascii="Times New Roman" w:hAnsi="Times New Roman" w:eastAsia="宋体"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w:t>
            </w:r>
            <w:r>
              <w:rPr>
                <w:rFonts w:hint="default" w:ascii="Times New Roman" w:hAnsi="Times New Roman" w:eastAsia="方正仿宋简体" w:cs="Times New Roman"/>
                <w:b/>
                <w:bCs/>
                <w:spacing w:val="-17"/>
                <w:sz w:val="24"/>
                <w:szCs w:val="24"/>
              </w:rPr>
              <w:t>18</w:t>
            </w:r>
            <w:r>
              <w:rPr>
                <w:rFonts w:hint="default" w:ascii="Times New Roman" w:hAnsi="Times New Roman" w:eastAsia="宋体" w:cs="Times New Roman"/>
                <w:b/>
                <w:color w:val="000000"/>
                <w:kern w:val="0"/>
                <w:sz w:val="24"/>
                <w:szCs w:val="24"/>
                <w:u w:val="none"/>
                <w:lang w:val="en-US" w:eastAsia="zh-CN" w:bidi="ar"/>
              </w:rPr>
              <w:t>分）</w:t>
            </w: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20BB05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color w:val="000000"/>
                <w:sz w:val="24"/>
                <w:szCs w:val="24"/>
                <w:u w:val="none"/>
                <w:lang w:bidi="ar-SA"/>
              </w:rPr>
            </w:pPr>
            <w:r>
              <w:rPr>
                <w:rFonts w:hint="default" w:ascii="Times New Roman" w:hAnsi="Times New Roman" w:eastAsia="方正仿宋_GBK" w:cs="Times New Roman"/>
                <w:color w:val="000000"/>
                <w:kern w:val="0"/>
                <w:sz w:val="24"/>
                <w:szCs w:val="24"/>
                <w:u w:val="none"/>
                <w:lang w:val="en-US" w:eastAsia="zh-CN" w:bidi="ar"/>
              </w:rPr>
              <w:t>决策程序</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0FD076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color w:val="000000"/>
                <w:sz w:val="24"/>
                <w:szCs w:val="24"/>
                <w:u w:val="none"/>
                <w:lang w:bidi="ar-SA"/>
              </w:rPr>
            </w:pPr>
            <w:r>
              <w:rPr>
                <w:rFonts w:hint="default" w:ascii="Times New Roman" w:hAnsi="Times New Roman" w:eastAsia="方正仿宋简体" w:cs="Times New Roman"/>
                <w:b/>
                <w:bCs/>
                <w:spacing w:val="-17"/>
                <w:sz w:val="24"/>
                <w:szCs w:val="24"/>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0AD8CD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A0230CC">
            <w:pPr>
              <w:keepNext w:val="0"/>
              <w:keepLines w:val="0"/>
              <w:pageBreakBefore w:val="0"/>
              <w:widowControl/>
              <w:suppressLineNumbers w:val="0"/>
              <w:kinsoku/>
              <w:wordWrap/>
              <w:overflowPunct/>
              <w:topLinePunct w:val="0"/>
              <w:autoSpaceDE/>
              <w:autoSpaceDN/>
              <w:bidi w:val="0"/>
              <w:adjustRightInd/>
              <w:snapToGrid/>
              <w:spacing w:line="240" w:lineRule="exact"/>
              <w:ind w:left="0" w:firstLine="103" w:firstLineChars="50"/>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方正仿宋简体" w:cs="Times New Roman"/>
                <w:b/>
                <w:bCs/>
                <w:spacing w:val="-17"/>
                <w:sz w:val="24"/>
                <w:szCs w:val="24"/>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CCE888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49FC44BF">
        <w:tblPrEx>
          <w:tblCellMar>
            <w:top w:w="0" w:type="dxa"/>
            <w:left w:w="108" w:type="dxa"/>
            <w:bottom w:w="0" w:type="dxa"/>
            <w:right w:w="108" w:type="dxa"/>
          </w:tblCellMar>
        </w:tblPrEx>
        <w:trPr>
          <w:trHeight w:val="23" w:hRule="atLeast"/>
          <w:jc w:val="center"/>
        </w:trPr>
        <w:tc>
          <w:tcPr>
            <w:tcW w:w="10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903DC6">
            <w:pPr>
              <w:rPr>
                <w:rFonts w:hint="default" w:ascii="Times New Roman" w:hAnsi="Times New Roman" w:cs="Times New Roman"/>
              </w:rPr>
            </w:pPr>
          </w:p>
        </w:tc>
        <w:tc>
          <w:tcPr>
            <w:tcW w:w="12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0B84A2">
            <w:pPr>
              <w:rPr>
                <w:rFonts w:hint="default" w:ascii="Times New Roman" w:hAnsi="Times New Roman" w:cs="Times New Roman"/>
              </w:rPr>
            </w:pP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1B7614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color w:val="000000"/>
                <w:sz w:val="24"/>
                <w:szCs w:val="24"/>
                <w:u w:val="none"/>
                <w:lang w:bidi="ar-SA"/>
              </w:rPr>
            </w:pPr>
            <w:r>
              <w:rPr>
                <w:rFonts w:hint="default" w:ascii="Times New Roman" w:hAnsi="Times New Roman" w:eastAsia="方正仿宋_GBK" w:cs="Times New Roman"/>
                <w:color w:val="000000"/>
                <w:kern w:val="0"/>
                <w:sz w:val="24"/>
                <w:szCs w:val="24"/>
                <w:u w:val="none"/>
                <w:lang w:val="en-US" w:eastAsia="zh-CN" w:bidi="ar"/>
              </w:rPr>
              <w:t>规划论证</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06B506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方正仿宋简体" w:cs="Times New Roman"/>
                <w:b/>
                <w:bCs/>
                <w:spacing w:val="-17"/>
                <w:sz w:val="24"/>
                <w:szCs w:val="24"/>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E59ED7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FB75137">
            <w:pPr>
              <w:keepNext w:val="0"/>
              <w:keepLines w:val="0"/>
              <w:pageBreakBefore w:val="0"/>
              <w:widowControl/>
              <w:suppressLineNumbers w:val="0"/>
              <w:kinsoku/>
              <w:wordWrap/>
              <w:overflowPunct/>
              <w:topLinePunct w:val="0"/>
              <w:autoSpaceDE/>
              <w:autoSpaceDN/>
              <w:bidi w:val="0"/>
              <w:adjustRightInd/>
              <w:snapToGrid/>
              <w:spacing w:line="240" w:lineRule="exact"/>
              <w:ind w:firstLine="103" w:firstLineChars="50"/>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方正仿宋简体" w:cs="Times New Roman"/>
                <w:b/>
                <w:bCs/>
                <w:spacing w:val="-17"/>
                <w:sz w:val="24"/>
                <w:szCs w:val="24"/>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8A398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48BEBAB3">
        <w:tblPrEx>
          <w:tblCellMar>
            <w:top w:w="0" w:type="dxa"/>
            <w:left w:w="108" w:type="dxa"/>
            <w:bottom w:w="0" w:type="dxa"/>
            <w:right w:w="108" w:type="dxa"/>
          </w:tblCellMar>
        </w:tblPrEx>
        <w:trPr>
          <w:trHeight w:val="734" w:hRule="atLeast"/>
          <w:jc w:val="center"/>
        </w:trPr>
        <w:tc>
          <w:tcPr>
            <w:tcW w:w="10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9436BE">
            <w:pPr>
              <w:rPr>
                <w:rFonts w:hint="default" w:ascii="Times New Roman" w:hAnsi="Times New Roman" w:cs="Times New Roman"/>
              </w:rPr>
            </w:pPr>
          </w:p>
        </w:tc>
        <w:tc>
          <w:tcPr>
            <w:tcW w:w="12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E1C528">
            <w:pPr>
              <w:rPr>
                <w:rFonts w:hint="default" w:ascii="Times New Roman" w:hAnsi="Times New Roman" w:cs="Times New Roman"/>
              </w:rPr>
            </w:pP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5B5A10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color w:val="000000"/>
                <w:sz w:val="24"/>
                <w:szCs w:val="24"/>
                <w:u w:val="none"/>
                <w:lang w:bidi="ar-SA"/>
              </w:rPr>
            </w:pPr>
            <w:r>
              <w:rPr>
                <w:rFonts w:hint="default" w:ascii="Times New Roman" w:hAnsi="Times New Roman" w:eastAsia="方正仿宋_GBK" w:cs="Times New Roman"/>
                <w:color w:val="000000"/>
                <w:kern w:val="0"/>
                <w:sz w:val="24"/>
                <w:szCs w:val="24"/>
                <w:u w:val="none"/>
                <w:lang w:val="en-US" w:eastAsia="zh-CN" w:bidi="ar"/>
              </w:rPr>
              <w:t>资金投向</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428617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方正仿宋简体" w:cs="Times New Roman"/>
                <w:b/>
                <w:bCs/>
                <w:spacing w:val="-17"/>
                <w:sz w:val="24"/>
                <w:szCs w:val="24"/>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9DE231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8F165C7">
            <w:pPr>
              <w:keepNext w:val="0"/>
              <w:keepLines w:val="0"/>
              <w:pageBreakBefore w:val="0"/>
              <w:widowControl/>
              <w:suppressLineNumbers w:val="0"/>
              <w:kinsoku/>
              <w:wordWrap/>
              <w:overflowPunct/>
              <w:topLinePunct w:val="0"/>
              <w:autoSpaceDE/>
              <w:autoSpaceDN/>
              <w:bidi w:val="0"/>
              <w:adjustRightInd/>
              <w:snapToGrid/>
              <w:spacing w:line="240" w:lineRule="exact"/>
              <w:ind w:firstLine="103" w:firstLineChars="50"/>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方正仿宋简体" w:cs="Times New Roman"/>
                <w:b/>
                <w:bCs/>
                <w:spacing w:val="-17"/>
                <w:sz w:val="24"/>
                <w:szCs w:val="24"/>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D65EF0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26FEA5C7">
        <w:tblPrEx>
          <w:tblCellMar>
            <w:top w:w="0" w:type="dxa"/>
            <w:left w:w="108" w:type="dxa"/>
            <w:bottom w:w="0" w:type="dxa"/>
            <w:right w:w="108" w:type="dxa"/>
          </w:tblCellMar>
        </w:tblPrEx>
        <w:trPr>
          <w:trHeight w:val="23" w:hRule="atLeast"/>
          <w:jc w:val="center"/>
        </w:trPr>
        <w:tc>
          <w:tcPr>
            <w:tcW w:w="10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222379">
            <w:pPr>
              <w:rPr>
                <w:rFonts w:hint="default" w:ascii="Times New Roman" w:hAnsi="Times New Roman" w:cs="Times New Roman"/>
              </w:rPr>
            </w:pPr>
          </w:p>
        </w:tc>
        <w:tc>
          <w:tcPr>
            <w:tcW w:w="1235" w:type="dxa"/>
            <w:vMerge w:val="restart"/>
            <w:tcBorders>
              <w:top w:val="single" w:color="000000" w:sz="4" w:space="0"/>
              <w:left w:val="single" w:color="000000" w:sz="4" w:space="0"/>
              <w:bottom w:val="single" w:color="000000" w:sz="4" w:space="0"/>
              <w:right w:val="single" w:color="000000" w:sz="4" w:space="0"/>
            </w:tcBorders>
            <w:noWrap w:val="0"/>
            <w:vAlign w:val="center"/>
          </w:tcPr>
          <w:p w14:paraId="3189A9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方正仿宋_GBK" w:cs="Times New Roman"/>
                <w:b/>
                <w:color w:val="000000"/>
                <w:kern w:val="0"/>
                <w:sz w:val="24"/>
                <w:szCs w:val="24"/>
                <w:u w:val="none"/>
                <w:lang w:val="en-US" w:eastAsia="zh-CN" w:bidi="ar"/>
              </w:rPr>
              <w:t>项目管理</w:t>
            </w:r>
            <w:r>
              <w:rPr>
                <w:rFonts w:hint="default" w:ascii="Times New Roman" w:hAnsi="Times New Roman" w:eastAsia="方正仿宋_GBK"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w:t>
            </w:r>
            <w:r>
              <w:rPr>
                <w:rFonts w:hint="default" w:ascii="Times New Roman" w:hAnsi="Times New Roman" w:eastAsia="方正仿宋简体" w:cs="Times New Roman"/>
                <w:b/>
                <w:bCs/>
                <w:spacing w:val="-17"/>
                <w:sz w:val="24"/>
                <w:szCs w:val="24"/>
              </w:rPr>
              <w:t>18</w:t>
            </w:r>
            <w:r>
              <w:rPr>
                <w:rFonts w:hint="default" w:ascii="Times New Roman" w:hAnsi="Times New Roman" w:eastAsia="宋体" w:cs="Times New Roman"/>
                <w:b/>
                <w:color w:val="000000"/>
                <w:kern w:val="0"/>
                <w:sz w:val="24"/>
                <w:szCs w:val="24"/>
                <w:u w:val="none"/>
                <w:lang w:val="en-US" w:eastAsia="zh-CN" w:bidi="ar"/>
              </w:rPr>
              <w:t>分）</w:t>
            </w: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1C6A42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color w:val="000000"/>
                <w:sz w:val="24"/>
                <w:szCs w:val="24"/>
                <w:u w:val="none"/>
                <w:lang w:bidi="ar-SA"/>
              </w:rPr>
            </w:pPr>
            <w:r>
              <w:rPr>
                <w:rFonts w:hint="default" w:ascii="Times New Roman" w:hAnsi="Times New Roman" w:eastAsia="方正仿宋_GBK" w:cs="Times New Roman"/>
                <w:color w:val="000000"/>
                <w:kern w:val="0"/>
                <w:sz w:val="24"/>
                <w:szCs w:val="24"/>
                <w:u w:val="none"/>
                <w:lang w:val="en-US" w:eastAsia="zh-CN" w:bidi="ar"/>
              </w:rPr>
              <w:t>制度办法</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5B8B2B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方正仿宋简体" w:cs="Times New Roman"/>
                <w:b/>
                <w:bCs/>
                <w:spacing w:val="-17"/>
                <w:sz w:val="24"/>
                <w:szCs w:val="24"/>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4FC792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8A742DD">
            <w:pPr>
              <w:keepNext w:val="0"/>
              <w:keepLines w:val="0"/>
              <w:pageBreakBefore w:val="0"/>
              <w:widowControl/>
              <w:suppressLineNumbers w:val="0"/>
              <w:kinsoku/>
              <w:wordWrap/>
              <w:overflowPunct/>
              <w:topLinePunct w:val="0"/>
              <w:autoSpaceDE/>
              <w:autoSpaceDN/>
              <w:bidi w:val="0"/>
              <w:adjustRightInd/>
              <w:snapToGrid/>
              <w:spacing w:line="240" w:lineRule="exact"/>
              <w:ind w:firstLine="103" w:firstLineChars="50"/>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方正仿宋简体" w:cs="Times New Roman"/>
                <w:b/>
                <w:bCs/>
                <w:spacing w:val="-17"/>
                <w:sz w:val="24"/>
                <w:szCs w:val="24"/>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922929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5996A80E">
        <w:tblPrEx>
          <w:tblCellMar>
            <w:top w:w="0" w:type="dxa"/>
            <w:left w:w="108" w:type="dxa"/>
            <w:bottom w:w="0" w:type="dxa"/>
            <w:right w:w="108" w:type="dxa"/>
          </w:tblCellMar>
        </w:tblPrEx>
        <w:trPr>
          <w:trHeight w:val="23" w:hRule="atLeast"/>
          <w:jc w:val="center"/>
        </w:trPr>
        <w:tc>
          <w:tcPr>
            <w:tcW w:w="10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63DCC0">
            <w:pPr>
              <w:rPr>
                <w:rFonts w:hint="default" w:ascii="Times New Roman" w:hAnsi="Times New Roman" w:cs="Times New Roman"/>
              </w:rPr>
            </w:pPr>
          </w:p>
        </w:tc>
        <w:tc>
          <w:tcPr>
            <w:tcW w:w="12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87F376">
            <w:pPr>
              <w:rPr>
                <w:rFonts w:hint="default" w:ascii="Times New Roman" w:hAnsi="Times New Roman" w:cs="Times New Roman"/>
              </w:rPr>
            </w:pP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6832C3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color w:val="000000"/>
                <w:sz w:val="24"/>
                <w:szCs w:val="24"/>
                <w:u w:val="none"/>
                <w:lang w:bidi="ar-SA"/>
              </w:rPr>
            </w:pPr>
            <w:r>
              <w:rPr>
                <w:rFonts w:hint="default" w:ascii="Times New Roman" w:hAnsi="Times New Roman" w:eastAsia="方正仿宋_GBK" w:cs="Times New Roman"/>
                <w:color w:val="000000"/>
                <w:kern w:val="0"/>
                <w:sz w:val="24"/>
                <w:szCs w:val="24"/>
                <w:u w:val="none"/>
                <w:lang w:val="en-US" w:eastAsia="zh-CN" w:bidi="ar"/>
              </w:rPr>
              <w:t>分配管理</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2C3AC9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color w:val="000000"/>
                <w:sz w:val="24"/>
                <w:szCs w:val="24"/>
                <w:u w:val="none"/>
                <w:lang w:bidi="ar-SA"/>
              </w:rPr>
            </w:pPr>
            <w:r>
              <w:rPr>
                <w:rFonts w:hint="default" w:ascii="Times New Roman" w:hAnsi="Times New Roman" w:eastAsia="方正仿宋简体" w:cs="Times New Roman"/>
                <w:b/>
                <w:bCs/>
                <w:spacing w:val="-17"/>
                <w:sz w:val="24"/>
                <w:szCs w:val="24"/>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707275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C547FFE">
            <w:pPr>
              <w:keepNext w:val="0"/>
              <w:keepLines w:val="0"/>
              <w:pageBreakBefore w:val="0"/>
              <w:widowControl/>
              <w:suppressLineNumbers w:val="0"/>
              <w:kinsoku/>
              <w:wordWrap/>
              <w:overflowPunct/>
              <w:topLinePunct w:val="0"/>
              <w:autoSpaceDE/>
              <w:autoSpaceDN/>
              <w:bidi w:val="0"/>
              <w:adjustRightInd/>
              <w:snapToGrid/>
              <w:spacing w:line="240" w:lineRule="exact"/>
              <w:ind w:left="0"/>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方正仿宋简体" w:cs="Times New Roman"/>
                <w:b/>
                <w:bCs/>
                <w:spacing w:val="-17"/>
                <w:sz w:val="24"/>
                <w:szCs w:val="24"/>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5D4BF3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098E4442">
        <w:tblPrEx>
          <w:tblCellMar>
            <w:top w:w="0" w:type="dxa"/>
            <w:left w:w="108" w:type="dxa"/>
            <w:bottom w:w="0" w:type="dxa"/>
            <w:right w:w="108" w:type="dxa"/>
          </w:tblCellMar>
        </w:tblPrEx>
        <w:trPr>
          <w:trHeight w:val="23" w:hRule="atLeast"/>
          <w:jc w:val="center"/>
        </w:trPr>
        <w:tc>
          <w:tcPr>
            <w:tcW w:w="10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4AC438">
            <w:pPr>
              <w:rPr>
                <w:rFonts w:hint="default" w:ascii="Times New Roman" w:hAnsi="Times New Roman" w:cs="Times New Roman"/>
              </w:rPr>
            </w:pPr>
          </w:p>
        </w:tc>
        <w:tc>
          <w:tcPr>
            <w:tcW w:w="12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024A24">
            <w:pPr>
              <w:rPr>
                <w:rFonts w:hint="default" w:ascii="Times New Roman" w:hAnsi="Times New Roman" w:cs="Times New Roman"/>
              </w:rPr>
            </w:pP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2419E9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color w:val="000000"/>
                <w:sz w:val="24"/>
                <w:szCs w:val="24"/>
                <w:u w:val="none"/>
                <w:lang w:bidi="ar-SA"/>
              </w:rPr>
            </w:pPr>
            <w:r>
              <w:rPr>
                <w:rFonts w:hint="default" w:ascii="Times New Roman" w:hAnsi="Times New Roman" w:eastAsia="方正仿宋_GBK" w:cs="Times New Roman"/>
                <w:color w:val="000000"/>
                <w:kern w:val="0"/>
                <w:sz w:val="24"/>
                <w:szCs w:val="24"/>
                <w:u w:val="none"/>
                <w:lang w:val="en-US" w:eastAsia="zh-CN" w:bidi="ar"/>
              </w:rPr>
              <w:t>绩效监管</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4C6DE7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方正仿宋简体" w:cs="Times New Roman"/>
                <w:b/>
                <w:bCs/>
                <w:spacing w:val="-17"/>
                <w:sz w:val="24"/>
                <w:szCs w:val="24"/>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B4571A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A9CE646">
            <w:pPr>
              <w:keepNext w:val="0"/>
              <w:keepLines w:val="0"/>
              <w:pageBreakBefore w:val="0"/>
              <w:widowControl/>
              <w:suppressLineNumbers w:val="0"/>
              <w:kinsoku/>
              <w:wordWrap/>
              <w:overflowPunct/>
              <w:topLinePunct w:val="0"/>
              <w:autoSpaceDE/>
              <w:autoSpaceDN/>
              <w:bidi w:val="0"/>
              <w:adjustRightInd/>
              <w:snapToGrid/>
              <w:spacing w:line="240" w:lineRule="exact"/>
              <w:ind w:firstLine="103" w:firstLineChars="50"/>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方正仿宋简体" w:cs="Times New Roman"/>
                <w:b/>
                <w:bCs/>
                <w:spacing w:val="-17"/>
                <w:sz w:val="24"/>
                <w:szCs w:val="24"/>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28D901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3994B900">
        <w:tblPrEx>
          <w:tblCellMar>
            <w:top w:w="0" w:type="dxa"/>
            <w:left w:w="108" w:type="dxa"/>
            <w:bottom w:w="0" w:type="dxa"/>
            <w:right w:w="108" w:type="dxa"/>
          </w:tblCellMar>
        </w:tblPrEx>
        <w:trPr>
          <w:trHeight w:val="23" w:hRule="atLeast"/>
          <w:jc w:val="center"/>
        </w:trPr>
        <w:tc>
          <w:tcPr>
            <w:tcW w:w="10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071F27">
            <w:pPr>
              <w:rPr>
                <w:rFonts w:hint="default" w:ascii="Times New Roman" w:hAnsi="Times New Roman" w:cs="Times New Roman"/>
              </w:rPr>
            </w:pPr>
          </w:p>
        </w:tc>
        <w:tc>
          <w:tcPr>
            <w:tcW w:w="1235" w:type="dxa"/>
            <w:vMerge w:val="restart"/>
            <w:tcBorders>
              <w:top w:val="single" w:color="000000" w:sz="4" w:space="0"/>
              <w:left w:val="single" w:color="000000" w:sz="4" w:space="0"/>
              <w:bottom w:val="single" w:color="000000" w:sz="4" w:space="0"/>
              <w:right w:val="single" w:color="000000" w:sz="4" w:space="0"/>
            </w:tcBorders>
            <w:noWrap w:val="0"/>
            <w:vAlign w:val="center"/>
          </w:tcPr>
          <w:p w14:paraId="49BEF9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方正仿宋_GBK" w:cs="Times New Roman"/>
                <w:b/>
                <w:color w:val="000000"/>
                <w:kern w:val="0"/>
                <w:sz w:val="24"/>
                <w:szCs w:val="24"/>
                <w:u w:val="none"/>
                <w:lang w:val="en-US" w:eastAsia="zh-CN" w:bidi="ar"/>
              </w:rPr>
              <w:t>项目实施</w:t>
            </w:r>
            <w:r>
              <w:rPr>
                <w:rFonts w:hint="default" w:ascii="Times New Roman" w:hAnsi="Times New Roman" w:eastAsia="宋体"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w:t>
            </w:r>
            <w:r>
              <w:rPr>
                <w:rFonts w:hint="default" w:ascii="Times New Roman" w:hAnsi="Times New Roman" w:eastAsia="方正仿宋简体" w:cs="Times New Roman"/>
                <w:b/>
                <w:bCs/>
                <w:spacing w:val="-17"/>
                <w:sz w:val="24"/>
                <w:szCs w:val="24"/>
              </w:rPr>
              <w:t>9</w:t>
            </w:r>
            <w:r>
              <w:rPr>
                <w:rFonts w:hint="default" w:ascii="Times New Roman" w:hAnsi="Times New Roman" w:eastAsia="方正仿宋_GBK" w:cs="Times New Roman"/>
                <w:b/>
                <w:color w:val="000000"/>
                <w:kern w:val="0"/>
                <w:sz w:val="24"/>
                <w:szCs w:val="24"/>
                <w:u w:val="none"/>
                <w:lang w:val="en-US" w:eastAsia="zh-CN" w:bidi="ar"/>
              </w:rPr>
              <w:t>分）</w:t>
            </w: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00D743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color w:val="000000"/>
                <w:sz w:val="24"/>
                <w:szCs w:val="24"/>
                <w:u w:val="none"/>
                <w:lang w:bidi="ar-SA"/>
              </w:rPr>
            </w:pPr>
            <w:r>
              <w:rPr>
                <w:rFonts w:hint="default" w:ascii="Times New Roman" w:hAnsi="Times New Roman" w:eastAsia="方正仿宋_GBK" w:cs="Times New Roman"/>
                <w:color w:val="000000"/>
                <w:kern w:val="0"/>
                <w:sz w:val="24"/>
                <w:szCs w:val="24"/>
                <w:u w:val="none"/>
                <w:lang w:val="en-US" w:eastAsia="zh-CN" w:bidi="ar"/>
              </w:rPr>
              <w:t>预算执行</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16C0A9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方正仿宋简体" w:cs="Times New Roman"/>
                <w:b/>
                <w:bCs/>
                <w:spacing w:val="-17"/>
                <w:sz w:val="24"/>
                <w:szCs w:val="24"/>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250387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5E8AE4F">
            <w:pPr>
              <w:keepNext w:val="0"/>
              <w:keepLines w:val="0"/>
              <w:pageBreakBefore w:val="0"/>
              <w:widowControl/>
              <w:suppressLineNumbers w:val="0"/>
              <w:kinsoku/>
              <w:wordWrap/>
              <w:overflowPunct/>
              <w:topLinePunct w:val="0"/>
              <w:autoSpaceDE/>
              <w:autoSpaceDN/>
              <w:bidi w:val="0"/>
              <w:adjustRightInd/>
              <w:snapToGrid/>
              <w:spacing w:line="240" w:lineRule="exact"/>
              <w:ind w:firstLine="103" w:firstLineChars="50"/>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方正仿宋简体" w:cs="Times New Roman"/>
                <w:b/>
                <w:bCs/>
                <w:spacing w:val="-17"/>
                <w:sz w:val="24"/>
                <w:szCs w:val="24"/>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9D8287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5A96AAB0">
        <w:tblPrEx>
          <w:tblCellMar>
            <w:top w:w="0" w:type="dxa"/>
            <w:left w:w="108" w:type="dxa"/>
            <w:bottom w:w="0" w:type="dxa"/>
            <w:right w:w="108" w:type="dxa"/>
          </w:tblCellMar>
        </w:tblPrEx>
        <w:trPr>
          <w:trHeight w:val="23" w:hRule="atLeast"/>
          <w:jc w:val="center"/>
        </w:trPr>
        <w:tc>
          <w:tcPr>
            <w:tcW w:w="10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03C472">
            <w:pPr>
              <w:rPr>
                <w:rFonts w:hint="default" w:ascii="Times New Roman" w:hAnsi="Times New Roman" w:cs="Times New Roman"/>
              </w:rPr>
            </w:pPr>
          </w:p>
        </w:tc>
        <w:tc>
          <w:tcPr>
            <w:tcW w:w="12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5665EE">
            <w:pPr>
              <w:rPr>
                <w:rFonts w:hint="default" w:ascii="Times New Roman" w:hAnsi="Times New Roman" w:cs="Times New Roman"/>
              </w:rPr>
            </w:pP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468E65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color w:val="000000"/>
                <w:sz w:val="24"/>
                <w:szCs w:val="24"/>
                <w:u w:val="none"/>
                <w:lang w:bidi="ar-SA"/>
              </w:rPr>
            </w:pPr>
            <w:r>
              <w:rPr>
                <w:rFonts w:hint="default" w:ascii="Times New Roman" w:hAnsi="Times New Roman" w:eastAsia="方正仿宋_GBK" w:cs="Times New Roman"/>
                <w:color w:val="000000"/>
                <w:kern w:val="0"/>
                <w:sz w:val="24"/>
                <w:szCs w:val="24"/>
                <w:u w:val="none"/>
                <w:lang w:val="en-US" w:eastAsia="zh-CN" w:bidi="ar"/>
              </w:rPr>
              <w:t>资金使用</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204255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方正仿宋简体" w:cs="Times New Roman"/>
                <w:b/>
                <w:bCs/>
                <w:spacing w:val="-17"/>
                <w:sz w:val="24"/>
                <w:szCs w:val="24"/>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934204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C2E21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方正仿宋简体" w:cs="Times New Roman"/>
                <w:b/>
                <w:bCs/>
                <w:spacing w:val="-17"/>
                <w:sz w:val="24"/>
                <w:szCs w:val="24"/>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EF7B6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60C83DD8">
        <w:tblPrEx>
          <w:tblCellMar>
            <w:top w:w="0" w:type="dxa"/>
            <w:left w:w="108" w:type="dxa"/>
            <w:bottom w:w="0" w:type="dxa"/>
            <w:right w:w="108" w:type="dxa"/>
          </w:tblCellMar>
        </w:tblPrEx>
        <w:trPr>
          <w:trHeight w:val="23" w:hRule="atLeast"/>
          <w:jc w:val="center"/>
        </w:trPr>
        <w:tc>
          <w:tcPr>
            <w:tcW w:w="10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AB7377">
            <w:pPr>
              <w:rPr>
                <w:rFonts w:hint="default" w:ascii="Times New Roman" w:hAnsi="Times New Roman" w:cs="Times New Roman"/>
              </w:rPr>
            </w:pPr>
          </w:p>
        </w:tc>
        <w:tc>
          <w:tcPr>
            <w:tcW w:w="1235" w:type="dxa"/>
            <w:vMerge w:val="restart"/>
            <w:tcBorders>
              <w:top w:val="single" w:color="000000" w:sz="4" w:space="0"/>
              <w:left w:val="single" w:color="000000" w:sz="4" w:space="0"/>
              <w:bottom w:val="single" w:color="000000" w:sz="4" w:space="0"/>
              <w:right w:val="single" w:color="000000" w:sz="4" w:space="0"/>
            </w:tcBorders>
            <w:noWrap w:val="0"/>
            <w:vAlign w:val="center"/>
          </w:tcPr>
          <w:p w14:paraId="6E9E4C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方正仿宋_GBK" w:cs="Times New Roman"/>
                <w:b/>
                <w:color w:val="000000"/>
                <w:kern w:val="0"/>
                <w:sz w:val="24"/>
                <w:szCs w:val="24"/>
                <w:u w:val="none"/>
                <w:lang w:val="en-US" w:eastAsia="zh-CN" w:bidi="ar"/>
              </w:rPr>
              <w:t>项目结果</w:t>
            </w:r>
            <w:r>
              <w:rPr>
                <w:rFonts w:hint="default" w:ascii="Times New Roman" w:hAnsi="Times New Roman" w:eastAsia="宋体"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w:t>
            </w:r>
            <w:r>
              <w:rPr>
                <w:rFonts w:hint="default" w:ascii="Times New Roman" w:hAnsi="Times New Roman" w:eastAsia="方正仿宋简体" w:cs="Times New Roman"/>
                <w:b/>
                <w:bCs/>
                <w:spacing w:val="-17"/>
                <w:sz w:val="24"/>
                <w:szCs w:val="24"/>
              </w:rPr>
              <w:t>9</w:t>
            </w:r>
            <w:r>
              <w:rPr>
                <w:rFonts w:hint="default" w:ascii="Times New Roman" w:hAnsi="Times New Roman" w:eastAsia="方正仿宋_GBK" w:cs="Times New Roman"/>
                <w:b/>
                <w:color w:val="000000"/>
                <w:kern w:val="0"/>
                <w:sz w:val="24"/>
                <w:szCs w:val="24"/>
                <w:u w:val="none"/>
                <w:lang w:val="en-US" w:eastAsia="zh-CN" w:bidi="ar"/>
              </w:rPr>
              <w:t>分</w:t>
            </w:r>
            <w:r>
              <w:rPr>
                <w:rFonts w:hint="default" w:ascii="Times New Roman" w:hAnsi="Times New Roman" w:eastAsia="宋体" w:cs="Times New Roman"/>
                <w:b/>
                <w:color w:val="000000"/>
                <w:kern w:val="0"/>
                <w:sz w:val="24"/>
                <w:szCs w:val="24"/>
                <w:u w:val="none"/>
                <w:lang w:val="en-US" w:eastAsia="zh-CN" w:bidi="ar"/>
              </w:rPr>
              <w:t>）</w:t>
            </w: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0B7830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color w:val="000000"/>
                <w:sz w:val="24"/>
                <w:szCs w:val="24"/>
                <w:u w:val="none"/>
                <w:lang w:bidi="ar-SA"/>
              </w:rPr>
            </w:pPr>
            <w:r>
              <w:rPr>
                <w:rFonts w:hint="default" w:ascii="Times New Roman" w:hAnsi="Times New Roman" w:eastAsia="方正仿宋_GBK" w:cs="Times New Roman"/>
                <w:color w:val="000000"/>
                <w:kern w:val="0"/>
                <w:sz w:val="24"/>
                <w:szCs w:val="24"/>
                <w:u w:val="none"/>
                <w:lang w:val="en-US" w:eastAsia="zh-CN" w:bidi="ar"/>
              </w:rPr>
              <w:t>目标完成</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5F219C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方正仿宋简体" w:cs="Times New Roman"/>
                <w:b/>
                <w:bCs/>
                <w:spacing w:val="-17"/>
                <w:sz w:val="24"/>
                <w:szCs w:val="24"/>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33A622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37E5E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方正仿宋简体" w:cs="Times New Roman"/>
                <w:b/>
                <w:bCs/>
                <w:spacing w:val="-17"/>
                <w:sz w:val="24"/>
                <w:szCs w:val="24"/>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E8655F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7DF73095">
        <w:tblPrEx>
          <w:tblCellMar>
            <w:top w:w="0" w:type="dxa"/>
            <w:left w:w="108" w:type="dxa"/>
            <w:bottom w:w="0" w:type="dxa"/>
            <w:right w:w="108" w:type="dxa"/>
          </w:tblCellMar>
        </w:tblPrEx>
        <w:trPr>
          <w:trHeight w:val="23" w:hRule="atLeast"/>
          <w:jc w:val="center"/>
        </w:trPr>
        <w:tc>
          <w:tcPr>
            <w:tcW w:w="10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FC2ED3">
            <w:pPr>
              <w:rPr>
                <w:rFonts w:hint="default" w:ascii="Times New Roman" w:hAnsi="Times New Roman" w:cs="Times New Roman"/>
              </w:rPr>
            </w:pPr>
          </w:p>
        </w:tc>
        <w:tc>
          <w:tcPr>
            <w:tcW w:w="12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89E19B">
            <w:pPr>
              <w:rPr>
                <w:rFonts w:hint="default" w:ascii="Times New Roman" w:hAnsi="Times New Roman" w:cs="Times New Roman"/>
              </w:rPr>
            </w:pP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4CAEB3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color w:val="000000"/>
                <w:sz w:val="24"/>
                <w:szCs w:val="24"/>
                <w:u w:val="none"/>
                <w:lang w:bidi="ar-SA"/>
              </w:rPr>
            </w:pPr>
            <w:r>
              <w:rPr>
                <w:rFonts w:hint="default" w:ascii="Times New Roman" w:hAnsi="Times New Roman" w:eastAsia="方正仿宋_GBK" w:cs="Times New Roman"/>
                <w:color w:val="000000"/>
                <w:kern w:val="0"/>
                <w:sz w:val="24"/>
                <w:szCs w:val="24"/>
                <w:u w:val="none"/>
                <w:lang w:val="en-US" w:eastAsia="zh-CN" w:bidi="ar"/>
              </w:rPr>
              <w:t>完成时效</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14802F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方正仿宋简体" w:cs="Times New Roman"/>
                <w:b/>
                <w:bCs/>
                <w:spacing w:val="-17"/>
                <w:sz w:val="24"/>
                <w:szCs w:val="24"/>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AD2BB9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0422F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方正仿宋简体" w:cs="Times New Roman"/>
                <w:b/>
                <w:bCs/>
                <w:spacing w:val="-17"/>
                <w:sz w:val="24"/>
                <w:szCs w:val="24"/>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28D83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2AE0BB32">
        <w:tblPrEx>
          <w:tblCellMar>
            <w:top w:w="0" w:type="dxa"/>
            <w:left w:w="108" w:type="dxa"/>
            <w:bottom w:w="0" w:type="dxa"/>
            <w:right w:w="108" w:type="dxa"/>
          </w:tblCellMar>
        </w:tblPrEx>
        <w:trPr>
          <w:trHeight w:val="23" w:hRule="atLeast"/>
          <w:jc w:val="center"/>
        </w:trPr>
        <w:tc>
          <w:tcPr>
            <w:tcW w:w="1074" w:type="dxa"/>
            <w:vMerge w:val="restart"/>
            <w:tcBorders>
              <w:top w:val="single" w:color="000000" w:sz="4" w:space="0"/>
              <w:left w:val="single" w:color="000000" w:sz="4" w:space="0"/>
              <w:bottom w:val="single" w:color="000000" w:sz="4" w:space="0"/>
              <w:right w:val="single" w:color="000000" w:sz="4" w:space="0"/>
            </w:tcBorders>
            <w:noWrap w:val="0"/>
            <w:vAlign w:val="center"/>
          </w:tcPr>
          <w:p w14:paraId="1508F1B5">
            <w:pPr>
              <w:rPr>
                <w:rFonts w:hint="default" w:ascii="Times New Roman" w:hAnsi="Times New Roman" w:eastAsia="方正仿宋_GBK" w:cs="Times New Roman"/>
                <w:b/>
                <w:bCs/>
                <w:sz w:val="24"/>
                <w:szCs w:val="24"/>
                <w:lang w:bidi="ar-SA"/>
              </w:rPr>
            </w:pPr>
            <w:r>
              <w:rPr>
                <w:rFonts w:hint="default" w:ascii="Times New Roman" w:hAnsi="Times New Roman" w:eastAsia="方正仿宋_GBK" w:cs="Times New Roman"/>
                <w:b/>
                <w:bCs/>
                <w:sz w:val="24"/>
                <w:szCs w:val="24"/>
                <w:lang w:bidi="ar-SA"/>
              </w:rPr>
              <w:t>专用指标</w:t>
            </w:r>
            <w:r>
              <w:rPr>
                <w:rFonts w:hint="default" w:ascii="Times New Roman" w:hAnsi="Times New Roman" w:eastAsia="宋体" w:cs="Times New Roman"/>
                <w:b/>
                <w:color w:val="000000"/>
                <w:kern w:val="0"/>
                <w:sz w:val="24"/>
                <w:szCs w:val="24"/>
                <w:u w:val="none"/>
                <w:lang w:val="en-US" w:eastAsia="zh-CN" w:bidi="ar"/>
              </w:rPr>
              <w:t>（</w:t>
            </w:r>
            <w:r>
              <w:rPr>
                <w:rFonts w:hint="default" w:ascii="Times New Roman" w:hAnsi="Times New Roman" w:eastAsia="方正仿宋简体" w:cs="Times New Roman"/>
                <w:b/>
                <w:bCs/>
                <w:spacing w:val="-17"/>
                <w:sz w:val="24"/>
                <w:szCs w:val="24"/>
              </w:rPr>
              <w:t>30</w:t>
            </w:r>
            <w:r>
              <w:rPr>
                <w:rFonts w:hint="default" w:ascii="Times New Roman" w:hAnsi="Times New Roman" w:eastAsia="方正仿宋_GBK" w:cs="Times New Roman"/>
                <w:b/>
                <w:color w:val="000000"/>
                <w:kern w:val="0"/>
                <w:sz w:val="24"/>
                <w:szCs w:val="24"/>
                <w:u w:val="none"/>
                <w:lang w:val="en-US" w:eastAsia="zh-CN" w:bidi="ar"/>
              </w:rPr>
              <w:t>分</w:t>
            </w:r>
            <w:r>
              <w:rPr>
                <w:rFonts w:hint="default" w:ascii="Times New Roman" w:hAnsi="Times New Roman" w:eastAsia="宋体" w:cs="Times New Roman"/>
                <w:b/>
                <w:color w:val="000000"/>
                <w:kern w:val="0"/>
                <w:sz w:val="24"/>
                <w:szCs w:val="24"/>
                <w:u w:val="none"/>
                <w:lang w:val="en-US" w:eastAsia="zh-CN" w:bidi="ar"/>
              </w:rPr>
              <w:t>）</w:t>
            </w:r>
          </w:p>
        </w:tc>
        <w:tc>
          <w:tcPr>
            <w:tcW w:w="1235" w:type="dxa"/>
            <w:vMerge w:val="restart"/>
            <w:tcBorders>
              <w:top w:val="single" w:color="000000" w:sz="4" w:space="0"/>
              <w:left w:val="single" w:color="000000" w:sz="4" w:space="0"/>
              <w:bottom w:val="single" w:color="000000" w:sz="4" w:space="0"/>
              <w:right w:val="single" w:color="000000" w:sz="4" w:space="0"/>
            </w:tcBorders>
            <w:noWrap w:val="0"/>
            <w:vAlign w:val="center"/>
          </w:tcPr>
          <w:p w14:paraId="63A2F8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方正仿宋_GBK" w:cs="Times New Roman"/>
                <w:b/>
                <w:color w:val="000000"/>
                <w:kern w:val="0"/>
                <w:sz w:val="24"/>
                <w:szCs w:val="24"/>
                <w:u w:val="none"/>
                <w:lang w:val="en-US" w:eastAsia="zh-CN" w:bidi="ar"/>
              </w:rPr>
              <w:t>民生保障</w:t>
            </w:r>
            <w:r>
              <w:rPr>
                <w:rFonts w:hint="default" w:ascii="Times New Roman" w:hAnsi="Times New Roman" w:eastAsia="方正仿宋_GBK"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w:t>
            </w:r>
            <w:r>
              <w:rPr>
                <w:rFonts w:hint="default" w:ascii="Times New Roman" w:hAnsi="Times New Roman" w:eastAsia="方正仿宋简体" w:cs="Times New Roman"/>
                <w:b/>
                <w:bCs/>
                <w:spacing w:val="-17"/>
                <w:sz w:val="24"/>
                <w:szCs w:val="24"/>
              </w:rPr>
              <w:t>30</w:t>
            </w:r>
            <w:r>
              <w:rPr>
                <w:rFonts w:hint="default" w:ascii="Times New Roman" w:hAnsi="Times New Roman" w:eastAsia="方正仿宋_GBK" w:cs="Times New Roman"/>
                <w:b/>
                <w:color w:val="000000"/>
                <w:kern w:val="0"/>
                <w:sz w:val="24"/>
                <w:szCs w:val="24"/>
                <w:u w:val="none"/>
                <w:lang w:val="en-US" w:eastAsia="zh-CN" w:bidi="ar"/>
              </w:rPr>
              <w:t>分</w:t>
            </w:r>
            <w:r>
              <w:rPr>
                <w:rFonts w:hint="default" w:ascii="Times New Roman" w:hAnsi="Times New Roman" w:eastAsia="宋体" w:cs="Times New Roman"/>
                <w:b/>
                <w:color w:val="000000"/>
                <w:kern w:val="0"/>
                <w:sz w:val="24"/>
                <w:szCs w:val="24"/>
                <w:u w:val="none"/>
                <w:lang w:val="en-US" w:eastAsia="zh-CN" w:bidi="ar"/>
              </w:rPr>
              <w:t>）</w:t>
            </w: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21F24F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color w:val="000000"/>
                <w:sz w:val="24"/>
                <w:szCs w:val="24"/>
                <w:u w:val="none"/>
                <w:lang w:bidi="ar-SA"/>
              </w:rPr>
            </w:pPr>
            <w:r>
              <w:rPr>
                <w:rFonts w:hint="default" w:ascii="Times New Roman" w:hAnsi="Times New Roman" w:eastAsia="方正仿宋_GBK" w:cs="Times New Roman"/>
                <w:color w:val="000000"/>
                <w:kern w:val="0"/>
                <w:sz w:val="24"/>
                <w:szCs w:val="24"/>
                <w:u w:val="none"/>
                <w:lang w:val="en-US" w:eastAsia="zh-CN" w:bidi="ar"/>
              </w:rPr>
              <w:t>区域均衡性</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77CCC0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方正仿宋简体" w:cs="Times New Roman"/>
                <w:b/>
                <w:bCs/>
                <w:spacing w:val="-17"/>
                <w:sz w:val="24"/>
                <w:szCs w:val="24"/>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FDF4B5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29C48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方正仿宋简体" w:cs="Times New Roman"/>
                <w:b/>
                <w:bCs/>
                <w:spacing w:val="-17"/>
                <w:sz w:val="24"/>
                <w:szCs w:val="24"/>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AE2E0B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25739E2A">
        <w:tblPrEx>
          <w:tblCellMar>
            <w:top w:w="0" w:type="dxa"/>
            <w:left w:w="108" w:type="dxa"/>
            <w:bottom w:w="0" w:type="dxa"/>
            <w:right w:w="108" w:type="dxa"/>
          </w:tblCellMar>
        </w:tblPrEx>
        <w:trPr>
          <w:trHeight w:val="23" w:hRule="atLeast"/>
          <w:jc w:val="center"/>
        </w:trPr>
        <w:tc>
          <w:tcPr>
            <w:tcW w:w="10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1B7D69">
            <w:pPr>
              <w:rPr>
                <w:rFonts w:hint="default" w:ascii="Times New Roman" w:hAnsi="Times New Roman" w:cs="Times New Roman"/>
              </w:rPr>
            </w:pPr>
          </w:p>
        </w:tc>
        <w:tc>
          <w:tcPr>
            <w:tcW w:w="12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96BFFD">
            <w:pPr>
              <w:rPr>
                <w:rFonts w:hint="default" w:ascii="Times New Roman" w:hAnsi="Times New Roman" w:cs="Times New Roman"/>
              </w:rPr>
            </w:pP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38DE55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color w:val="000000"/>
                <w:sz w:val="24"/>
                <w:szCs w:val="24"/>
                <w:u w:val="none"/>
                <w:lang w:bidi="ar-SA"/>
              </w:rPr>
            </w:pPr>
            <w:r>
              <w:rPr>
                <w:rFonts w:hint="default" w:ascii="Times New Roman" w:hAnsi="Times New Roman" w:eastAsia="方正仿宋_GBK" w:cs="Times New Roman"/>
                <w:color w:val="000000"/>
                <w:kern w:val="0"/>
                <w:sz w:val="24"/>
                <w:szCs w:val="24"/>
                <w:u w:val="none"/>
                <w:lang w:val="en-US" w:eastAsia="zh-CN" w:bidi="ar"/>
              </w:rPr>
              <w:t>对象精准性</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7FBD27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方正仿宋简体" w:cs="Times New Roman"/>
                <w:b/>
                <w:bCs/>
                <w:spacing w:val="-17"/>
                <w:sz w:val="24"/>
                <w:szCs w:val="24"/>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F910C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ABE57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方正仿宋简体" w:cs="Times New Roman"/>
                <w:b/>
                <w:bCs/>
                <w:spacing w:val="-17"/>
                <w:sz w:val="24"/>
                <w:szCs w:val="24"/>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32B0FC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034E32A7">
        <w:tblPrEx>
          <w:tblCellMar>
            <w:top w:w="0" w:type="dxa"/>
            <w:left w:w="108" w:type="dxa"/>
            <w:bottom w:w="0" w:type="dxa"/>
            <w:right w:w="108" w:type="dxa"/>
          </w:tblCellMar>
        </w:tblPrEx>
        <w:trPr>
          <w:trHeight w:val="23" w:hRule="atLeast"/>
          <w:jc w:val="center"/>
        </w:trPr>
        <w:tc>
          <w:tcPr>
            <w:tcW w:w="10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CCF60A">
            <w:pPr>
              <w:rPr>
                <w:rFonts w:hint="default" w:ascii="Times New Roman" w:hAnsi="Times New Roman" w:cs="Times New Roman"/>
              </w:rPr>
            </w:pPr>
          </w:p>
        </w:tc>
        <w:tc>
          <w:tcPr>
            <w:tcW w:w="12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17CE7D">
            <w:pPr>
              <w:rPr>
                <w:rFonts w:hint="default" w:ascii="Times New Roman" w:hAnsi="Times New Roman" w:cs="Times New Roman"/>
              </w:rPr>
            </w:pP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493AF2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color w:val="000000"/>
                <w:sz w:val="24"/>
                <w:szCs w:val="24"/>
                <w:u w:val="none"/>
                <w:lang w:bidi="ar-SA"/>
              </w:rPr>
            </w:pPr>
            <w:r>
              <w:rPr>
                <w:rFonts w:hint="default" w:ascii="Times New Roman" w:hAnsi="Times New Roman" w:eastAsia="方正仿宋_GBK" w:cs="Times New Roman"/>
                <w:color w:val="000000"/>
                <w:kern w:val="0"/>
                <w:sz w:val="24"/>
                <w:szCs w:val="24"/>
                <w:u w:val="none"/>
                <w:lang w:val="en-US" w:eastAsia="zh-CN" w:bidi="ar"/>
              </w:rPr>
              <w:t>标准合理性</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7161DF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方正仿宋简体" w:cs="Times New Roman"/>
                <w:b/>
                <w:bCs/>
                <w:spacing w:val="-17"/>
                <w:sz w:val="24"/>
                <w:szCs w:val="24"/>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93F8C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FE9A8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方正仿宋简体" w:cs="Times New Roman"/>
                <w:b/>
                <w:bCs/>
                <w:spacing w:val="-17"/>
                <w:sz w:val="24"/>
                <w:szCs w:val="24"/>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837831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13E3BA63">
        <w:tblPrEx>
          <w:tblCellMar>
            <w:top w:w="0" w:type="dxa"/>
            <w:left w:w="108" w:type="dxa"/>
            <w:bottom w:w="0" w:type="dxa"/>
            <w:right w:w="108" w:type="dxa"/>
          </w:tblCellMar>
        </w:tblPrEx>
        <w:trPr>
          <w:trHeight w:val="621" w:hRule="atLeast"/>
          <w:jc w:val="center"/>
        </w:trPr>
        <w:tc>
          <w:tcPr>
            <w:tcW w:w="10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4206EF">
            <w:pPr>
              <w:rPr>
                <w:rFonts w:hint="default" w:ascii="Times New Roman" w:hAnsi="Times New Roman" w:cs="Times New Roman"/>
              </w:rPr>
            </w:pPr>
          </w:p>
        </w:tc>
        <w:tc>
          <w:tcPr>
            <w:tcW w:w="12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51E285">
            <w:pPr>
              <w:rPr>
                <w:rFonts w:hint="default" w:ascii="Times New Roman" w:hAnsi="Times New Roman" w:cs="Times New Roman"/>
              </w:rPr>
            </w:pP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1A1BC9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color w:val="000000"/>
                <w:sz w:val="24"/>
                <w:szCs w:val="24"/>
                <w:u w:val="none"/>
                <w:lang w:bidi="ar-SA"/>
              </w:rPr>
            </w:pPr>
            <w:r>
              <w:rPr>
                <w:rFonts w:hint="default" w:ascii="Times New Roman" w:hAnsi="Times New Roman" w:eastAsia="方正仿宋_GBK" w:cs="Times New Roman"/>
                <w:color w:val="000000"/>
                <w:kern w:val="0"/>
                <w:sz w:val="24"/>
                <w:szCs w:val="24"/>
                <w:u w:val="none"/>
                <w:lang w:val="en-US" w:eastAsia="zh-CN" w:bidi="ar"/>
              </w:rPr>
              <w:t>群众满意度</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41A246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方正仿宋简体" w:cs="Times New Roman"/>
                <w:b/>
                <w:bCs/>
                <w:spacing w:val="-17"/>
                <w:sz w:val="24"/>
                <w:szCs w:val="24"/>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FD967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A0975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方正仿宋简体" w:cs="Times New Roman"/>
                <w:b/>
                <w:bCs/>
                <w:spacing w:val="-17"/>
                <w:sz w:val="24"/>
                <w:szCs w:val="24"/>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183B5D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636BC2C5">
        <w:tblPrEx>
          <w:tblCellMar>
            <w:top w:w="0" w:type="dxa"/>
            <w:left w:w="108" w:type="dxa"/>
            <w:bottom w:w="0" w:type="dxa"/>
            <w:right w:w="108" w:type="dxa"/>
          </w:tblCellMar>
        </w:tblPrEx>
        <w:trPr>
          <w:trHeight w:val="689" w:hRule="atLeast"/>
          <w:jc w:val="center"/>
        </w:trPr>
        <w:tc>
          <w:tcPr>
            <w:tcW w:w="230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0629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方正仿宋_GBK" w:cs="Times New Roman"/>
                <w:b/>
                <w:color w:val="000000"/>
                <w:kern w:val="0"/>
                <w:sz w:val="24"/>
                <w:szCs w:val="24"/>
                <w:u w:val="none"/>
                <w:lang w:val="en-US" w:eastAsia="zh-CN" w:bidi="ar"/>
              </w:rPr>
              <w:t>个性指标</w:t>
            </w:r>
            <w:r>
              <w:rPr>
                <w:rFonts w:hint="default" w:ascii="Times New Roman" w:hAnsi="Times New Roman" w:eastAsia="方正仿宋_GBK"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w:t>
            </w:r>
            <w:r>
              <w:rPr>
                <w:rFonts w:hint="default" w:ascii="Times New Roman" w:hAnsi="Times New Roman" w:eastAsia="方正仿宋简体" w:cs="Times New Roman"/>
                <w:b/>
                <w:bCs/>
                <w:spacing w:val="-17"/>
                <w:sz w:val="24"/>
                <w:szCs w:val="24"/>
              </w:rPr>
              <w:t>16</w:t>
            </w:r>
            <w:r>
              <w:rPr>
                <w:rFonts w:hint="default" w:ascii="Times New Roman" w:hAnsi="Times New Roman" w:eastAsia="方正仿宋_GBK" w:cs="Times New Roman"/>
                <w:b/>
                <w:color w:val="000000"/>
                <w:kern w:val="0"/>
                <w:sz w:val="24"/>
                <w:szCs w:val="24"/>
                <w:u w:val="none"/>
                <w:lang w:val="en-US" w:eastAsia="zh-CN" w:bidi="ar"/>
              </w:rPr>
              <w:t>分</w:t>
            </w:r>
            <w:r>
              <w:rPr>
                <w:rFonts w:hint="default" w:ascii="Times New Roman" w:hAnsi="Times New Roman" w:eastAsia="宋体" w:cs="Times New Roman"/>
                <w:b/>
                <w:color w:val="000000"/>
                <w:kern w:val="0"/>
                <w:sz w:val="24"/>
                <w:szCs w:val="24"/>
                <w:u w:val="none"/>
                <w:lang w:val="en-US" w:eastAsia="zh-CN" w:bidi="ar"/>
              </w:rPr>
              <w:t>）</w:t>
            </w: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65EEAC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color w:val="000000"/>
                <w:sz w:val="24"/>
                <w:szCs w:val="24"/>
                <w:u w:val="none"/>
                <w:lang w:bidi="ar-SA"/>
              </w:rPr>
            </w:pPr>
            <w:r>
              <w:rPr>
                <w:rFonts w:hint="default" w:ascii="Times New Roman" w:hAnsi="Times New Roman" w:eastAsia="方正仿宋_GBK" w:cs="Times New Roman"/>
                <w:color w:val="000000"/>
                <w:kern w:val="0"/>
                <w:sz w:val="24"/>
                <w:szCs w:val="24"/>
                <w:u w:val="none"/>
                <w:lang w:val="en-US" w:eastAsia="zh-CN" w:bidi="ar"/>
              </w:rPr>
              <w:t>对象动态管理</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77C14D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方正仿宋简体" w:cs="Times New Roman"/>
                <w:b/>
                <w:bCs/>
                <w:spacing w:val="-17"/>
                <w:sz w:val="24"/>
                <w:szCs w:val="24"/>
              </w:rPr>
              <w:t>8</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BAAE462">
            <w:pPr>
              <w:keepNext w:val="0"/>
              <w:keepLines w:val="0"/>
              <w:pageBreakBefore w:val="0"/>
              <w:widowControl/>
              <w:suppressLineNumbers w:val="0"/>
              <w:kinsoku/>
              <w:wordWrap/>
              <w:overflowPunct/>
              <w:topLinePunct w:val="0"/>
              <w:autoSpaceDE/>
              <w:autoSpaceDN/>
              <w:adjustRightInd/>
              <w:snapToGrid/>
              <w:spacing w:line="240" w:lineRule="exact"/>
              <w:jc w:val="left"/>
              <w:textAlignment w:val="center"/>
              <w:rPr>
                <w:rFonts w:hint="default" w:ascii="Times New Roman" w:hAnsi="Times New Roman" w:eastAsia="方正仿宋_GBK" w:cs="Times New Roman"/>
                <w:color w:val="000000"/>
                <w:kern w:val="0"/>
                <w:sz w:val="21"/>
                <w:szCs w:val="21"/>
                <w:u w:val="none"/>
                <w:lang w:val="en-US" w:eastAsia="zh-CN" w:bidi="ar"/>
              </w:rPr>
            </w:pPr>
            <w:r>
              <w:rPr>
                <w:rFonts w:hint="default" w:ascii="Times New Roman" w:hAnsi="Times New Roman" w:eastAsia="方正仿宋_GBK" w:cs="Times New Roman"/>
                <w:color w:val="000000"/>
                <w:kern w:val="0"/>
                <w:sz w:val="21"/>
                <w:szCs w:val="21"/>
                <w:u w:val="none"/>
                <w:lang w:val="en-US" w:eastAsia="zh-CN" w:bidi="ar"/>
              </w:rPr>
              <w:t>是否建立动态管理和数据复核机制并及时开展数据比对</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C7BD411">
            <w:pPr>
              <w:rPr>
                <w:rFonts w:hint="default" w:ascii="Times New Roman" w:hAnsi="Times New Roman" w:cs="Times New Roman"/>
              </w:rPr>
            </w:pPr>
            <w:r>
              <w:rPr>
                <w:rFonts w:hint="default" w:ascii="Times New Roman" w:hAnsi="Times New Roman" w:eastAsia="方正仿宋简体" w:cs="Times New Roman"/>
                <w:b/>
                <w:bCs/>
                <w:spacing w:val="-17"/>
                <w:sz w:val="24"/>
                <w:szCs w:val="24"/>
              </w:rPr>
              <w:t xml:space="preserve">  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DECFE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p>
        </w:tc>
      </w:tr>
      <w:tr w14:paraId="4E1F3D75">
        <w:tblPrEx>
          <w:tblCellMar>
            <w:top w:w="0" w:type="dxa"/>
            <w:left w:w="108" w:type="dxa"/>
            <w:bottom w:w="0" w:type="dxa"/>
            <w:right w:w="108" w:type="dxa"/>
          </w:tblCellMar>
        </w:tblPrEx>
        <w:trPr>
          <w:trHeight w:val="470" w:hRule="atLeast"/>
          <w:jc w:val="center"/>
        </w:trPr>
        <w:tc>
          <w:tcPr>
            <w:tcW w:w="230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ED35AC">
            <w:pPr>
              <w:rPr>
                <w:rFonts w:hint="default" w:ascii="Times New Roman" w:hAnsi="Times New Roman" w:cs="Times New Roman"/>
              </w:rPr>
            </w:pP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024AE1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color w:val="000000"/>
                <w:sz w:val="24"/>
                <w:szCs w:val="24"/>
                <w:u w:val="none"/>
                <w:lang w:bidi="ar-SA"/>
              </w:rPr>
            </w:pPr>
            <w:r>
              <w:rPr>
                <w:rFonts w:hint="default" w:ascii="Times New Roman" w:hAnsi="Times New Roman" w:eastAsia="方正仿宋_GBK" w:cs="Times New Roman"/>
                <w:color w:val="000000"/>
                <w:kern w:val="0"/>
                <w:sz w:val="24"/>
                <w:szCs w:val="24"/>
                <w:u w:val="none"/>
                <w:lang w:val="en-US" w:eastAsia="zh-CN" w:bidi="ar"/>
              </w:rPr>
              <w:t>数据推送及时性</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1FD42E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方正仿宋简体" w:cs="Times New Roman"/>
                <w:b/>
                <w:bCs/>
                <w:spacing w:val="-17"/>
                <w:sz w:val="24"/>
                <w:szCs w:val="24"/>
              </w:rPr>
              <w:t>8</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8303B70">
            <w:pPr>
              <w:rPr>
                <w:rFonts w:hint="default" w:ascii="Times New Roman" w:hAnsi="Times New Roman" w:eastAsia="方正仿宋_GBK" w:cs="Times New Roman"/>
                <w:sz w:val="21"/>
                <w:szCs w:val="21"/>
                <w:lang w:bidi="ar-SA"/>
              </w:rPr>
            </w:pPr>
            <w:r>
              <w:rPr>
                <w:rFonts w:hint="default" w:ascii="Times New Roman" w:hAnsi="Times New Roman" w:eastAsia="方正仿宋_GBK" w:cs="Times New Roman"/>
                <w:sz w:val="21"/>
                <w:szCs w:val="21"/>
                <w:lang w:bidi="ar-SA"/>
              </w:rPr>
              <w:t>按月向社会保障卡“一卡通”平台推送补助发放数据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B450531">
            <w:pPr>
              <w:keepNext w:val="0"/>
              <w:keepLines w:val="0"/>
              <w:pageBreakBefore w:val="0"/>
              <w:widowControl/>
              <w:kinsoku/>
              <w:wordWrap/>
              <w:overflowPunct/>
              <w:topLinePunct w:val="0"/>
              <w:autoSpaceDE/>
              <w:autoSpaceDN/>
              <w:bidi w:val="0"/>
              <w:adjustRightInd/>
              <w:snapToGrid/>
              <w:spacing w:line="240" w:lineRule="exact"/>
              <w:ind w:firstLine="207" w:firstLineChars="100"/>
              <w:jc w:val="left"/>
              <w:rPr>
                <w:rFonts w:hint="default" w:ascii="Times New Roman" w:hAnsi="Times New Roman" w:eastAsia="宋体" w:cs="Times New Roman"/>
                <w:color w:val="000000"/>
                <w:sz w:val="24"/>
                <w:szCs w:val="24"/>
                <w:u w:val="none"/>
                <w:lang w:bidi="ar-SA"/>
              </w:rPr>
            </w:pPr>
            <w:r>
              <w:rPr>
                <w:rFonts w:hint="default" w:ascii="Times New Roman" w:hAnsi="Times New Roman" w:eastAsia="方正仿宋简体" w:cs="Times New Roman"/>
                <w:b/>
                <w:bCs/>
                <w:spacing w:val="-17"/>
                <w:sz w:val="24"/>
                <w:szCs w:val="24"/>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5B031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p>
        </w:tc>
      </w:tr>
      <w:tr w14:paraId="7EF4F727">
        <w:tblPrEx>
          <w:tblCellMar>
            <w:top w:w="0" w:type="dxa"/>
            <w:left w:w="108" w:type="dxa"/>
            <w:bottom w:w="0" w:type="dxa"/>
            <w:right w:w="108" w:type="dxa"/>
          </w:tblCellMar>
        </w:tblPrEx>
        <w:trPr>
          <w:trHeight w:val="470" w:hRule="atLeast"/>
          <w:jc w:val="center"/>
        </w:trPr>
        <w:tc>
          <w:tcPr>
            <w:tcW w:w="9700" w:type="dxa"/>
            <w:gridSpan w:val="5"/>
            <w:tcBorders>
              <w:top w:val="single" w:color="000000" w:sz="4" w:space="0"/>
              <w:left w:val="single" w:color="000000" w:sz="4" w:space="0"/>
              <w:bottom w:val="single" w:color="000000" w:sz="4" w:space="0"/>
              <w:right w:val="single" w:color="000000" w:sz="4" w:space="0"/>
            </w:tcBorders>
            <w:noWrap w:val="0"/>
            <w:vAlign w:val="center"/>
          </w:tcPr>
          <w:p w14:paraId="53C136E6">
            <w:pPr>
              <w:jc w:val="center"/>
              <w:rPr>
                <w:rFonts w:hint="default" w:ascii="Times New Roman" w:hAnsi="Times New Roman" w:eastAsia="方正仿宋_GBK" w:cs="Times New Roman"/>
                <w:sz w:val="24"/>
                <w:szCs w:val="24"/>
                <w:lang w:eastAsia="zh-CN" w:bidi="ar-SA"/>
              </w:rPr>
            </w:pPr>
            <w:r>
              <w:rPr>
                <w:rFonts w:hint="default" w:ascii="Times New Roman" w:hAnsi="Times New Roman" w:eastAsia="方正仿宋_GBK" w:cs="Times New Roman"/>
                <w:b/>
                <w:bCs/>
                <w:sz w:val="21"/>
                <w:szCs w:val="21"/>
                <w:lang w:eastAsia="zh-CN" w:bidi="ar-SA"/>
              </w:rPr>
              <w:t>得分合计</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30F7395">
            <w:pPr>
              <w:keepNext w:val="0"/>
              <w:keepLines w:val="0"/>
              <w:pageBreakBefore w:val="0"/>
              <w:widowControl/>
              <w:kinsoku/>
              <w:wordWrap/>
              <w:overflowPunct/>
              <w:topLinePunct w:val="0"/>
              <w:autoSpaceDE/>
              <w:autoSpaceDN/>
              <w:bidi w:val="0"/>
              <w:adjustRightInd/>
              <w:snapToGrid/>
              <w:spacing w:line="240" w:lineRule="exact"/>
              <w:ind w:firstLine="207" w:firstLineChars="100"/>
              <w:jc w:val="left"/>
              <w:rPr>
                <w:rFonts w:hint="default" w:ascii="Times New Roman" w:hAnsi="Times New Roman" w:eastAsia="方正仿宋简体" w:cs="Times New Roman"/>
                <w:b/>
                <w:bCs/>
                <w:spacing w:val="-17"/>
                <w:sz w:val="24"/>
                <w:szCs w:val="24"/>
                <w:lang w:val="en-US" w:eastAsia="zh-CN"/>
              </w:rPr>
            </w:pPr>
            <w:r>
              <w:rPr>
                <w:rFonts w:hint="default" w:ascii="Times New Roman" w:hAnsi="Times New Roman" w:eastAsia="方正仿宋简体" w:cs="Times New Roman"/>
                <w:b/>
                <w:bCs/>
                <w:spacing w:val="-17"/>
                <w:sz w:val="24"/>
                <w:szCs w:val="24"/>
                <w:lang w:val="en-US" w:eastAsia="zh-CN"/>
              </w:rPr>
              <w:t>100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DB8F7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p>
        </w:tc>
      </w:tr>
    </w:tbl>
    <w:p w14:paraId="27F7FCF8">
      <w:pPr>
        <w:keepNext w:val="0"/>
        <w:keepLines w:val="0"/>
        <w:pageBreakBefore w:val="0"/>
        <w:kinsoku/>
        <w:wordWrap/>
        <w:overflowPunct/>
        <w:topLinePunct w:val="0"/>
        <w:autoSpaceDE/>
        <w:autoSpaceDN/>
        <w:bidi w:val="0"/>
        <w:spacing w:line="560" w:lineRule="exact"/>
        <w:jc w:val="both"/>
        <w:textAlignment w:val="auto"/>
        <w:rPr>
          <w:rFonts w:hint="default" w:ascii="Times New Roman" w:hAnsi="Times New Roman" w:cs="Times New Roman"/>
          <w:color w:val="000000"/>
          <w:kern w:val="0"/>
          <w:szCs w:val="32"/>
          <w:highlight w:val="none"/>
          <w:shd w:val="clear" w:color="auto" w:fill="FFFFFF"/>
          <w:lang w:val="zh-CN" w:eastAsia="zh-CN"/>
        </w:rPr>
      </w:pPr>
    </w:p>
    <w:p w14:paraId="5A887476">
      <w:pPr>
        <w:keepNext w:val="0"/>
        <w:keepLines w:val="0"/>
        <w:pageBreakBefore w:val="0"/>
        <w:kinsoku/>
        <w:wordWrap/>
        <w:overflowPunct/>
        <w:topLinePunct w:val="0"/>
        <w:autoSpaceDE/>
        <w:autoSpaceDN/>
        <w:bidi w:val="0"/>
        <w:spacing w:line="560" w:lineRule="exact"/>
        <w:ind w:left="0" w:leftChars="0" w:firstLine="420" w:firstLineChars="200"/>
        <w:jc w:val="both"/>
        <w:textAlignment w:val="auto"/>
        <w:rPr>
          <w:rFonts w:hint="default" w:ascii="Times New Roman" w:hAnsi="Times New Roman" w:cs="Times New Roman"/>
          <w:color w:val="000000"/>
          <w:kern w:val="0"/>
          <w:szCs w:val="32"/>
          <w:highlight w:val="none"/>
          <w:shd w:val="clear" w:color="auto" w:fill="FFFFFF"/>
          <w:lang w:val="zh-CN" w:eastAsia="zh-CN"/>
        </w:rPr>
      </w:pPr>
    </w:p>
    <w:p w14:paraId="6484BEBB">
      <w:pPr>
        <w:keepNext w:val="0"/>
        <w:keepLines w:val="0"/>
        <w:pageBreakBefore w:val="0"/>
        <w:kinsoku/>
        <w:wordWrap/>
        <w:overflowPunct/>
        <w:topLinePunct w:val="0"/>
        <w:autoSpaceDE/>
        <w:autoSpaceDN/>
        <w:bidi w:val="0"/>
        <w:spacing w:line="560" w:lineRule="exact"/>
        <w:ind w:left="0" w:leftChars="0" w:firstLine="420" w:firstLineChars="200"/>
        <w:jc w:val="both"/>
        <w:textAlignment w:val="auto"/>
        <w:rPr>
          <w:rFonts w:hint="default" w:ascii="Times New Roman" w:hAnsi="Times New Roman" w:cs="Times New Roman"/>
          <w:color w:val="000000"/>
          <w:kern w:val="0"/>
          <w:szCs w:val="32"/>
          <w:highlight w:val="none"/>
          <w:shd w:val="clear" w:color="auto" w:fill="FFFFFF"/>
          <w:lang w:val="zh-CN" w:eastAsia="zh-CN"/>
        </w:rPr>
      </w:pPr>
    </w:p>
    <w:p w14:paraId="6365DD8A">
      <w:pP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p>
    <w:p w14:paraId="10A54698">
      <w:pPr>
        <w:keepNext w:val="0"/>
        <w:keepLines w:val="0"/>
        <w:pageBreakBefore w:val="0"/>
        <w:kinsoku/>
        <w:wordWrap/>
        <w:overflowPunct/>
        <w:topLinePunct w:val="0"/>
        <w:autoSpaceDE/>
        <w:autoSpaceDN/>
        <w:bidi w:val="0"/>
        <w:spacing w:line="560" w:lineRule="exact"/>
        <w:jc w:val="both"/>
        <w:textAlignment w:val="auto"/>
        <w:rPr>
          <w:rFonts w:hint="default" w:ascii="Times New Roman" w:hAnsi="Times New Roman" w:cs="Times New Roman"/>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cs="Times New Roman"/>
          <w:b w:val="0"/>
          <w:bCs w:val="0"/>
          <w:color w:val="auto"/>
          <w:kern w:val="0"/>
          <w:sz w:val="32"/>
          <w:szCs w:val="32"/>
          <w:highlight w:val="none"/>
          <w:u w:val="none"/>
          <w:shd w:val="clear" w:color="auto" w:fill="FFFFFF"/>
          <w:lang w:val="en-US" w:eastAsia="zh-CN"/>
        </w:rPr>
        <w:t>2</w:t>
      </w:r>
    </w:p>
    <w:p w14:paraId="782190CF">
      <w:pPr>
        <w:keepNext w:val="0"/>
        <w:keepLines w:val="0"/>
        <w:pageBreakBefore w:val="0"/>
        <w:kinsoku/>
        <w:wordWrap/>
        <w:overflowPunct/>
        <w:topLinePunct w:val="0"/>
        <w:autoSpaceDE/>
        <w:autoSpaceDN/>
        <w:bidi w:val="0"/>
        <w:spacing w:line="560" w:lineRule="exact"/>
        <w:ind w:left="0" w:leftChars="0" w:firstLine="800" w:firstLineChars="20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tbl>
      <w:tblPr>
        <w:tblStyle w:val="18"/>
        <w:tblW w:w="90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4395"/>
        <w:gridCol w:w="3484"/>
      </w:tblGrid>
      <w:tr w14:paraId="5A1D9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exact"/>
          <w:jc w:val="center"/>
        </w:trPr>
        <w:tc>
          <w:tcPr>
            <w:tcW w:w="1123" w:type="dxa"/>
            <w:noWrap w:val="0"/>
            <w:vAlign w:val="top"/>
          </w:tcPr>
          <w:p w14:paraId="56D19DC4">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4395" w:type="dxa"/>
            <w:noWrap w:val="0"/>
            <w:vAlign w:val="top"/>
          </w:tcPr>
          <w:p w14:paraId="03EAE574">
            <w:pPr>
              <w:keepNext w:val="0"/>
              <w:keepLines w:val="0"/>
              <w:pageBreakBefore w:val="0"/>
              <w:widowControl w:val="0"/>
              <w:tabs>
                <w:tab w:val="left" w:pos="1921"/>
                <w:tab w:val="center" w:pos="3170"/>
              </w:tabs>
              <w:kinsoku/>
              <w:wordWrap/>
              <w:overflowPunct/>
              <w:topLinePunct w:val="0"/>
              <w:autoSpaceDE/>
              <w:autoSpaceDN/>
              <w:bidi w:val="0"/>
              <w:adjustRightInd/>
              <w:snapToGrid/>
              <w:spacing w:line="560" w:lineRule="exact"/>
              <w:ind w:left="0" w:leftChars="0" w:firstLine="480" w:firstLineChars="20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w:t>
            </w:r>
            <w:r>
              <w:rPr>
                <w:rFonts w:hint="default" w:ascii="Times New Roman" w:hAnsi="Times New Roman" w:eastAsia="黑体" w:cs="Times New Roman"/>
                <w:sz w:val="24"/>
                <w:szCs w:val="24"/>
                <w:lang w:val="en-US" w:eastAsia="zh-CN"/>
              </w:rPr>
              <w:t>评价点位</w:t>
            </w:r>
          </w:p>
        </w:tc>
        <w:tc>
          <w:tcPr>
            <w:tcW w:w="3484" w:type="dxa"/>
            <w:noWrap w:val="0"/>
            <w:vAlign w:val="top"/>
          </w:tcPr>
          <w:p w14:paraId="3EF9248F">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sz w:val="24"/>
                <w:szCs w:val="24"/>
                <w:lang w:val="en-US" w:eastAsia="zh-CN"/>
              </w:rPr>
              <w:t>备注</w:t>
            </w:r>
          </w:p>
        </w:tc>
      </w:tr>
      <w:tr w14:paraId="3296C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exact"/>
          <w:jc w:val="center"/>
        </w:trPr>
        <w:tc>
          <w:tcPr>
            <w:tcW w:w="1123" w:type="dxa"/>
            <w:noWrap w:val="0"/>
            <w:vAlign w:val="center"/>
          </w:tcPr>
          <w:p w14:paraId="04C273D8">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方正仿宋_GBK" w:cs="Times New Roman"/>
                <w:b w:val="0"/>
                <w:bCs w:val="0"/>
                <w:color w:val="auto"/>
                <w:sz w:val="24"/>
                <w:szCs w:val="24"/>
                <w:highlight w:val="none"/>
                <w:u w:val="none"/>
                <w:lang w:val="en-US" w:eastAsia="zh-CN"/>
              </w:rPr>
            </w:pPr>
            <w:r>
              <w:rPr>
                <w:rFonts w:hint="default" w:ascii="Times New Roman" w:hAnsi="Times New Roman" w:eastAsia="方正仿宋_GBK" w:cs="Times New Roman"/>
                <w:b w:val="0"/>
                <w:bCs w:val="0"/>
                <w:color w:val="auto"/>
                <w:sz w:val="24"/>
                <w:szCs w:val="24"/>
                <w:highlight w:val="none"/>
                <w:u w:val="none"/>
                <w:lang w:val="en-US" w:eastAsia="zh-CN"/>
              </w:rPr>
              <w:t>1</w:t>
            </w:r>
          </w:p>
        </w:tc>
        <w:tc>
          <w:tcPr>
            <w:tcW w:w="4395" w:type="dxa"/>
            <w:noWrap w:val="0"/>
            <w:vAlign w:val="center"/>
          </w:tcPr>
          <w:p w14:paraId="2EC36B78">
            <w:pPr>
              <w:rPr>
                <w:rFonts w:hint="default" w:ascii="Times New Roman" w:hAnsi="Times New Roman" w:eastAsia="方正仿宋_GBK" w:cs="Times New Roman"/>
                <w:sz w:val="21"/>
                <w:szCs w:val="21"/>
                <w:lang w:val="en" w:eastAsia="zh-CN" w:bidi="ar-SA"/>
              </w:rPr>
            </w:pPr>
            <w:r>
              <w:rPr>
                <w:rFonts w:hint="default" w:ascii="Times New Roman" w:hAnsi="Times New Roman" w:eastAsia="方正仿宋_GBK" w:cs="Times New Roman"/>
                <w:sz w:val="21"/>
                <w:szCs w:val="21"/>
                <w:lang w:val="en" w:eastAsia="zh-CN" w:bidi="ar-SA"/>
              </w:rPr>
              <w:t>攀枝花市全市</w:t>
            </w:r>
            <w:r>
              <w:rPr>
                <w:rFonts w:hint="default" w:ascii="Times New Roman" w:hAnsi="Times New Roman" w:eastAsia="方正仿宋_GBK" w:cs="Times New Roman"/>
                <w:sz w:val="21"/>
                <w:szCs w:val="21"/>
                <w:lang w:val="en-US" w:eastAsia="zh-CN" w:bidi="ar-SA"/>
              </w:rPr>
              <w:t>5</w:t>
            </w:r>
            <w:r>
              <w:rPr>
                <w:rFonts w:hint="default" w:ascii="Times New Roman" w:hAnsi="Times New Roman" w:eastAsia="方正仿宋_GBK" w:cs="Times New Roman"/>
                <w:sz w:val="21"/>
                <w:szCs w:val="21"/>
                <w:lang w:val="en" w:eastAsia="zh-CN" w:bidi="ar-SA"/>
              </w:rPr>
              <w:t>个县（区）、市殡葬服务中心</w:t>
            </w:r>
          </w:p>
        </w:tc>
        <w:tc>
          <w:tcPr>
            <w:tcW w:w="3484" w:type="dxa"/>
            <w:noWrap w:val="0"/>
            <w:vAlign w:val="center"/>
          </w:tcPr>
          <w:p w14:paraId="13AF2EDE">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绿色惠民殡葬项目</w:t>
            </w:r>
          </w:p>
        </w:tc>
      </w:tr>
      <w:tr w14:paraId="06587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exact"/>
          <w:jc w:val="center"/>
        </w:trPr>
        <w:tc>
          <w:tcPr>
            <w:tcW w:w="1123" w:type="dxa"/>
            <w:noWrap w:val="0"/>
            <w:vAlign w:val="center"/>
          </w:tcPr>
          <w:p w14:paraId="26C84DFD">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方正仿宋_GBK" w:cs="Times New Roman"/>
                <w:b w:val="0"/>
                <w:bCs w:val="0"/>
                <w:color w:val="auto"/>
                <w:sz w:val="24"/>
                <w:szCs w:val="24"/>
                <w:highlight w:val="none"/>
                <w:u w:val="none"/>
                <w:lang w:val="en-US" w:eastAsia="zh-CN"/>
              </w:rPr>
            </w:pPr>
            <w:r>
              <w:rPr>
                <w:rFonts w:hint="default" w:ascii="Times New Roman" w:hAnsi="Times New Roman" w:eastAsia="方正仿宋_GBK" w:cs="Times New Roman"/>
                <w:b w:val="0"/>
                <w:bCs w:val="0"/>
                <w:color w:val="auto"/>
                <w:sz w:val="24"/>
                <w:szCs w:val="24"/>
                <w:highlight w:val="none"/>
                <w:u w:val="none"/>
                <w:lang w:val="en-US" w:eastAsia="zh-CN"/>
              </w:rPr>
              <w:t>2</w:t>
            </w:r>
          </w:p>
        </w:tc>
        <w:tc>
          <w:tcPr>
            <w:tcW w:w="4395" w:type="dxa"/>
            <w:noWrap w:val="0"/>
            <w:vAlign w:val="center"/>
          </w:tcPr>
          <w:p w14:paraId="695CD961">
            <w:pPr>
              <w:rPr>
                <w:rFonts w:hint="default" w:ascii="Times New Roman" w:hAnsi="Times New Roman" w:eastAsia="方正仿宋_GBK" w:cs="Times New Roman"/>
                <w:sz w:val="21"/>
                <w:szCs w:val="21"/>
                <w:lang w:val="en" w:eastAsia="zh-CN" w:bidi="ar-SA"/>
              </w:rPr>
            </w:pPr>
            <w:r>
              <w:rPr>
                <w:rFonts w:hint="default" w:ascii="Times New Roman" w:hAnsi="Times New Roman" w:eastAsia="方正仿宋_GBK" w:cs="Times New Roman"/>
                <w:sz w:val="21"/>
                <w:szCs w:val="21"/>
                <w:lang w:val="en" w:eastAsia="zh-CN" w:bidi="ar-SA"/>
              </w:rPr>
              <w:t>攀枝花市全市</w:t>
            </w:r>
            <w:r>
              <w:rPr>
                <w:rFonts w:hint="default" w:ascii="Times New Roman" w:hAnsi="Times New Roman" w:eastAsia="方正仿宋_GBK" w:cs="Times New Roman"/>
                <w:sz w:val="21"/>
                <w:szCs w:val="21"/>
                <w:lang w:val="en-US" w:eastAsia="zh-CN" w:bidi="ar-SA"/>
              </w:rPr>
              <w:t>5</w:t>
            </w:r>
            <w:r>
              <w:rPr>
                <w:rFonts w:hint="default" w:ascii="Times New Roman" w:hAnsi="Times New Roman" w:eastAsia="方正仿宋_GBK" w:cs="Times New Roman"/>
                <w:sz w:val="21"/>
                <w:szCs w:val="21"/>
                <w:lang w:val="en" w:eastAsia="zh-CN" w:bidi="ar-SA"/>
              </w:rPr>
              <w:t>个县（区）</w:t>
            </w:r>
          </w:p>
        </w:tc>
        <w:tc>
          <w:tcPr>
            <w:tcW w:w="3484" w:type="dxa"/>
            <w:noWrap w:val="0"/>
            <w:vAlign w:val="center"/>
          </w:tcPr>
          <w:p w14:paraId="13D9F620">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残疾人两项补贴项目</w:t>
            </w:r>
          </w:p>
        </w:tc>
      </w:tr>
      <w:tr w14:paraId="542E1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exact"/>
          <w:jc w:val="center"/>
        </w:trPr>
        <w:tc>
          <w:tcPr>
            <w:tcW w:w="1123" w:type="dxa"/>
            <w:noWrap w:val="0"/>
            <w:vAlign w:val="center"/>
          </w:tcPr>
          <w:p w14:paraId="07B41DB8">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方正仿宋_GBK" w:cs="Times New Roman"/>
                <w:kern w:val="2"/>
                <w:position w:val="0"/>
                <w:sz w:val="24"/>
                <w:szCs w:val="24"/>
                <w:lang w:val="en-US" w:eastAsia="zh-CN" w:bidi="ar-SA"/>
              </w:rPr>
            </w:pPr>
            <w:r>
              <w:rPr>
                <w:rFonts w:hint="default" w:ascii="Times New Roman" w:hAnsi="Times New Roman" w:eastAsia="方正仿宋_GBK" w:cs="Times New Roman"/>
                <w:b w:val="0"/>
                <w:bCs w:val="0"/>
                <w:color w:val="auto"/>
                <w:sz w:val="24"/>
                <w:szCs w:val="24"/>
                <w:highlight w:val="none"/>
                <w:u w:val="none"/>
                <w:lang w:val="en-US" w:eastAsia="zh-CN"/>
              </w:rPr>
              <w:t>3</w:t>
            </w:r>
          </w:p>
        </w:tc>
        <w:tc>
          <w:tcPr>
            <w:tcW w:w="4395" w:type="dxa"/>
            <w:noWrap w:val="0"/>
            <w:vAlign w:val="center"/>
          </w:tcPr>
          <w:p w14:paraId="724B3941">
            <w:pPr>
              <w:rPr>
                <w:rFonts w:hint="default" w:ascii="Times New Roman" w:hAnsi="Times New Roman" w:eastAsia="方正仿宋_GBK" w:cs="Times New Roman"/>
                <w:sz w:val="21"/>
                <w:szCs w:val="21"/>
                <w:lang w:val="en" w:eastAsia="zh-CN" w:bidi="ar-SA"/>
              </w:rPr>
            </w:pPr>
            <w:r>
              <w:rPr>
                <w:rFonts w:hint="default" w:ascii="Times New Roman" w:hAnsi="Times New Roman" w:eastAsia="方正仿宋_GBK" w:cs="Times New Roman"/>
                <w:sz w:val="21"/>
                <w:szCs w:val="21"/>
                <w:lang w:val="en" w:eastAsia="zh-CN" w:bidi="ar-SA"/>
              </w:rPr>
              <w:t>攀枝花市东区</w:t>
            </w:r>
          </w:p>
        </w:tc>
        <w:tc>
          <w:tcPr>
            <w:tcW w:w="3484" w:type="dxa"/>
            <w:noWrap w:val="0"/>
            <w:vAlign w:val="center"/>
          </w:tcPr>
          <w:p w14:paraId="41B6C55F">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原襄渝铁路西段伤残民兵民工及遗属定期生活补助项目</w:t>
            </w:r>
          </w:p>
        </w:tc>
      </w:tr>
      <w:tr w14:paraId="74D1F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exact"/>
          <w:jc w:val="center"/>
        </w:trPr>
        <w:tc>
          <w:tcPr>
            <w:tcW w:w="1123" w:type="dxa"/>
            <w:noWrap w:val="0"/>
            <w:vAlign w:val="center"/>
          </w:tcPr>
          <w:p w14:paraId="517510F1">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方正仿宋_GBK" w:cs="Times New Roman"/>
                <w:kern w:val="2"/>
                <w:position w:val="0"/>
                <w:sz w:val="24"/>
                <w:szCs w:val="24"/>
                <w:lang w:val="en-US" w:eastAsia="zh-CN" w:bidi="ar-SA"/>
              </w:rPr>
            </w:pPr>
            <w:r>
              <w:rPr>
                <w:rFonts w:hint="default" w:ascii="Times New Roman" w:hAnsi="Times New Roman" w:eastAsia="方正仿宋_GBK" w:cs="Times New Roman"/>
                <w:b w:val="0"/>
                <w:bCs w:val="0"/>
                <w:color w:val="auto"/>
                <w:sz w:val="24"/>
                <w:szCs w:val="24"/>
                <w:highlight w:val="none"/>
                <w:u w:val="none"/>
                <w:lang w:val="en-US" w:eastAsia="zh-CN"/>
              </w:rPr>
              <w:t>4</w:t>
            </w:r>
          </w:p>
        </w:tc>
        <w:tc>
          <w:tcPr>
            <w:tcW w:w="4395" w:type="dxa"/>
            <w:noWrap w:val="0"/>
            <w:vAlign w:val="center"/>
          </w:tcPr>
          <w:p w14:paraId="50363226">
            <w:pPr>
              <w:rPr>
                <w:rFonts w:hint="default" w:ascii="Times New Roman" w:hAnsi="Times New Roman" w:eastAsia="方正仿宋_GBK" w:cs="Times New Roman"/>
                <w:sz w:val="21"/>
                <w:szCs w:val="21"/>
                <w:lang w:val="en" w:eastAsia="zh-CN" w:bidi="ar-SA"/>
              </w:rPr>
            </w:pPr>
            <w:r>
              <w:rPr>
                <w:rFonts w:hint="default" w:ascii="Times New Roman" w:hAnsi="Times New Roman" w:eastAsia="方正仿宋_GBK" w:cs="Times New Roman"/>
                <w:sz w:val="21"/>
                <w:szCs w:val="21"/>
                <w:lang w:val="en" w:eastAsia="zh-CN" w:bidi="ar-SA"/>
              </w:rPr>
              <w:t>攀枝花市盐边县</w:t>
            </w:r>
          </w:p>
        </w:tc>
        <w:tc>
          <w:tcPr>
            <w:tcW w:w="3484" w:type="dxa"/>
            <w:noWrap w:val="0"/>
            <w:vAlign w:val="center"/>
          </w:tcPr>
          <w:p w14:paraId="177A7657">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精减退职职工救济和起义投诚人员生活补助项目</w:t>
            </w:r>
          </w:p>
        </w:tc>
      </w:tr>
    </w:tbl>
    <w:p w14:paraId="160E4E4D">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Times New Roman" w:hAnsi="Times New Roman" w:eastAsia="方正仿宋_GBK" w:cs="Times New Roman"/>
          <w:kern w:val="2"/>
          <w:position w:val="0"/>
          <w:sz w:val="24"/>
          <w:szCs w:val="24"/>
          <w:lang w:val="en-US" w:eastAsia="zh-CN" w:bidi="ar-SA"/>
        </w:rPr>
      </w:pPr>
      <w:r>
        <w:rPr>
          <w:rFonts w:hint="default" w:ascii="Times New Roman" w:hAnsi="Times New Roman" w:eastAsia="方正仿宋_GBK" w:cs="Times New Roman"/>
          <w:kern w:val="2"/>
          <w:position w:val="0"/>
          <w:sz w:val="24"/>
          <w:szCs w:val="24"/>
          <w:lang w:val="en-US" w:eastAsia="zh-CN" w:bidi="ar-SA"/>
        </w:rPr>
        <w:t>备注：项目实地踏勘点位包括市（州）本级、县（市、区）本级及有关项目、单位、公司等。</w:t>
      </w:r>
    </w:p>
    <w:p w14:paraId="79F97ABD">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190C9004">
      <w:pPr>
        <w:keepNext w:val="0"/>
        <w:keepLines w:val="0"/>
        <w:pageBreakBefore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3-1</w:t>
      </w:r>
    </w:p>
    <w:tbl>
      <w:tblPr>
        <w:tblStyle w:val="17"/>
        <w:tblW w:w="10229" w:type="dxa"/>
        <w:jc w:val="center"/>
        <w:tblLayout w:type="fixed"/>
        <w:tblCellMar>
          <w:top w:w="15" w:type="dxa"/>
          <w:left w:w="15" w:type="dxa"/>
          <w:bottom w:w="15" w:type="dxa"/>
          <w:right w:w="15" w:type="dxa"/>
        </w:tblCellMar>
      </w:tblPr>
      <w:tblGrid>
        <w:gridCol w:w="652"/>
        <w:gridCol w:w="1080"/>
        <w:gridCol w:w="1284"/>
        <w:gridCol w:w="2035"/>
        <w:gridCol w:w="995"/>
        <w:gridCol w:w="843"/>
        <w:gridCol w:w="885"/>
        <w:gridCol w:w="611"/>
        <w:gridCol w:w="1844"/>
      </w:tblGrid>
      <w:tr w14:paraId="40FD8170">
        <w:tblPrEx>
          <w:tblCellMar>
            <w:top w:w="15" w:type="dxa"/>
            <w:left w:w="15" w:type="dxa"/>
            <w:bottom w:w="15" w:type="dxa"/>
            <w:right w:w="15" w:type="dxa"/>
          </w:tblCellMar>
        </w:tblPrEx>
        <w:trPr>
          <w:trHeight w:val="576" w:hRule="atLeast"/>
          <w:jc w:val="center"/>
        </w:trPr>
        <w:tc>
          <w:tcPr>
            <w:tcW w:w="10229" w:type="dxa"/>
            <w:gridSpan w:val="9"/>
            <w:tcBorders>
              <w:top w:val="nil"/>
              <w:left w:val="nil"/>
              <w:bottom w:val="nil"/>
              <w:right w:val="nil"/>
            </w:tcBorders>
            <w:noWrap w:val="0"/>
            <w:vAlign w:val="center"/>
          </w:tcPr>
          <w:p w14:paraId="5C448E68">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hint="default" w:ascii="Times New Roman" w:hAnsi="Times New Roman" w:eastAsia="黑体" w:cs="Times New Roman"/>
                <w:color w:val="000000"/>
                <w:sz w:val="30"/>
                <w:szCs w:val="30"/>
                <w:u w:val="none"/>
                <w:lang w:bidi="ar-SA"/>
              </w:rPr>
            </w:pPr>
            <w:r>
              <w:rPr>
                <w:rFonts w:hint="default" w:ascii="Times New Roman" w:hAnsi="Times New Roman" w:eastAsia="方正小标宋简体" w:cs="Times New Roman"/>
                <w:color w:val="000000"/>
                <w:kern w:val="0"/>
                <w:sz w:val="40"/>
                <w:szCs w:val="40"/>
                <w:u w:val="none"/>
                <w:lang w:val="en-US" w:eastAsia="zh-CN" w:bidi="ar"/>
              </w:rPr>
              <w:t>专项预算项目绩效目标完成情况自评表</w:t>
            </w:r>
          </w:p>
        </w:tc>
      </w:tr>
      <w:tr w14:paraId="0310B0AB">
        <w:tblPrEx>
          <w:tblCellMar>
            <w:top w:w="15" w:type="dxa"/>
            <w:left w:w="15" w:type="dxa"/>
            <w:bottom w:w="15" w:type="dxa"/>
            <w:right w:w="15" w:type="dxa"/>
          </w:tblCellMar>
        </w:tblPrEx>
        <w:trPr>
          <w:trHeight w:val="292" w:hRule="atLeast"/>
          <w:jc w:val="center"/>
        </w:trPr>
        <w:tc>
          <w:tcPr>
            <w:tcW w:w="5051" w:type="dxa"/>
            <w:gridSpan w:val="4"/>
            <w:tcBorders>
              <w:top w:val="single" w:color="000000" w:sz="4" w:space="0"/>
              <w:left w:val="single" w:color="000000" w:sz="4" w:space="0"/>
              <w:bottom w:val="single" w:color="000000" w:sz="4" w:space="0"/>
              <w:right w:val="single" w:color="000000" w:sz="4" w:space="0"/>
            </w:tcBorders>
            <w:noWrap w:val="0"/>
            <w:vAlign w:val="center"/>
          </w:tcPr>
          <w:p w14:paraId="4F36778E">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项目名称</w:t>
            </w:r>
          </w:p>
        </w:tc>
        <w:tc>
          <w:tcPr>
            <w:tcW w:w="5178" w:type="dxa"/>
            <w:gridSpan w:val="5"/>
            <w:tcBorders>
              <w:top w:val="single" w:color="000000" w:sz="4" w:space="0"/>
              <w:left w:val="single" w:color="000000" w:sz="4" w:space="0"/>
              <w:bottom w:val="single" w:color="000000" w:sz="4" w:space="0"/>
              <w:right w:val="single" w:color="000000" w:sz="4" w:space="0"/>
            </w:tcBorders>
            <w:noWrap w:val="0"/>
            <w:vAlign w:val="center"/>
          </w:tcPr>
          <w:p w14:paraId="28C0B830">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残疾人“两项补贴”</w:t>
            </w:r>
          </w:p>
        </w:tc>
      </w:tr>
      <w:tr w14:paraId="287B64FF">
        <w:tblPrEx>
          <w:tblCellMar>
            <w:top w:w="15" w:type="dxa"/>
            <w:left w:w="15" w:type="dxa"/>
            <w:bottom w:w="15" w:type="dxa"/>
            <w:right w:w="15" w:type="dxa"/>
          </w:tblCellMar>
        </w:tblPrEx>
        <w:trPr>
          <w:trHeight w:val="417" w:hRule="atLeast"/>
          <w:jc w:val="center"/>
        </w:trPr>
        <w:tc>
          <w:tcPr>
            <w:tcW w:w="5051" w:type="dxa"/>
            <w:gridSpan w:val="4"/>
            <w:tcBorders>
              <w:top w:val="single" w:color="000000" w:sz="4" w:space="0"/>
              <w:left w:val="single" w:color="000000" w:sz="4" w:space="0"/>
              <w:bottom w:val="single" w:color="000000" w:sz="4" w:space="0"/>
              <w:right w:val="single" w:color="000000" w:sz="4" w:space="0"/>
            </w:tcBorders>
            <w:noWrap w:val="0"/>
            <w:vAlign w:val="center"/>
          </w:tcPr>
          <w:p w14:paraId="3BAF1B4A">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预算单位</w:t>
            </w:r>
          </w:p>
        </w:tc>
        <w:tc>
          <w:tcPr>
            <w:tcW w:w="5178" w:type="dxa"/>
            <w:gridSpan w:val="5"/>
            <w:tcBorders>
              <w:top w:val="single" w:color="000000" w:sz="4" w:space="0"/>
              <w:left w:val="single" w:color="000000" w:sz="4" w:space="0"/>
              <w:bottom w:val="single" w:color="000000" w:sz="4" w:space="0"/>
              <w:right w:val="single" w:color="000000" w:sz="4" w:space="0"/>
            </w:tcBorders>
            <w:noWrap w:val="0"/>
            <w:vAlign w:val="center"/>
          </w:tcPr>
          <w:p w14:paraId="433FE03E">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攀枝花市民政局</w:t>
            </w:r>
          </w:p>
        </w:tc>
      </w:tr>
      <w:tr w14:paraId="2C46FFD6">
        <w:tblPrEx>
          <w:tblCellMar>
            <w:top w:w="15" w:type="dxa"/>
            <w:left w:w="15" w:type="dxa"/>
            <w:bottom w:w="15" w:type="dxa"/>
            <w:right w:w="15" w:type="dxa"/>
          </w:tblCellMar>
        </w:tblPrEx>
        <w:trPr>
          <w:trHeight w:val="23" w:hRule="atLeast"/>
          <w:jc w:val="center"/>
        </w:trPr>
        <w:tc>
          <w:tcPr>
            <w:tcW w:w="5051" w:type="dxa"/>
            <w:gridSpan w:val="4"/>
            <w:tcBorders>
              <w:top w:val="single" w:color="000000" w:sz="4" w:space="0"/>
              <w:left w:val="single" w:color="000000" w:sz="4" w:space="0"/>
              <w:bottom w:val="single" w:color="000000" w:sz="4" w:space="0"/>
              <w:right w:val="single" w:color="000000" w:sz="4" w:space="0"/>
            </w:tcBorders>
            <w:noWrap w:val="0"/>
            <w:vAlign w:val="center"/>
          </w:tcPr>
          <w:p w14:paraId="2E6571A9">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项目类型</w:t>
            </w:r>
          </w:p>
        </w:tc>
        <w:tc>
          <w:tcPr>
            <w:tcW w:w="5178" w:type="dxa"/>
            <w:gridSpan w:val="5"/>
            <w:tcBorders>
              <w:top w:val="single" w:color="000000" w:sz="4" w:space="0"/>
              <w:left w:val="single" w:color="000000" w:sz="4" w:space="0"/>
              <w:bottom w:val="single" w:color="000000" w:sz="4" w:space="0"/>
              <w:right w:val="single" w:color="000000" w:sz="4" w:space="0"/>
            </w:tcBorders>
            <w:noWrap w:val="0"/>
            <w:vAlign w:val="center"/>
          </w:tcPr>
          <w:p w14:paraId="46219EDC">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救助救济类</w:t>
            </w:r>
          </w:p>
        </w:tc>
      </w:tr>
      <w:tr w14:paraId="6ACBCBB8">
        <w:tblPrEx>
          <w:tblCellMar>
            <w:top w:w="15" w:type="dxa"/>
            <w:left w:w="15" w:type="dxa"/>
            <w:bottom w:w="15" w:type="dxa"/>
            <w:right w:w="15" w:type="dxa"/>
          </w:tblCellMar>
        </w:tblPrEx>
        <w:trPr>
          <w:trHeight w:val="2025"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A9CFE28">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项目 概况</w:t>
            </w:r>
          </w:p>
        </w:tc>
        <w:tc>
          <w:tcPr>
            <w:tcW w:w="4399" w:type="dxa"/>
            <w:gridSpan w:val="3"/>
            <w:tcBorders>
              <w:top w:val="single" w:color="000000" w:sz="4" w:space="0"/>
              <w:left w:val="single" w:color="000000" w:sz="4" w:space="0"/>
              <w:bottom w:val="single" w:color="000000" w:sz="4" w:space="0"/>
              <w:right w:val="single" w:color="000000" w:sz="4" w:space="0"/>
            </w:tcBorders>
            <w:noWrap w:val="0"/>
            <w:vAlign w:val="center"/>
          </w:tcPr>
          <w:p w14:paraId="43BCB69D">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kern w:val="0"/>
                <w:sz w:val="21"/>
                <w:szCs w:val="21"/>
                <w:u w:val="none"/>
                <w:lang w:val="en-US" w:eastAsia="zh-CN" w:bidi="ar"/>
              </w:rPr>
            </w:pPr>
            <w:r>
              <w:rPr>
                <w:rFonts w:hint="default" w:ascii="Times New Roman" w:hAnsi="Times New Roman" w:eastAsia="方正仿宋_GBK" w:cs="Times New Roman"/>
                <w:color w:val="000000"/>
                <w:kern w:val="0"/>
                <w:sz w:val="21"/>
                <w:szCs w:val="21"/>
                <w:u w:val="none"/>
                <w:lang w:val="en-US" w:eastAsia="zh-CN" w:bidi="ar"/>
              </w:rPr>
              <w:t>中长期规划（名称、文号，仅指</w:t>
            </w:r>
          </w:p>
          <w:p w14:paraId="26B9CF06">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常年项目）</w:t>
            </w:r>
          </w:p>
        </w:tc>
        <w:tc>
          <w:tcPr>
            <w:tcW w:w="5178" w:type="dxa"/>
            <w:gridSpan w:val="5"/>
            <w:tcBorders>
              <w:top w:val="single" w:color="000000" w:sz="4" w:space="0"/>
              <w:left w:val="single" w:color="000000" w:sz="4" w:space="0"/>
              <w:bottom w:val="single" w:color="000000" w:sz="4" w:space="0"/>
              <w:right w:val="single" w:color="000000" w:sz="4" w:space="0"/>
            </w:tcBorders>
            <w:noWrap w:val="0"/>
            <w:vAlign w:val="center"/>
          </w:tcPr>
          <w:p w14:paraId="15CC702A">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《国务院关于全面建立困难残疾人生活补贴和重度残疾人护理补贴制度的意见》（国发〔2015〕52号）《四川省民政厅 四川省财政厅 四川省残疾人联合会关于建立困难残疾人生活补贴和重度残疾人护理补贴的通知》（川民发〔2015〕195号）</w:t>
            </w:r>
          </w:p>
        </w:tc>
      </w:tr>
      <w:tr w14:paraId="6F4B1B44">
        <w:tblPrEx>
          <w:tblCellMar>
            <w:top w:w="15" w:type="dxa"/>
            <w:left w:w="15" w:type="dxa"/>
            <w:bottom w:w="15" w:type="dxa"/>
            <w:right w:w="15" w:type="dxa"/>
          </w:tblCellMar>
        </w:tblPrEx>
        <w:trPr>
          <w:trHeight w:val="121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5104D6">
            <w:pPr>
              <w:keepNext w:val="0"/>
              <w:keepLines w:val="0"/>
              <w:pageBreakBefore w:val="0"/>
              <w:kinsoku/>
              <w:wordWrap/>
              <w:overflowPunct/>
              <w:topLinePunct w:val="0"/>
              <w:autoSpaceDE/>
              <w:autoSpaceDN/>
              <w:bidi w:val="0"/>
              <w:adjustRightInd/>
              <w:snapToGrid/>
              <w:spacing w:line="260" w:lineRule="exact"/>
              <w:rPr>
                <w:rFonts w:hint="default" w:ascii="Times New Roman" w:hAnsi="Times New Roman" w:cs="Times New Roman"/>
                <w:sz w:val="21"/>
                <w:szCs w:val="21"/>
              </w:rPr>
            </w:pPr>
          </w:p>
        </w:tc>
        <w:tc>
          <w:tcPr>
            <w:tcW w:w="4399" w:type="dxa"/>
            <w:gridSpan w:val="3"/>
            <w:tcBorders>
              <w:top w:val="single" w:color="000000" w:sz="4" w:space="0"/>
              <w:left w:val="single" w:color="000000" w:sz="4" w:space="0"/>
              <w:bottom w:val="single" w:color="000000" w:sz="4" w:space="0"/>
              <w:right w:val="single" w:color="000000" w:sz="4" w:space="0"/>
            </w:tcBorders>
            <w:noWrap w:val="0"/>
            <w:vAlign w:val="center"/>
          </w:tcPr>
          <w:p w14:paraId="03686F02">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资金管理办法（名称、文号）</w:t>
            </w:r>
          </w:p>
        </w:tc>
        <w:tc>
          <w:tcPr>
            <w:tcW w:w="5178" w:type="dxa"/>
            <w:gridSpan w:val="5"/>
            <w:tcBorders>
              <w:top w:val="single" w:color="000000" w:sz="4" w:space="0"/>
              <w:left w:val="single" w:color="000000" w:sz="4" w:space="0"/>
              <w:bottom w:val="single" w:color="000000" w:sz="4" w:space="0"/>
              <w:right w:val="single" w:color="000000" w:sz="4" w:space="0"/>
            </w:tcBorders>
            <w:noWrap w:val="0"/>
            <w:vAlign w:val="center"/>
          </w:tcPr>
          <w:p w14:paraId="66F0EB05">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《四川省民政厅 四川省财政厅 四川省残疾人联合会关于建立困难残疾人生活补贴和重度残疾人护理补贴的通知》（川民发〔2015〕195号）</w:t>
            </w:r>
          </w:p>
        </w:tc>
      </w:tr>
      <w:tr w14:paraId="56B6A7D8">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B9AF92">
            <w:pPr>
              <w:keepNext w:val="0"/>
              <w:keepLines w:val="0"/>
              <w:pageBreakBefore w:val="0"/>
              <w:kinsoku/>
              <w:wordWrap/>
              <w:overflowPunct/>
              <w:topLinePunct w:val="0"/>
              <w:autoSpaceDE/>
              <w:autoSpaceDN/>
              <w:bidi w:val="0"/>
              <w:adjustRightInd/>
              <w:snapToGrid/>
              <w:spacing w:line="260" w:lineRule="exact"/>
              <w:rPr>
                <w:rFonts w:hint="default" w:ascii="Times New Roman" w:hAnsi="Times New Roman" w:cs="Times New Roman"/>
                <w:sz w:val="21"/>
                <w:szCs w:val="21"/>
              </w:rPr>
            </w:pPr>
          </w:p>
        </w:tc>
        <w:tc>
          <w:tcPr>
            <w:tcW w:w="4399" w:type="dxa"/>
            <w:gridSpan w:val="3"/>
            <w:tcBorders>
              <w:top w:val="single" w:color="000000" w:sz="4" w:space="0"/>
              <w:left w:val="single" w:color="000000" w:sz="4" w:space="0"/>
              <w:bottom w:val="single" w:color="000000" w:sz="4" w:space="0"/>
              <w:right w:val="single" w:color="000000" w:sz="4" w:space="0"/>
            </w:tcBorders>
            <w:noWrap w:val="0"/>
            <w:vAlign w:val="center"/>
          </w:tcPr>
          <w:p w14:paraId="100C5861">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绩效分配方式</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0A6CE462">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因素法</w:t>
            </w:r>
          </w:p>
        </w:tc>
        <w:tc>
          <w:tcPr>
            <w:tcW w:w="1728" w:type="dxa"/>
            <w:gridSpan w:val="2"/>
            <w:tcBorders>
              <w:top w:val="single" w:color="000000" w:sz="4" w:space="0"/>
              <w:left w:val="single" w:color="000000" w:sz="4" w:space="0"/>
              <w:bottom w:val="single" w:color="000000" w:sz="4" w:space="0"/>
              <w:right w:val="single" w:color="000000" w:sz="4" w:space="0"/>
            </w:tcBorders>
            <w:noWrap w:val="0"/>
            <w:vAlign w:val="center"/>
          </w:tcPr>
          <w:p w14:paraId="7A8D88F2">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项目法</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43C4F54E">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据实据效</w:t>
            </w:r>
          </w:p>
        </w:tc>
        <w:tc>
          <w:tcPr>
            <w:tcW w:w="1844" w:type="dxa"/>
            <w:tcBorders>
              <w:top w:val="single" w:color="000000" w:sz="4" w:space="0"/>
              <w:left w:val="single" w:color="000000" w:sz="4" w:space="0"/>
              <w:bottom w:val="single" w:color="000000" w:sz="4" w:space="0"/>
              <w:right w:val="single" w:color="000000" w:sz="4" w:space="0"/>
            </w:tcBorders>
            <w:noWrap w:val="0"/>
            <w:vAlign w:val="center"/>
          </w:tcPr>
          <w:p w14:paraId="36040890">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因素法与项目法相结合</w:t>
            </w:r>
          </w:p>
        </w:tc>
      </w:tr>
      <w:tr w14:paraId="559CE19E">
        <w:tblPrEx>
          <w:tblCellMar>
            <w:top w:w="15" w:type="dxa"/>
            <w:left w:w="15" w:type="dxa"/>
            <w:bottom w:w="15" w:type="dxa"/>
            <w:right w:w="15" w:type="dxa"/>
          </w:tblCellMar>
        </w:tblPrEx>
        <w:trPr>
          <w:trHeight w:val="105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E0738F">
            <w:pPr>
              <w:keepNext w:val="0"/>
              <w:keepLines w:val="0"/>
              <w:pageBreakBefore w:val="0"/>
              <w:kinsoku/>
              <w:wordWrap/>
              <w:overflowPunct/>
              <w:topLinePunct w:val="0"/>
              <w:autoSpaceDE/>
              <w:autoSpaceDN/>
              <w:bidi w:val="0"/>
              <w:adjustRightInd/>
              <w:snapToGrid/>
              <w:spacing w:line="260" w:lineRule="exact"/>
              <w:rPr>
                <w:rFonts w:hint="default" w:ascii="Times New Roman" w:hAnsi="Times New Roman" w:cs="Times New Roman"/>
                <w:sz w:val="21"/>
                <w:szCs w:val="21"/>
              </w:rPr>
            </w:pPr>
          </w:p>
        </w:tc>
        <w:tc>
          <w:tcPr>
            <w:tcW w:w="4399" w:type="dxa"/>
            <w:gridSpan w:val="3"/>
            <w:tcBorders>
              <w:top w:val="single" w:color="000000" w:sz="4" w:space="0"/>
              <w:left w:val="single" w:color="000000" w:sz="4" w:space="0"/>
              <w:bottom w:val="single" w:color="000000" w:sz="4" w:space="0"/>
              <w:right w:val="single" w:color="000000" w:sz="4" w:space="0"/>
            </w:tcBorders>
            <w:noWrap w:val="0"/>
            <w:vAlign w:val="center"/>
          </w:tcPr>
          <w:p w14:paraId="5800ADE7">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立项依据</w:t>
            </w:r>
          </w:p>
        </w:tc>
        <w:tc>
          <w:tcPr>
            <w:tcW w:w="5178" w:type="dxa"/>
            <w:gridSpan w:val="5"/>
            <w:tcBorders>
              <w:top w:val="single" w:color="000000" w:sz="4" w:space="0"/>
              <w:left w:val="single" w:color="000000" w:sz="4" w:space="0"/>
              <w:bottom w:val="single" w:color="000000" w:sz="4" w:space="0"/>
              <w:right w:val="single" w:color="000000" w:sz="4" w:space="0"/>
            </w:tcBorders>
            <w:noWrap w:val="0"/>
            <w:vAlign w:val="center"/>
          </w:tcPr>
          <w:p w14:paraId="70FD90DE">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《国务院关于全面建立困难残疾人生活补贴和重度残疾人护理补贴制度的意见》（国发〔2015〕52号）</w:t>
            </w:r>
          </w:p>
        </w:tc>
      </w:tr>
      <w:tr w14:paraId="69C0E747">
        <w:tblPrEx>
          <w:tblCellMar>
            <w:top w:w="15" w:type="dxa"/>
            <w:left w:w="15" w:type="dxa"/>
            <w:bottom w:w="15" w:type="dxa"/>
            <w:right w:w="15" w:type="dxa"/>
          </w:tblCellMar>
        </w:tblPrEx>
        <w:trPr>
          <w:trHeight w:val="44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E31CEF">
            <w:pPr>
              <w:keepNext w:val="0"/>
              <w:keepLines w:val="0"/>
              <w:pageBreakBefore w:val="0"/>
              <w:kinsoku/>
              <w:wordWrap/>
              <w:overflowPunct/>
              <w:topLinePunct w:val="0"/>
              <w:autoSpaceDE/>
              <w:autoSpaceDN/>
              <w:bidi w:val="0"/>
              <w:adjustRightInd/>
              <w:snapToGrid/>
              <w:spacing w:line="260" w:lineRule="exact"/>
              <w:rPr>
                <w:rFonts w:hint="default" w:ascii="Times New Roman" w:hAnsi="Times New Roman" w:cs="Times New Roman"/>
                <w:sz w:val="21"/>
                <w:szCs w:val="21"/>
              </w:rPr>
            </w:pPr>
          </w:p>
        </w:tc>
        <w:tc>
          <w:tcPr>
            <w:tcW w:w="4399" w:type="dxa"/>
            <w:gridSpan w:val="3"/>
            <w:tcBorders>
              <w:top w:val="single" w:color="000000" w:sz="4" w:space="0"/>
              <w:left w:val="single" w:color="000000" w:sz="4" w:space="0"/>
              <w:bottom w:val="single" w:color="000000" w:sz="4" w:space="0"/>
              <w:right w:val="single" w:color="000000" w:sz="4" w:space="0"/>
            </w:tcBorders>
            <w:noWrap w:val="0"/>
            <w:vAlign w:val="center"/>
          </w:tcPr>
          <w:p w14:paraId="47089E1F">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使用范围</w:t>
            </w:r>
          </w:p>
        </w:tc>
        <w:tc>
          <w:tcPr>
            <w:tcW w:w="5178" w:type="dxa"/>
            <w:gridSpan w:val="5"/>
            <w:tcBorders>
              <w:top w:val="single" w:color="000000" w:sz="4" w:space="0"/>
              <w:left w:val="single" w:color="000000" w:sz="4" w:space="0"/>
              <w:bottom w:val="single" w:color="000000" w:sz="4" w:space="0"/>
              <w:right w:val="single" w:color="000000" w:sz="4" w:space="0"/>
            </w:tcBorders>
            <w:noWrap w:val="0"/>
            <w:vAlign w:val="center"/>
          </w:tcPr>
          <w:p w14:paraId="3C59F63D">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困难残疾人生活补贴和重度残疾人护理补贴</w:t>
            </w:r>
          </w:p>
        </w:tc>
      </w:tr>
      <w:tr w14:paraId="27853FAC">
        <w:tblPrEx>
          <w:tblCellMar>
            <w:top w:w="15" w:type="dxa"/>
            <w:left w:w="15" w:type="dxa"/>
            <w:bottom w:w="15" w:type="dxa"/>
            <w:right w:w="15" w:type="dxa"/>
          </w:tblCellMar>
        </w:tblPrEx>
        <w:trPr>
          <w:trHeight w:val="38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9D1655">
            <w:pPr>
              <w:keepNext w:val="0"/>
              <w:keepLines w:val="0"/>
              <w:pageBreakBefore w:val="0"/>
              <w:kinsoku/>
              <w:wordWrap/>
              <w:overflowPunct/>
              <w:topLinePunct w:val="0"/>
              <w:autoSpaceDE/>
              <w:autoSpaceDN/>
              <w:bidi w:val="0"/>
              <w:adjustRightInd/>
              <w:snapToGrid/>
              <w:spacing w:line="260" w:lineRule="exact"/>
              <w:rPr>
                <w:rFonts w:hint="default" w:ascii="Times New Roman" w:hAnsi="Times New Roman" w:cs="Times New Roman"/>
                <w:sz w:val="21"/>
                <w:szCs w:val="21"/>
              </w:rPr>
            </w:pPr>
          </w:p>
        </w:tc>
        <w:tc>
          <w:tcPr>
            <w:tcW w:w="4399" w:type="dxa"/>
            <w:gridSpan w:val="3"/>
            <w:tcBorders>
              <w:top w:val="single" w:color="000000" w:sz="4" w:space="0"/>
              <w:left w:val="single" w:color="000000" w:sz="4" w:space="0"/>
              <w:bottom w:val="single" w:color="000000" w:sz="4" w:space="0"/>
              <w:right w:val="single" w:color="000000" w:sz="4" w:space="0"/>
            </w:tcBorders>
            <w:noWrap w:val="0"/>
            <w:vAlign w:val="center"/>
          </w:tcPr>
          <w:p w14:paraId="00244BEC">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申报（补助）条件</w:t>
            </w:r>
          </w:p>
        </w:tc>
        <w:tc>
          <w:tcPr>
            <w:tcW w:w="5178" w:type="dxa"/>
            <w:gridSpan w:val="5"/>
            <w:tcBorders>
              <w:top w:val="single" w:color="000000" w:sz="4" w:space="0"/>
              <w:left w:val="single" w:color="000000" w:sz="4" w:space="0"/>
              <w:bottom w:val="single" w:color="000000" w:sz="4" w:space="0"/>
              <w:right w:val="single" w:color="000000" w:sz="4" w:space="0"/>
            </w:tcBorders>
            <w:noWrap w:val="0"/>
            <w:vAlign w:val="center"/>
          </w:tcPr>
          <w:p w14:paraId="59F73B58">
            <w:pPr>
              <w:rPr>
                <w:rFonts w:hint="default" w:ascii="Times New Roman" w:hAnsi="Times New Roman" w:eastAsia="方正仿宋_GBK" w:cs="Times New Roman"/>
                <w:sz w:val="21"/>
                <w:szCs w:val="21"/>
                <w:lang w:val="en-US" w:eastAsia="zh-CN" w:bidi="ar-SA"/>
              </w:rPr>
            </w:pPr>
          </w:p>
        </w:tc>
      </w:tr>
      <w:tr w14:paraId="753E21EE">
        <w:tblPrEx>
          <w:tblCellMar>
            <w:top w:w="15" w:type="dxa"/>
            <w:left w:w="15" w:type="dxa"/>
            <w:bottom w:w="15" w:type="dxa"/>
            <w:right w:w="15" w:type="dxa"/>
          </w:tblCellMar>
        </w:tblPrEx>
        <w:trPr>
          <w:trHeight w:val="43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56A46B">
            <w:pPr>
              <w:keepNext w:val="0"/>
              <w:keepLines w:val="0"/>
              <w:pageBreakBefore w:val="0"/>
              <w:kinsoku/>
              <w:wordWrap/>
              <w:overflowPunct/>
              <w:topLinePunct w:val="0"/>
              <w:autoSpaceDE/>
              <w:autoSpaceDN/>
              <w:bidi w:val="0"/>
              <w:adjustRightInd/>
              <w:snapToGrid/>
              <w:spacing w:line="260" w:lineRule="exact"/>
              <w:rPr>
                <w:rFonts w:hint="default" w:ascii="Times New Roman" w:hAnsi="Times New Roman" w:cs="Times New Roman"/>
                <w:sz w:val="21"/>
                <w:szCs w:val="21"/>
              </w:rPr>
            </w:pPr>
          </w:p>
        </w:tc>
        <w:tc>
          <w:tcPr>
            <w:tcW w:w="4399" w:type="dxa"/>
            <w:gridSpan w:val="3"/>
            <w:tcBorders>
              <w:top w:val="single" w:color="000000" w:sz="4" w:space="0"/>
              <w:left w:val="single" w:color="000000" w:sz="4" w:space="0"/>
              <w:bottom w:val="single" w:color="000000" w:sz="4" w:space="0"/>
              <w:right w:val="single" w:color="000000" w:sz="4" w:space="0"/>
            </w:tcBorders>
            <w:noWrap w:val="0"/>
            <w:vAlign w:val="center"/>
          </w:tcPr>
          <w:p w14:paraId="3A785A57">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项目起止年限</w:t>
            </w:r>
          </w:p>
        </w:tc>
        <w:tc>
          <w:tcPr>
            <w:tcW w:w="5178" w:type="dxa"/>
            <w:gridSpan w:val="5"/>
            <w:tcBorders>
              <w:top w:val="single" w:color="000000" w:sz="4" w:space="0"/>
              <w:left w:val="single" w:color="000000" w:sz="4" w:space="0"/>
              <w:bottom w:val="single" w:color="000000" w:sz="4" w:space="0"/>
              <w:right w:val="single" w:color="000000" w:sz="4" w:space="0"/>
            </w:tcBorders>
            <w:noWrap w:val="0"/>
            <w:vAlign w:val="center"/>
          </w:tcPr>
          <w:p w14:paraId="57F6E6D9">
            <w:pPr>
              <w:rPr>
                <w:rFonts w:hint="default" w:ascii="Times New Roman" w:hAnsi="Times New Roman" w:eastAsia="方正仿宋_GBK" w:cs="Times New Roman"/>
                <w:sz w:val="21"/>
                <w:szCs w:val="21"/>
                <w:lang w:val="en-US" w:eastAsia="zh-CN" w:bidi="ar-SA"/>
              </w:rPr>
            </w:pPr>
          </w:p>
        </w:tc>
      </w:tr>
      <w:tr w14:paraId="35226EA1">
        <w:tblPrEx>
          <w:tblCellMar>
            <w:top w:w="15" w:type="dxa"/>
            <w:left w:w="15" w:type="dxa"/>
            <w:bottom w:w="15" w:type="dxa"/>
            <w:right w:w="15" w:type="dxa"/>
          </w:tblCellMar>
        </w:tblPrEx>
        <w:trPr>
          <w:trHeight w:val="340" w:hRule="atLeast"/>
          <w:jc w:val="center"/>
        </w:trPr>
        <w:tc>
          <w:tcPr>
            <w:tcW w:w="173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B5E39C">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kern w:val="0"/>
                <w:sz w:val="21"/>
                <w:szCs w:val="21"/>
                <w:u w:val="none"/>
                <w:lang w:val="en-US" w:eastAsia="zh-CN" w:bidi="ar"/>
              </w:rPr>
            </w:pPr>
            <w:r>
              <w:rPr>
                <w:rFonts w:hint="default" w:ascii="Times New Roman" w:hAnsi="Times New Roman" w:eastAsia="方正仿宋_GBK" w:cs="Times New Roman"/>
                <w:color w:val="000000"/>
                <w:kern w:val="0"/>
                <w:sz w:val="21"/>
                <w:szCs w:val="21"/>
                <w:u w:val="none"/>
                <w:lang w:val="en-US" w:eastAsia="zh-CN" w:bidi="ar"/>
              </w:rPr>
              <w:t>项目资金</w:t>
            </w:r>
          </w:p>
          <w:p w14:paraId="31B879EC">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（万元）</w:t>
            </w:r>
          </w:p>
        </w:tc>
        <w:tc>
          <w:tcPr>
            <w:tcW w:w="3319" w:type="dxa"/>
            <w:gridSpan w:val="2"/>
            <w:tcBorders>
              <w:top w:val="single" w:color="000000" w:sz="4" w:space="0"/>
              <w:left w:val="single" w:color="000000" w:sz="4" w:space="0"/>
              <w:bottom w:val="single" w:color="000000" w:sz="4" w:space="0"/>
              <w:right w:val="single" w:color="000000" w:sz="4" w:space="0"/>
            </w:tcBorders>
            <w:noWrap w:val="0"/>
            <w:vAlign w:val="center"/>
          </w:tcPr>
          <w:p w14:paraId="58AA28A3">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年度资金总额：</w:t>
            </w:r>
          </w:p>
        </w:tc>
        <w:tc>
          <w:tcPr>
            <w:tcW w:w="5178" w:type="dxa"/>
            <w:gridSpan w:val="5"/>
            <w:tcBorders>
              <w:top w:val="single" w:color="000000" w:sz="4" w:space="0"/>
              <w:left w:val="single" w:color="000000" w:sz="4" w:space="0"/>
              <w:bottom w:val="single" w:color="000000" w:sz="4" w:space="0"/>
              <w:right w:val="single" w:color="000000" w:sz="4" w:space="0"/>
            </w:tcBorders>
            <w:noWrap w:val="0"/>
            <w:vAlign w:val="center"/>
          </w:tcPr>
          <w:p w14:paraId="61816B5F">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2107.07万元</w:t>
            </w:r>
          </w:p>
        </w:tc>
      </w:tr>
      <w:tr w14:paraId="5D54DF95">
        <w:tblPrEx>
          <w:tblCellMar>
            <w:top w:w="15" w:type="dxa"/>
            <w:left w:w="15" w:type="dxa"/>
            <w:bottom w:w="15" w:type="dxa"/>
            <w:right w:w="15" w:type="dxa"/>
          </w:tblCellMar>
        </w:tblPrEx>
        <w:trPr>
          <w:trHeight w:val="400" w:hRule="atLeast"/>
          <w:jc w:val="center"/>
        </w:trPr>
        <w:tc>
          <w:tcPr>
            <w:tcW w:w="173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D7BF0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cs="Times New Roman"/>
                <w:sz w:val="21"/>
                <w:szCs w:val="21"/>
              </w:rPr>
            </w:pPr>
          </w:p>
        </w:tc>
        <w:tc>
          <w:tcPr>
            <w:tcW w:w="3319" w:type="dxa"/>
            <w:gridSpan w:val="2"/>
            <w:tcBorders>
              <w:top w:val="single" w:color="000000" w:sz="4" w:space="0"/>
              <w:left w:val="single" w:color="000000" w:sz="4" w:space="0"/>
              <w:bottom w:val="single" w:color="000000" w:sz="4" w:space="0"/>
              <w:right w:val="single" w:color="000000" w:sz="4" w:space="0"/>
            </w:tcBorders>
            <w:noWrap w:val="0"/>
            <w:vAlign w:val="center"/>
          </w:tcPr>
          <w:p w14:paraId="64525D4D">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其中：财政拨款</w:t>
            </w:r>
          </w:p>
        </w:tc>
        <w:tc>
          <w:tcPr>
            <w:tcW w:w="5178" w:type="dxa"/>
            <w:gridSpan w:val="5"/>
            <w:tcBorders>
              <w:top w:val="single" w:color="000000" w:sz="4" w:space="0"/>
              <w:left w:val="single" w:color="000000" w:sz="4" w:space="0"/>
              <w:bottom w:val="single" w:color="000000" w:sz="4" w:space="0"/>
              <w:right w:val="single" w:color="000000" w:sz="4" w:space="0"/>
            </w:tcBorders>
            <w:noWrap w:val="0"/>
            <w:vAlign w:val="center"/>
          </w:tcPr>
          <w:p w14:paraId="241E89CF">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2107.07万元</w:t>
            </w:r>
          </w:p>
        </w:tc>
      </w:tr>
      <w:tr w14:paraId="2FF75BD7">
        <w:tblPrEx>
          <w:tblCellMar>
            <w:top w:w="15" w:type="dxa"/>
            <w:left w:w="15" w:type="dxa"/>
            <w:bottom w:w="15" w:type="dxa"/>
            <w:right w:w="15" w:type="dxa"/>
          </w:tblCellMar>
        </w:tblPrEx>
        <w:trPr>
          <w:trHeight w:val="445" w:hRule="atLeast"/>
          <w:jc w:val="center"/>
        </w:trPr>
        <w:tc>
          <w:tcPr>
            <w:tcW w:w="173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1D12A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cs="Times New Roman"/>
                <w:sz w:val="21"/>
                <w:szCs w:val="21"/>
              </w:rPr>
            </w:pPr>
          </w:p>
        </w:tc>
        <w:tc>
          <w:tcPr>
            <w:tcW w:w="3319" w:type="dxa"/>
            <w:gridSpan w:val="2"/>
            <w:tcBorders>
              <w:top w:val="single" w:color="000000" w:sz="4" w:space="0"/>
              <w:left w:val="single" w:color="000000" w:sz="4" w:space="0"/>
              <w:bottom w:val="single" w:color="000000" w:sz="4" w:space="0"/>
              <w:right w:val="single" w:color="000000" w:sz="4" w:space="0"/>
            </w:tcBorders>
            <w:noWrap w:val="0"/>
            <w:vAlign w:val="center"/>
          </w:tcPr>
          <w:p w14:paraId="08E9EF28">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其他资金</w:t>
            </w:r>
          </w:p>
        </w:tc>
        <w:tc>
          <w:tcPr>
            <w:tcW w:w="5178" w:type="dxa"/>
            <w:gridSpan w:val="5"/>
            <w:tcBorders>
              <w:top w:val="single" w:color="000000" w:sz="4" w:space="0"/>
              <w:left w:val="single" w:color="000000" w:sz="4" w:space="0"/>
              <w:bottom w:val="single" w:color="000000" w:sz="4" w:space="0"/>
              <w:right w:val="single" w:color="000000" w:sz="4" w:space="0"/>
            </w:tcBorders>
            <w:noWrap w:val="0"/>
            <w:vAlign w:val="center"/>
          </w:tcPr>
          <w:p w14:paraId="6B11B686">
            <w:pPr>
              <w:rPr>
                <w:rFonts w:hint="default" w:ascii="Times New Roman" w:hAnsi="Times New Roman" w:eastAsia="方正仿宋_GBK" w:cs="Times New Roman"/>
                <w:sz w:val="21"/>
                <w:szCs w:val="21"/>
                <w:lang w:val="en-US" w:eastAsia="zh-CN" w:bidi="ar-SA"/>
              </w:rPr>
            </w:pPr>
          </w:p>
        </w:tc>
      </w:tr>
      <w:tr w14:paraId="74CB50FD">
        <w:tblPrEx>
          <w:tblCellMar>
            <w:top w:w="15" w:type="dxa"/>
            <w:left w:w="15" w:type="dxa"/>
            <w:bottom w:w="15" w:type="dxa"/>
            <w:right w:w="15" w:type="dxa"/>
          </w:tblCellMar>
        </w:tblPrEx>
        <w:trPr>
          <w:trHeight w:val="590"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996C76C">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总体 目标</w:t>
            </w:r>
          </w:p>
        </w:tc>
        <w:tc>
          <w:tcPr>
            <w:tcW w:w="9577" w:type="dxa"/>
            <w:gridSpan w:val="8"/>
            <w:tcBorders>
              <w:top w:val="single" w:color="000000" w:sz="4" w:space="0"/>
              <w:left w:val="single" w:color="000000" w:sz="4" w:space="0"/>
              <w:bottom w:val="single" w:color="000000" w:sz="4" w:space="0"/>
              <w:right w:val="single" w:color="000000" w:sz="4" w:space="0"/>
            </w:tcBorders>
            <w:noWrap w:val="0"/>
            <w:vAlign w:val="center"/>
          </w:tcPr>
          <w:p w14:paraId="4C9D40E1">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年度目标</w:t>
            </w:r>
          </w:p>
        </w:tc>
      </w:tr>
      <w:tr w14:paraId="30E1568F">
        <w:tblPrEx>
          <w:tblCellMar>
            <w:top w:w="15" w:type="dxa"/>
            <w:left w:w="15" w:type="dxa"/>
            <w:bottom w:w="15" w:type="dxa"/>
            <w:right w:w="15" w:type="dxa"/>
          </w:tblCellMar>
        </w:tblPrEx>
        <w:trPr>
          <w:trHeight w:val="83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098737">
            <w:pPr>
              <w:keepNext w:val="0"/>
              <w:keepLines w:val="0"/>
              <w:pageBreakBefore w:val="0"/>
              <w:kinsoku/>
              <w:wordWrap/>
              <w:overflowPunct/>
              <w:topLinePunct w:val="0"/>
              <w:autoSpaceDE/>
              <w:autoSpaceDN/>
              <w:bidi w:val="0"/>
              <w:adjustRightInd/>
              <w:snapToGrid/>
              <w:spacing w:line="260" w:lineRule="exact"/>
              <w:rPr>
                <w:rFonts w:hint="default" w:ascii="Times New Roman" w:hAnsi="Times New Roman" w:cs="Times New Roman"/>
                <w:sz w:val="21"/>
                <w:szCs w:val="21"/>
              </w:rPr>
            </w:pPr>
          </w:p>
        </w:tc>
        <w:tc>
          <w:tcPr>
            <w:tcW w:w="9577" w:type="dxa"/>
            <w:gridSpan w:val="8"/>
            <w:tcBorders>
              <w:top w:val="single" w:color="000000" w:sz="4" w:space="0"/>
              <w:left w:val="single" w:color="000000" w:sz="4" w:space="0"/>
              <w:bottom w:val="single" w:color="000000" w:sz="4" w:space="0"/>
              <w:right w:val="single" w:color="000000" w:sz="4" w:space="0"/>
            </w:tcBorders>
            <w:noWrap w:val="0"/>
            <w:vAlign w:val="center"/>
          </w:tcPr>
          <w:p w14:paraId="17806FCC">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解决残疾人特殊生活困难和长期照护困难，保障残疾人生存发展权益</w:t>
            </w:r>
          </w:p>
        </w:tc>
      </w:tr>
      <w:tr w14:paraId="2674FA3A">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nil"/>
            </w:tcBorders>
            <w:noWrap w:val="0"/>
            <w:vAlign w:val="center"/>
          </w:tcPr>
          <w:p w14:paraId="4A9EA13C">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绩效 指标</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6A9433B">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一级指标</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5B2C637A">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二级指标</w:t>
            </w:r>
          </w:p>
        </w:tc>
        <w:tc>
          <w:tcPr>
            <w:tcW w:w="2035" w:type="dxa"/>
            <w:tcBorders>
              <w:top w:val="single" w:color="000000" w:sz="4" w:space="0"/>
              <w:left w:val="single" w:color="000000" w:sz="4" w:space="0"/>
              <w:bottom w:val="single" w:color="000000" w:sz="4" w:space="0"/>
              <w:right w:val="single" w:color="000000" w:sz="4" w:space="0"/>
            </w:tcBorders>
            <w:noWrap w:val="0"/>
            <w:vAlign w:val="center"/>
          </w:tcPr>
          <w:p w14:paraId="61C660D1">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三级指标</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6031EC64">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指标性质</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E363C1D">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指标值</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1DBE4FF6">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度量单位</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49927E55">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权重</w:t>
            </w:r>
          </w:p>
        </w:tc>
        <w:tc>
          <w:tcPr>
            <w:tcW w:w="1844" w:type="dxa"/>
            <w:tcBorders>
              <w:top w:val="single" w:color="000000" w:sz="4" w:space="0"/>
              <w:left w:val="single" w:color="000000" w:sz="4" w:space="0"/>
              <w:bottom w:val="single" w:color="000000" w:sz="4" w:space="0"/>
              <w:right w:val="single" w:color="000000" w:sz="4" w:space="0"/>
            </w:tcBorders>
            <w:noWrap w:val="0"/>
            <w:vAlign w:val="center"/>
          </w:tcPr>
          <w:p w14:paraId="7631ECB1">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实际完成指标值</w:t>
            </w:r>
          </w:p>
        </w:tc>
      </w:tr>
      <w:tr w14:paraId="7475472C">
        <w:tblPrEx>
          <w:tblCellMar>
            <w:top w:w="15" w:type="dxa"/>
            <w:left w:w="15" w:type="dxa"/>
            <w:bottom w:w="15" w:type="dxa"/>
            <w:right w:w="15" w:type="dxa"/>
          </w:tblCellMar>
        </w:tblPrEx>
        <w:trPr>
          <w:trHeight w:val="845"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3DF8F350">
            <w:pPr>
              <w:keepNext w:val="0"/>
              <w:keepLines w:val="0"/>
              <w:pageBreakBefore w:val="0"/>
              <w:kinsoku/>
              <w:wordWrap/>
              <w:overflowPunct/>
              <w:topLinePunct w:val="0"/>
              <w:autoSpaceDE/>
              <w:autoSpaceDN/>
              <w:bidi w:val="0"/>
              <w:adjustRightInd/>
              <w:snapToGrid/>
              <w:spacing w:line="260" w:lineRule="exact"/>
              <w:rPr>
                <w:rFonts w:hint="default" w:ascii="Times New Roman" w:hAnsi="Times New Roman" w:cs="Times New Roman"/>
                <w:sz w:val="21"/>
                <w:szCs w:val="21"/>
              </w:rPr>
            </w:pP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03B0089B">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产出指标</w:t>
            </w:r>
          </w:p>
        </w:tc>
        <w:tc>
          <w:tcPr>
            <w:tcW w:w="1284" w:type="dxa"/>
            <w:vMerge w:val="restart"/>
            <w:tcBorders>
              <w:top w:val="single" w:color="000000" w:sz="4" w:space="0"/>
              <w:left w:val="single" w:color="000000" w:sz="4" w:space="0"/>
              <w:bottom w:val="single" w:color="000000" w:sz="4" w:space="0"/>
              <w:right w:val="single" w:color="000000" w:sz="4" w:space="0"/>
            </w:tcBorders>
            <w:noWrap w:val="0"/>
            <w:vAlign w:val="center"/>
          </w:tcPr>
          <w:p w14:paraId="0AF659E0">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数量指标</w:t>
            </w:r>
          </w:p>
        </w:tc>
        <w:tc>
          <w:tcPr>
            <w:tcW w:w="2035" w:type="dxa"/>
            <w:tcBorders>
              <w:top w:val="single" w:color="000000" w:sz="4" w:space="0"/>
              <w:left w:val="single" w:color="000000" w:sz="4" w:space="0"/>
              <w:bottom w:val="single" w:color="000000" w:sz="4" w:space="0"/>
              <w:right w:val="single" w:color="000000" w:sz="4" w:space="0"/>
            </w:tcBorders>
            <w:noWrap w:val="0"/>
            <w:vAlign w:val="center"/>
          </w:tcPr>
          <w:p w14:paraId="41A463D5">
            <w:pPr>
              <w:keepNext w:val="0"/>
              <w:keepLines w:val="0"/>
              <w:pageBreakBefore w:val="0"/>
              <w:widowControl w:val="0"/>
              <w:kinsoku/>
              <w:wordWrap/>
              <w:overflowPunct/>
              <w:topLinePunct w:val="0"/>
              <w:autoSpaceDE/>
              <w:autoSpaceDN/>
              <w:bidi w:val="0"/>
              <w:adjustRightInd/>
              <w:snapToGrid/>
              <w:spacing w:line="260" w:lineRule="exact"/>
              <w:ind w:left="0"/>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sz w:val="21"/>
                <w:szCs w:val="21"/>
                <w:u w:val="none"/>
                <w:lang w:bidi="ar-SA"/>
              </w:rPr>
              <w:t>享受困难残疾人生活补贴人数</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32E3495B">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定量</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0FD05EB">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≥0.5</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693BDE9E">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万人</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4FAA36C6">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10%</w:t>
            </w:r>
          </w:p>
        </w:tc>
        <w:tc>
          <w:tcPr>
            <w:tcW w:w="1844" w:type="dxa"/>
            <w:tcBorders>
              <w:top w:val="single" w:color="000000" w:sz="4" w:space="0"/>
              <w:left w:val="single" w:color="000000" w:sz="4" w:space="0"/>
              <w:bottom w:val="single" w:color="000000" w:sz="4" w:space="0"/>
              <w:right w:val="single" w:color="000000" w:sz="4" w:space="0"/>
            </w:tcBorders>
            <w:noWrap w:val="0"/>
            <w:vAlign w:val="center"/>
          </w:tcPr>
          <w:p w14:paraId="596A2623">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0.5429万人</w:t>
            </w:r>
          </w:p>
        </w:tc>
      </w:tr>
      <w:tr w14:paraId="4C735EC4">
        <w:tblPrEx>
          <w:tblCellMar>
            <w:top w:w="15" w:type="dxa"/>
            <w:left w:w="15" w:type="dxa"/>
            <w:bottom w:w="15" w:type="dxa"/>
            <w:right w:w="15" w:type="dxa"/>
          </w:tblCellMar>
        </w:tblPrEx>
        <w:trPr>
          <w:trHeight w:val="945"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69DA0510">
            <w:pPr>
              <w:keepNext w:val="0"/>
              <w:keepLines w:val="0"/>
              <w:pageBreakBefore w:val="0"/>
              <w:kinsoku/>
              <w:wordWrap/>
              <w:overflowPunct/>
              <w:topLinePunct w:val="0"/>
              <w:autoSpaceDE/>
              <w:autoSpaceDN/>
              <w:bidi w:val="0"/>
              <w:adjustRightInd/>
              <w:snapToGrid/>
              <w:spacing w:line="260" w:lineRule="exact"/>
              <w:rPr>
                <w:rFonts w:hint="default" w:ascii="Times New Roman" w:hAnsi="Times New Roman" w:cs="Times New Roman"/>
                <w:sz w:val="21"/>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E90BF0">
            <w:pPr>
              <w:keepNext w:val="0"/>
              <w:keepLines w:val="0"/>
              <w:pageBreakBefore w:val="0"/>
              <w:kinsoku/>
              <w:wordWrap/>
              <w:overflowPunct/>
              <w:topLinePunct w:val="0"/>
              <w:autoSpaceDE/>
              <w:autoSpaceDN/>
              <w:bidi w:val="0"/>
              <w:adjustRightInd/>
              <w:snapToGrid/>
              <w:spacing w:line="260" w:lineRule="exact"/>
              <w:rPr>
                <w:rFonts w:hint="default" w:ascii="Times New Roman" w:hAnsi="Times New Roman" w:cs="Times New Roman"/>
                <w:sz w:val="21"/>
                <w:szCs w:val="21"/>
              </w:rPr>
            </w:pPr>
          </w:p>
        </w:tc>
        <w:tc>
          <w:tcPr>
            <w:tcW w:w="1284" w:type="dxa"/>
            <w:vMerge w:val="continue"/>
            <w:tcBorders>
              <w:top w:val="single" w:color="000000" w:sz="4" w:space="0"/>
              <w:left w:val="single" w:color="000000" w:sz="4" w:space="0"/>
              <w:bottom w:val="single" w:color="auto" w:sz="4" w:space="0"/>
              <w:right w:val="single" w:color="000000" w:sz="4" w:space="0"/>
            </w:tcBorders>
            <w:noWrap w:val="0"/>
            <w:vAlign w:val="center"/>
          </w:tcPr>
          <w:p w14:paraId="4EC38B8B">
            <w:pPr>
              <w:keepNext w:val="0"/>
              <w:keepLines w:val="0"/>
              <w:pageBreakBefore w:val="0"/>
              <w:kinsoku/>
              <w:wordWrap/>
              <w:overflowPunct/>
              <w:topLinePunct w:val="0"/>
              <w:autoSpaceDE/>
              <w:autoSpaceDN/>
              <w:bidi w:val="0"/>
              <w:adjustRightInd/>
              <w:snapToGrid/>
              <w:spacing w:line="260" w:lineRule="exact"/>
              <w:rPr>
                <w:rFonts w:hint="default" w:ascii="Times New Roman" w:hAnsi="Times New Roman" w:cs="Times New Roman"/>
                <w:sz w:val="21"/>
                <w:szCs w:val="21"/>
              </w:rPr>
            </w:pPr>
          </w:p>
        </w:tc>
        <w:tc>
          <w:tcPr>
            <w:tcW w:w="2035" w:type="dxa"/>
            <w:tcBorders>
              <w:top w:val="single" w:color="000000" w:sz="4" w:space="0"/>
              <w:left w:val="single" w:color="000000" w:sz="4" w:space="0"/>
              <w:bottom w:val="single" w:color="auto" w:sz="4" w:space="0"/>
              <w:right w:val="single" w:color="000000" w:sz="4" w:space="0"/>
            </w:tcBorders>
            <w:noWrap w:val="0"/>
            <w:vAlign w:val="center"/>
          </w:tcPr>
          <w:p w14:paraId="1EEA84D0">
            <w:pPr>
              <w:keepNext w:val="0"/>
              <w:keepLines w:val="0"/>
              <w:pageBreakBefore w:val="0"/>
              <w:widowControl w:val="0"/>
              <w:kinsoku/>
              <w:wordWrap/>
              <w:overflowPunct/>
              <w:topLinePunct w:val="0"/>
              <w:autoSpaceDE/>
              <w:autoSpaceDN/>
              <w:bidi w:val="0"/>
              <w:adjustRightInd/>
              <w:snapToGrid/>
              <w:spacing w:line="260" w:lineRule="exact"/>
              <w:ind w:left="0"/>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sz w:val="21"/>
                <w:szCs w:val="21"/>
                <w:u w:val="none"/>
                <w:lang w:bidi="ar-SA"/>
              </w:rPr>
              <w:t>享受困难残疾人生活补贴人数</w:t>
            </w:r>
          </w:p>
        </w:tc>
        <w:tc>
          <w:tcPr>
            <w:tcW w:w="995" w:type="dxa"/>
            <w:tcBorders>
              <w:top w:val="single" w:color="000000" w:sz="4" w:space="0"/>
              <w:left w:val="single" w:color="000000" w:sz="4" w:space="0"/>
              <w:bottom w:val="single" w:color="auto" w:sz="4" w:space="0"/>
              <w:right w:val="single" w:color="000000" w:sz="4" w:space="0"/>
            </w:tcBorders>
            <w:noWrap w:val="0"/>
            <w:vAlign w:val="center"/>
          </w:tcPr>
          <w:p w14:paraId="47428E44">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定量</w:t>
            </w:r>
          </w:p>
        </w:tc>
        <w:tc>
          <w:tcPr>
            <w:tcW w:w="843" w:type="dxa"/>
            <w:tcBorders>
              <w:top w:val="single" w:color="000000" w:sz="4" w:space="0"/>
              <w:left w:val="single" w:color="000000" w:sz="4" w:space="0"/>
              <w:bottom w:val="single" w:color="auto" w:sz="4" w:space="0"/>
              <w:right w:val="single" w:color="000000" w:sz="4" w:space="0"/>
            </w:tcBorders>
            <w:noWrap w:val="0"/>
            <w:vAlign w:val="center"/>
          </w:tcPr>
          <w:p w14:paraId="646AEE29">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≥0.9</w:t>
            </w:r>
          </w:p>
        </w:tc>
        <w:tc>
          <w:tcPr>
            <w:tcW w:w="885" w:type="dxa"/>
            <w:tcBorders>
              <w:top w:val="single" w:color="000000" w:sz="4" w:space="0"/>
              <w:left w:val="single" w:color="000000" w:sz="4" w:space="0"/>
              <w:bottom w:val="single" w:color="auto" w:sz="4" w:space="0"/>
              <w:right w:val="single" w:color="000000" w:sz="4" w:space="0"/>
            </w:tcBorders>
            <w:noWrap w:val="0"/>
            <w:vAlign w:val="center"/>
          </w:tcPr>
          <w:p w14:paraId="18A52AF4">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万人</w:t>
            </w:r>
          </w:p>
        </w:tc>
        <w:tc>
          <w:tcPr>
            <w:tcW w:w="611" w:type="dxa"/>
            <w:tcBorders>
              <w:top w:val="single" w:color="000000" w:sz="4" w:space="0"/>
              <w:left w:val="single" w:color="000000" w:sz="4" w:space="0"/>
              <w:bottom w:val="single" w:color="auto" w:sz="4" w:space="0"/>
              <w:right w:val="single" w:color="000000" w:sz="4" w:space="0"/>
            </w:tcBorders>
            <w:noWrap w:val="0"/>
            <w:vAlign w:val="center"/>
          </w:tcPr>
          <w:p w14:paraId="1130F0D7">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10%</w:t>
            </w:r>
          </w:p>
        </w:tc>
        <w:tc>
          <w:tcPr>
            <w:tcW w:w="1844" w:type="dxa"/>
            <w:tcBorders>
              <w:top w:val="single" w:color="000000" w:sz="4" w:space="0"/>
              <w:left w:val="single" w:color="000000" w:sz="4" w:space="0"/>
              <w:bottom w:val="single" w:color="auto" w:sz="4" w:space="0"/>
              <w:right w:val="single" w:color="000000" w:sz="4" w:space="0"/>
            </w:tcBorders>
            <w:noWrap w:val="0"/>
            <w:vAlign w:val="center"/>
          </w:tcPr>
          <w:p w14:paraId="37D26BD4">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0.9458万人</w:t>
            </w:r>
          </w:p>
        </w:tc>
      </w:tr>
      <w:tr w14:paraId="5FB49B8D">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406C4BC3">
            <w:pPr>
              <w:keepNext w:val="0"/>
              <w:keepLines w:val="0"/>
              <w:pageBreakBefore w:val="0"/>
              <w:kinsoku/>
              <w:wordWrap/>
              <w:overflowPunct/>
              <w:topLinePunct w:val="0"/>
              <w:autoSpaceDE/>
              <w:autoSpaceDN/>
              <w:bidi w:val="0"/>
              <w:adjustRightInd/>
              <w:snapToGrid/>
              <w:spacing w:line="260" w:lineRule="exact"/>
              <w:rPr>
                <w:rFonts w:hint="default" w:ascii="Times New Roman" w:hAnsi="Times New Roman" w:cs="Times New Roman"/>
                <w:sz w:val="21"/>
                <w:szCs w:val="21"/>
              </w:rPr>
            </w:pPr>
          </w:p>
        </w:tc>
        <w:tc>
          <w:tcPr>
            <w:tcW w:w="1080" w:type="dxa"/>
            <w:vMerge w:val="continue"/>
            <w:tcBorders>
              <w:top w:val="single" w:color="000000" w:sz="4" w:space="0"/>
              <w:left w:val="single" w:color="000000" w:sz="4" w:space="0"/>
              <w:bottom w:val="single" w:color="000000" w:sz="4" w:space="0"/>
              <w:right w:val="single" w:color="auto" w:sz="4" w:space="0"/>
            </w:tcBorders>
            <w:noWrap w:val="0"/>
            <w:vAlign w:val="center"/>
          </w:tcPr>
          <w:p w14:paraId="2CF47F3B">
            <w:pPr>
              <w:keepNext w:val="0"/>
              <w:keepLines w:val="0"/>
              <w:pageBreakBefore w:val="0"/>
              <w:kinsoku/>
              <w:wordWrap/>
              <w:overflowPunct/>
              <w:topLinePunct w:val="0"/>
              <w:autoSpaceDE/>
              <w:autoSpaceDN/>
              <w:bidi w:val="0"/>
              <w:adjustRightInd/>
              <w:snapToGrid/>
              <w:spacing w:line="260" w:lineRule="exact"/>
              <w:rPr>
                <w:rFonts w:hint="default" w:ascii="Times New Roman" w:hAnsi="Times New Roman" w:cs="Times New Roman"/>
                <w:sz w:val="21"/>
                <w:szCs w:val="21"/>
              </w:rPr>
            </w:pPr>
          </w:p>
        </w:tc>
        <w:tc>
          <w:tcPr>
            <w:tcW w:w="1284" w:type="dxa"/>
            <w:vMerge w:val="restart"/>
            <w:tcBorders>
              <w:top w:val="single" w:color="auto" w:sz="4" w:space="0"/>
              <w:left w:val="single" w:color="auto" w:sz="4" w:space="0"/>
              <w:bottom w:val="single" w:color="000000" w:sz="4" w:space="0"/>
              <w:right w:val="single" w:color="000000" w:sz="4" w:space="0"/>
            </w:tcBorders>
            <w:noWrap w:val="0"/>
            <w:vAlign w:val="center"/>
          </w:tcPr>
          <w:p w14:paraId="7BE1B8B0">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质量指标</w:t>
            </w:r>
          </w:p>
        </w:tc>
        <w:tc>
          <w:tcPr>
            <w:tcW w:w="2035" w:type="dxa"/>
            <w:tcBorders>
              <w:top w:val="single" w:color="auto" w:sz="4" w:space="0"/>
              <w:left w:val="single" w:color="000000" w:sz="4" w:space="0"/>
              <w:bottom w:val="single" w:color="000000" w:sz="4" w:space="0"/>
              <w:right w:val="single" w:color="000000" w:sz="4" w:space="0"/>
            </w:tcBorders>
            <w:noWrap w:val="0"/>
            <w:vAlign w:val="center"/>
          </w:tcPr>
          <w:p w14:paraId="1131A06A">
            <w:pPr>
              <w:keepNext w:val="0"/>
              <w:keepLines w:val="0"/>
              <w:pageBreakBefore w:val="0"/>
              <w:widowControl w:val="0"/>
              <w:kinsoku/>
              <w:wordWrap/>
              <w:overflowPunct/>
              <w:topLinePunct w:val="0"/>
              <w:autoSpaceDE/>
              <w:autoSpaceDN/>
              <w:bidi w:val="0"/>
              <w:adjustRightInd/>
              <w:snapToGrid/>
              <w:spacing w:line="260" w:lineRule="exact"/>
              <w:ind w:left="0"/>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sz w:val="21"/>
                <w:szCs w:val="21"/>
                <w:u w:val="none"/>
                <w:lang w:bidi="ar-SA"/>
              </w:rPr>
              <w:t>困难残疾人生活补贴标准</w:t>
            </w:r>
          </w:p>
        </w:tc>
        <w:tc>
          <w:tcPr>
            <w:tcW w:w="995" w:type="dxa"/>
            <w:tcBorders>
              <w:top w:val="single" w:color="auto" w:sz="4" w:space="0"/>
              <w:left w:val="single" w:color="000000" w:sz="4" w:space="0"/>
              <w:bottom w:val="single" w:color="000000" w:sz="4" w:space="0"/>
              <w:right w:val="single" w:color="000000" w:sz="4" w:space="0"/>
            </w:tcBorders>
            <w:noWrap w:val="0"/>
            <w:vAlign w:val="center"/>
          </w:tcPr>
          <w:p w14:paraId="52FF80C0">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定量</w:t>
            </w:r>
          </w:p>
        </w:tc>
        <w:tc>
          <w:tcPr>
            <w:tcW w:w="843" w:type="dxa"/>
            <w:tcBorders>
              <w:top w:val="single" w:color="auto" w:sz="4" w:space="0"/>
              <w:left w:val="single" w:color="000000" w:sz="4" w:space="0"/>
              <w:bottom w:val="single" w:color="000000" w:sz="4" w:space="0"/>
              <w:right w:val="single" w:color="000000" w:sz="4" w:space="0"/>
            </w:tcBorders>
            <w:noWrap w:val="0"/>
            <w:vAlign w:val="center"/>
          </w:tcPr>
          <w:p w14:paraId="4CDBDE4E">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≥100</w:t>
            </w:r>
          </w:p>
        </w:tc>
        <w:tc>
          <w:tcPr>
            <w:tcW w:w="885" w:type="dxa"/>
            <w:tcBorders>
              <w:top w:val="single" w:color="auto" w:sz="4" w:space="0"/>
              <w:left w:val="single" w:color="000000" w:sz="4" w:space="0"/>
              <w:bottom w:val="single" w:color="000000" w:sz="4" w:space="0"/>
              <w:right w:val="single" w:color="000000" w:sz="4" w:space="0"/>
            </w:tcBorders>
            <w:noWrap w:val="0"/>
            <w:vAlign w:val="center"/>
          </w:tcPr>
          <w:p w14:paraId="7DC9203F">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元/人.月</w:t>
            </w:r>
          </w:p>
        </w:tc>
        <w:tc>
          <w:tcPr>
            <w:tcW w:w="611" w:type="dxa"/>
            <w:tcBorders>
              <w:top w:val="single" w:color="auto" w:sz="4" w:space="0"/>
              <w:left w:val="single" w:color="000000" w:sz="4" w:space="0"/>
              <w:bottom w:val="single" w:color="000000" w:sz="4" w:space="0"/>
              <w:right w:val="single" w:color="000000" w:sz="4" w:space="0"/>
            </w:tcBorders>
            <w:noWrap w:val="0"/>
            <w:vAlign w:val="center"/>
          </w:tcPr>
          <w:p w14:paraId="506B3D64">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10%</w:t>
            </w:r>
          </w:p>
        </w:tc>
        <w:tc>
          <w:tcPr>
            <w:tcW w:w="1844" w:type="dxa"/>
            <w:tcBorders>
              <w:top w:val="single" w:color="auto" w:sz="4" w:space="0"/>
              <w:left w:val="single" w:color="000000" w:sz="4" w:space="0"/>
              <w:bottom w:val="single" w:color="000000" w:sz="4" w:space="0"/>
              <w:right w:val="single" w:color="auto" w:sz="4" w:space="0"/>
            </w:tcBorders>
            <w:noWrap w:val="0"/>
            <w:vAlign w:val="center"/>
          </w:tcPr>
          <w:p w14:paraId="4E3A8F92">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100元/人.月</w:t>
            </w:r>
          </w:p>
        </w:tc>
      </w:tr>
      <w:tr w14:paraId="5AB4CC3E">
        <w:tblPrEx>
          <w:tblCellMar>
            <w:top w:w="15" w:type="dxa"/>
            <w:left w:w="15" w:type="dxa"/>
            <w:bottom w:w="15" w:type="dxa"/>
            <w:right w:w="15" w:type="dxa"/>
          </w:tblCellMar>
        </w:tblPrEx>
        <w:trPr>
          <w:trHeight w:val="805"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7747A5BC">
            <w:pPr>
              <w:keepNext w:val="0"/>
              <w:keepLines w:val="0"/>
              <w:pageBreakBefore w:val="0"/>
              <w:kinsoku/>
              <w:wordWrap/>
              <w:overflowPunct/>
              <w:topLinePunct w:val="0"/>
              <w:autoSpaceDE/>
              <w:autoSpaceDN/>
              <w:bidi w:val="0"/>
              <w:adjustRightInd/>
              <w:snapToGrid/>
              <w:spacing w:line="260" w:lineRule="exact"/>
              <w:rPr>
                <w:rFonts w:hint="default" w:ascii="Times New Roman" w:hAnsi="Times New Roman" w:cs="Times New Roman"/>
                <w:sz w:val="21"/>
                <w:szCs w:val="21"/>
              </w:rPr>
            </w:pPr>
          </w:p>
        </w:tc>
        <w:tc>
          <w:tcPr>
            <w:tcW w:w="1080" w:type="dxa"/>
            <w:vMerge w:val="continue"/>
            <w:tcBorders>
              <w:top w:val="single" w:color="000000" w:sz="4" w:space="0"/>
              <w:left w:val="single" w:color="000000" w:sz="4" w:space="0"/>
              <w:bottom w:val="single" w:color="000000" w:sz="4" w:space="0"/>
              <w:right w:val="single" w:color="auto" w:sz="4" w:space="0"/>
            </w:tcBorders>
            <w:noWrap w:val="0"/>
            <w:vAlign w:val="center"/>
          </w:tcPr>
          <w:p w14:paraId="59407450">
            <w:pPr>
              <w:keepNext w:val="0"/>
              <w:keepLines w:val="0"/>
              <w:pageBreakBefore w:val="0"/>
              <w:kinsoku/>
              <w:wordWrap/>
              <w:overflowPunct/>
              <w:topLinePunct w:val="0"/>
              <w:autoSpaceDE/>
              <w:autoSpaceDN/>
              <w:bidi w:val="0"/>
              <w:adjustRightInd/>
              <w:snapToGrid/>
              <w:spacing w:line="260" w:lineRule="exact"/>
              <w:rPr>
                <w:rFonts w:hint="default" w:ascii="Times New Roman" w:hAnsi="Times New Roman" w:cs="Times New Roman"/>
                <w:sz w:val="21"/>
                <w:szCs w:val="21"/>
              </w:rPr>
            </w:pPr>
          </w:p>
        </w:tc>
        <w:tc>
          <w:tcPr>
            <w:tcW w:w="1284" w:type="dxa"/>
            <w:vMerge w:val="continue"/>
            <w:tcBorders>
              <w:top w:val="single" w:color="000000" w:sz="4" w:space="0"/>
              <w:left w:val="single" w:color="auto" w:sz="4" w:space="0"/>
              <w:bottom w:val="single" w:color="000000" w:sz="4" w:space="0"/>
              <w:right w:val="single" w:color="000000" w:sz="4" w:space="0"/>
            </w:tcBorders>
            <w:noWrap w:val="0"/>
            <w:vAlign w:val="center"/>
          </w:tcPr>
          <w:p w14:paraId="2ADE67AB">
            <w:pPr>
              <w:keepNext w:val="0"/>
              <w:keepLines w:val="0"/>
              <w:pageBreakBefore w:val="0"/>
              <w:kinsoku/>
              <w:wordWrap/>
              <w:overflowPunct/>
              <w:topLinePunct w:val="0"/>
              <w:autoSpaceDE/>
              <w:autoSpaceDN/>
              <w:bidi w:val="0"/>
              <w:adjustRightInd/>
              <w:snapToGrid/>
              <w:spacing w:line="260" w:lineRule="exact"/>
              <w:rPr>
                <w:rFonts w:hint="default" w:ascii="Times New Roman" w:hAnsi="Times New Roman" w:cs="Times New Roman"/>
                <w:sz w:val="21"/>
                <w:szCs w:val="21"/>
              </w:rPr>
            </w:pPr>
          </w:p>
        </w:tc>
        <w:tc>
          <w:tcPr>
            <w:tcW w:w="2035" w:type="dxa"/>
            <w:tcBorders>
              <w:top w:val="single" w:color="000000" w:sz="4" w:space="0"/>
              <w:left w:val="single" w:color="000000" w:sz="4" w:space="0"/>
              <w:bottom w:val="single" w:color="000000" w:sz="4" w:space="0"/>
              <w:right w:val="single" w:color="000000" w:sz="4" w:space="0"/>
            </w:tcBorders>
            <w:noWrap w:val="0"/>
            <w:vAlign w:val="center"/>
          </w:tcPr>
          <w:p w14:paraId="70622E52">
            <w:pPr>
              <w:keepNext w:val="0"/>
              <w:keepLines w:val="0"/>
              <w:pageBreakBefore w:val="0"/>
              <w:widowControl w:val="0"/>
              <w:kinsoku/>
              <w:wordWrap/>
              <w:overflowPunct/>
              <w:topLinePunct w:val="0"/>
              <w:autoSpaceDE/>
              <w:autoSpaceDN/>
              <w:bidi w:val="0"/>
              <w:adjustRightInd/>
              <w:snapToGrid/>
              <w:spacing w:line="260" w:lineRule="exact"/>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sz w:val="21"/>
                <w:szCs w:val="21"/>
                <w:u w:val="none"/>
                <w:lang w:bidi="ar-SA"/>
              </w:rPr>
              <w:t>一级重度残疾人护理补贴标准</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29FC38A4">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定量</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1A2364D">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≥120</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01EAEB96">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元/人.月</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336A489D">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10%</w:t>
            </w:r>
          </w:p>
        </w:tc>
        <w:tc>
          <w:tcPr>
            <w:tcW w:w="1844" w:type="dxa"/>
            <w:tcBorders>
              <w:top w:val="single" w:color="000000" w:sz="4" w:space="0"/>
              <w:left w:val="single" w:color="000000" w:sz="4" w:space="0"/>
              <w:bottom w:val="single" w:color="000000" w:sz="4" w:space="0"/>
              <w:right w:val="single" w:color="auto" w:sz="4" w:space="0"/>
            </w:tcBorders>
            <w:noWrap w:val="0"/>
            <w:vAlign w:val="center"/>
          </w:tcPr>
          <w:p w14:paraId="2FE18088">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120元/人.月</w:t>
            </w:r>
          </w:p>
        </w:tc>
      </w:tr>
      <w:tr w14:paraId="3AF68CFB">
        <w:tblPrEx>
          <w:tblCellMar>
            <w:top w:w="15" w:type="dxa"/>
            <w:left w:w="15" w:type="dxa"/>
            <w:bottom w:w="15" w:type="dxa"/>
            <w:right w:w="15" w:type="dxa"/>
          </w:tblCellMar>
        </w:tblPrEx>
        <w:trPr>
          <w:trHeight w:val="805"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00883D4E">
            <w:pPr>
              <w:keepNext w:val="0"/>
              <w:keepLines w:val="0"/>
              <w:pageBreakBefore w:val="0"/>
              <w:kinsoku/>
              <w:wordWrap/>
              <w:overflowPunct/>
              <w:topLinePunct w:val="0"/>
              <w:autoSpaceDE/>
              <w:autoSpaceDN/>
              <w:bidi w:val="0"/>
              <w:adjustRightInd/>
              <w:snapToGrid/>
              <w:spacing w:line="260" w:lineRule="exact"/>
              <w:rPr>
                <w:rFonts w:hint="default" w:ascii="Times New Roman" w:hAnsi="Times New Roman" w:cs="Times New Roman"/>
                <w:sz w:val="21"/>
                <w:szCs w:val="21"/>
              </w:rPr>
            </w:pPr>
          </w:p>
        </w:tc>
        <w:tc>
          <w:tcPr>
            <w:tcW w:w="1080" w:type="dxa"/>
            <w:vMerge w:val="continue"/>
            <w:tcBorders>
              <w:top w:val="single" w:color="000000" w:sz="4" w:space="0"/>
              <w:left w:val="single" w:color="000000" w:sz="4" w:space="0"/>
              <w:bottom w:val="single" w:color="000000" w:sz="4" w:space="0"/>
              <w:right w:val="single" w:color="auto" w:sz="4" w:space="0"/>
            </w:tcBorders>
            <w:noWrap w:val="0"/>
            <w:vAlign w:val="center"/>
          </w:tcPr>
          <w:p w14:paraId="6888B93B">
            <w:pPr>
              <w:keepNext w:val="0"/>
              <w:keepLines w:val="0"/>
              <w:pageBreakBefore w:val="0"/>
              <w:kinsoku/>
              <w:wordWrap/>
              <w:overflowPunct/>
              <w:topLinePunct w:val="0"/>
              <w:autoSpaceDE/>
              <w:autoSpaceDN/>
              <w:bidi w:val="0"/>
              <w:adjustRightInd/>
              <w:snapToGrid/>
              <w:spacing w:line="260" w:lineRule="exact"/>
              <w:rPr>
                <w:rFonts w:hint="default" w:ascii="Times New Roman" w:hAnsi="Times New Roman" w:cs="Times New Roman"/>
                <w:sz w:val="21"/>
                <w:szCs w:val="21"/>
              </w:rPr>
            </w:pPr>
          </w:p>
        </w:tc>
        <w:tc>
          <w:tcPr>
            <w:tcW w:w="1284" w:type="dxa"/>
            <w:vMerge w:val="continue"/>
            <w:tcBorders>
              <w:top w:val="single" w:color="000000" w:sz="4" w:space="0"/>
              <w:left w:val="single" w:color="auto" w:sz="4" w:space="0"/>
              <w:bottom w:val="single" w:color="000000" w:sz="4" w:space="0"/>
              <w:right w:val="single" w:color="000000" w:sz="4" w:space="0"/>
            </w:tcBorders>
            <w:noWrap w:val="0"/>
            <w:vAlign w:val="center"/>
          </w:tcPr>
          <w:p w14:paraId="6CC1CC46">
            <w:pPr>
              <w:keepNext w:val="0"/>
              <w:keepLines w:val="0"/>
              <w:pageBreakBefore w:val="0"/>
              <w:kinsoku/>
              <w:wordWrap/>
              <w:overflowPunct/>
              <w:topLinePunct w:val="0"/>
              <w:autoSpaceDE/>
              <w:autoSpaceDN/>
              <w:bidi w:val="0"/>
              <w:adjustRightInd/>
              <w:snapToGrid/>
              <w:spacing w:line="260" w:lineRule="exact"/>
              <w:rPr>
                <w:rFonts w:hint="default" w:ascii="Times New Roman" w:hAnsi="Times New Roman" w:cs="Times New Roman"/>
                <w:sz w:val="21"/>
                <w:szCs w:val="21"/>
              </w:rPr>
            </w:pPr>
          </w:p>
        </w:tc>
        <w:tc>
          <w:tcPr>
            <w:tcW w:w="2035" w:type="dxa"/>
            <w:tcBorders>
              <w:top w:val="single" w:color="000000" w:sz="4" w:space="0"/>
              <w:left w:val="single" w:color="000000" w:sz="4" w:space="0"/>
              <w:bottom w:val="single" w:color="000000" w:sz="4" w:space="0"/>
              <w:right w:val="single" w:color="000000" w:sz="4" w:space="0"/>
            </w:tcBorders>
            <w:noWrap w:val="0"/>
            <w:vAlign w:val="center"/>
          </w:tcPr>
          <w:p w14:paraId="573600C2">
            <w:pPr>
              <w:keepNext w:val="0"/>
              <w:keepLines w:val="0"/>
              <w:pageBreakBefore w:val="0"/>
              <w:widowControl w:val="0"/>
              <w:kinsoku/>
              <w:wordWrap/>
              <w:overflowPunct/>
              <w:topLinePunct w:val="0"/>
              <w:autoSpaceDE/>
              <w:autoSpaceDN/>
              <w:bidi w:val="0"/>
              <w:adjustRightInd/>
              <w:snapToGrid/>
              <w:spacing w:line="260" w:lineRule="exact"/>
              <w:ind w:left="0"/>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sz w:val="21"/>
                <w:szCs w:val="21"/>
                <w:u w:val="none"/>
                <w:lang w:bidi="ar-SA"/>
              </w:rPr>
              <w:t>二级重度残疾人护理补贴标准</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68AE462D">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定量</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30C73DC3">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≥90</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53262C4E">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元/人.月</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77E9B1E8">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10%</w:t>
            </w:r>
          </w:p>
        </w:tc>
        <w:tc>
          <w:tcPr>
            <w:tcW w:w="1844" w:type="dxa"/>
            <w:tcBorders>
              <w:top w:val="single" w:color="000000" w:sz="4" w:space="0"/>
              <w:left w:val="single" w:color="000000" w:sz="4" w:space="0"/>
              <w:bottom w:val="single" w:color="000000" w:sz="4" w:space="0"/>
              <w:right w:val="single" w:color="auto" w:sz="4" w:space="0"/>
            </w:tcBorders>
            <w:noWrap w:val="0"/>
            <w:vAlign w:val="center"/>
          </w:tcPr>
          <w:p w14:paraId="5BB00048">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90元/人.月</w:t>
            </w:r>
          </w:p>
        </w:tc>
      </w:tr>
      <w:tr w14:paraId="2A91266A">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4D2C65BE">
            <w:pPr>
              <w:keepNext w:val="0"/>
              <w:keepLines w:val="0"/>
              <w:pageBreakBefore w:val="0"/>
              <w:kinsoku/>
              <w:wordWrap/>
              <w:overflowPunct/>
              <w:topLinePunct w:val="0"/>
              <w:autoSpaceDE/>
              <w:autoSpaceDN/>
              <w:bidi w:val="0"/>
              <w:adjustRightInd/>
              <w:snapToGrid/>
              <w:spacing w:line="260" w:lineRule="exact"/>
              <w:rPr>
                <w:rFonts w:hint="default" w:ascii="Times New Roman" w:hAnsi="Times New Roman" w:cs="Times New Roman"/>
                <w:sz w:val="21"/>
                <w:szCs w:val="21"/>
              </w:rPr>
            </w:pPr>
          </w:p>
        </w:tc>
        <w:tc>
          <w:tcPr>
            <w:tcW w:w="1080" w:type="dxa"/>
            <w:vMerge w:val="continue"/>
            <w:tcBorders>
              <w:top w:val="single" w:color="000000" w:sz="4" w:space="0"/>
              <w:left w:val="single" w:color="000000" w:sz="4" w:space="0"/>
              <w:bottom w:val="single" w:color="000000" w:sz="4" w:space="0"/>
              <w:right w:val="single" w:color="auto" w:sz="4" w:space="0"/>
            </w:tcBorders>
            <w:noWrap w:val="0"/>
            <w:vAlign w:val="center"/>
          </w:tcPr>
          <w:p w14:paraId="0DDC90A5">
            <w:pPr>
              <w:keepNext w:val="0"/>
              <w:keepLines w:val="0"/>
              <w:pageBreakBefore w:val="0"/>
              <w:kinsoku/>
              <w:wordWrap/>
              <w:overflowPunct/>
              <w:topLinePunct w:val="0"/>
              <w:autoSpaceDE/>
              <w:autoSpaceDN/>
              <w:bidi w:val="0"/>
              <w:adjustRightInd/>
              <w:snapToGrid/>
              <w:spacing w:line="260" w:lineRule="exact"/>
              <w:rPr>
                <w:rFonts w:hint="default" w:ascii="Times New Roman" w:hAnsi="Times New Roman" w:cs="Times New Roman"/>
                <w:sz w:val="21"/>
                <w:szCs w:val="21"/>
              </w:rPr>
            </w:pPr>
          </w:p>
        </w:tc>
        <w:tc>
          <w:tcPr>
            <w:tcW w:w="1284" w:type="dxa"/>
            <w:tcBorders>
              <w:top w:val="single" w:color="000000" w:sz="4" w:space="0"/>
              <w:left w:val="single" w:color="auto" w:sz="4" w:space="0"/>
              <w:bottom w:val="single" w:color="000000" w:sz="4" w:space="0"/>
              <w:right w:val="single" w:color="000000" w:sz="4" w:space="0"/>
            </w:tcBorders>
            <w:noWrap w:val="0"/>
            <w:vAlign w:val="center"/>
          </w:tcPr>
          <w:p w14:paraId="0422552E">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时效指标</w:t>
            </w:r>
          </w:p>
        </w:tc>
        <w:tc>
          <w:tcPr>
            <w:tcW w:w="2035" w:type="dxa"/>
            <w:tcBorders>
              <w:top w:val="single" w:color="000000" w:sz="4" w:space="0"/>
              <w:left w:val="single" w:color="000000" w:sz="4" w:space="0"/>
              <w:bottom w:val="single" w:color="000000" w:sz="4" w:space="0"/>
              <w:right w:val="single" w:color="000000" w:sz="4" w:space="0"/>
            </w:tcBorders>
            <w:noWrap w:val="0"/>
            <w:vAlign w:val="center"/>
          </w:tcPr>
          <w:p w14:paraId="4B02A947">
            <w:pPr>
              <w:keepNext w:val="0"/>
              <w:keepLines w:val="0"/>
              <w:pageBreakBefore w:val="0"/>
              <w:widowControl w:val="0"/>
              <w:kinsoku/>
              <w:wordWrap/>
              <w:overflowPunct/>
              <w:topLinePunct w:val="0"/>
              <w:autoSpaceDE/>
              <w:autoSpaceDN/>
              <w:bidi w:val="0"/>
              <w:adjustRightInd/>
              <w:snapToGrid/>
              <w:spacing w:line="260" w:lineRule="exact"/>
              <w:ind w:left="0"/>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sz w:val="21"/>
                <w:szCs w:val="21"/>
                <w:u w:val="none"/>
                <w:lang w:bidi="ar-SA"/>
              </w:rPr>
              <w:t>资金及时拨付率</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477B9667">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定量</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5481BF8">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≥90</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58BA461F">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5756FDE3">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20%</w:t>
            </w:r>
          </w:p>
        </w:tc>
        <w:tc>
          <w:tcPr>
            <w:tcW w:w="1844" w:type="dxa"/>
            <w:tcBorders>
              <w:top w:val="single" w:color="000000" w:sz="4" w:space="0"/>
              <w:left w:val="single" w:color="000000" w:sz="4" w:space="0"/>
              <w:bottom w:val="single" w:color="000000" w:sz="4" w:space="0"/>
              <w:right w:val="single" w:color="auto" w:sz="4" w:space="0"/>
            </w:tcBorders>
            <w:noWrap w:val="0"/>
            <w:vAlign w:val="center"/>
          </w:tcPr>
          <w:p w14:paraId="55958271">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90%</w:t>
            </w:r>
          </w:p>
        </w:tc>
      </w:tr>
      <w:tr w14:paraId="42B1BD12">
        <w:tblPrEx>
          <w:tblCellMar>
            <w:top w:w="15" w:type="dxa"/>
            <w:left w:w="15" w:type="dxa"/>
            <w:bottom w:w="15" w:type="dxa"/>
            <w:right w:w="15" w:type="dxa"/>
          </w:tblCellMar>
        </w:tblPrEx>
        <w:trPr>
          <w:trHeight w:val="850"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554D404C">
            <w:pPr>
              <w:keepNext w:val="0"/>
              <w:keepLines w:val="0"/>
              <w:pageBreakBefore w:val="0"/>
              <w:kinsoku/>
              <w:wordWrap/>
              <w:overflowPunct/>
              <w:topLinePunct w:val="0"/>
              <w:autoSpaceDE/>
              <w:autoSpaceDN/>
              <w:bidi w:val="0"/>
              <w:adjustRightInd/>
              <w:snapToGrid/>
              <w:spacing w:line="260" w:lineRule="exact"/>
              <w:rPr>
                <w:rFonts w:hint="default" w:ascii="Times New Roman" w:hAnsi="Times New Roman" w:cs="Times New Roman"/>
                <w:sz w:val="21"/>
                <w:szCs w:val="21"/>
              </w:rPr>
            </w:pPr>
          </w:p>
        </w:tc>
        <w:tc>
          <w:tcPr>
            <w:tcW w:w="1080" w:type="dxa"/>
            <w:vMerge w:val="restart"/>
            <w:tcBorders>
              <w:top w:val="single" w:color="000000" w:sz="4" w:space="0"/>
              <w:left w:val="single" w:color="000000" w:sz="4" w:space="0"/>
              <w:bottom w:val="single" w:color="000000" w:sz="4" w:space="0"/>
              <w:right w:val="single" w:color="auto" w:sz="4" w:space="0"/>
            </w:tcBorders>
            <w:noWrap w:val="0"/>
            <w:vAlign w:val="center"/>
          </w:tcPr>
          <w:p w14:paraId="47DFC24D">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效益指标</w:t>
            </w:r>
          </w:p>
        </w:tc>
        <w:tc>
          <w:tcPr>
            <w:tcW w:w="1284" w:type="dxa"/>
            <w:tcBorders>
              <w:top w:val="single" w:color="000000" w:sz="4" w:space="0"/>
              <w:left w:val="single" w:color="auto" w:sz="4" w:space="0"/>
              <w:bottom w:val="single" w:color="000000" w:sz="4" w:space="0"/>
              <w:right w:val="single" w:color="000000" w:sz="4" w:space="0"/>
            </w:tcBorders>
            <w:noWrap w:val="0"/>
            <w:vAlign w:val="center"/>
          </w:tcPr>
          <w:p w14:paraId="7F61829A">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kern w:val="0"/>
                <w:sz w:val="21"/>
                <w:szCs w:val="21"/>
                <w:u w:val="none"/>
                <w:lang w:val="en-US" w:eastAsia="zh-CN" w:bidi="ar"/>
              </w:rPr>
            </w:pPr>
            <w:r>
              <w:rPr>
                <w:rFonts w:hint="default" w:ascii="Times New Roman" w:hAnsi="Times New Roman" w:eastAsia="方正仿宋_GBK" w:cs="Times New Roman"/>
                <w:color w:val="000000"/>
                <w:kern w:val="0"/>
                <w:sz w:val="21"/>
                <w:szCs w:val="21"/>
                <w:u w:val="none"/>
                <w:lang w:val="en-US" w:eastAsia="zh-CN" w:bidi="ar"/>
              </w:rPr>
              <w:t>社会效益</w:t>
            </w:r>
          </w:p>
          <w:p w14:paraId="5E80EBE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cs="Times New Roman"/>
                <w:sz w:val="21"/>
                <w:szCs w:val="21"/>
              </w:rPr>
            </w:pPr>
            <w:r>
              <w:rPr>
                <w:rFonts w:hint="default" w:ascii="Times New Roman" w:hAnsi="Times New Roman" w:eastAsia="方正仿宋_GBK" w:cs="Times New Roman"/>
                <w:color w:val="000000"/>
                <w:kern w:val="0"/>
                <w:sz w:val="21"/>
                <w:szCs w:val="21"/>
                <w:u w:val="none"/>
                <w:lang w:val="en-US" w:eastAsia="zh-CN" w:bidi="ar"/>
              </w:rPr>
              <w:t>指标</w:t>
            </w:r>
          </w:p>
        </w:tc>
        <w:tc>
          <w:tcPr>
            <w:tcW w:w="2035" w:type="dxa"/>
            <w:tcBorders>
              <w:top w:val="single" w:color="000000" w:sz="4" w:space="0"/>
              <w:left w:val="single" w:color="000000" w:sz="4" w:space="0"/>
              <w:bottom w:val="single" w:color="000000" w:sz="4" w:space="0"/>
              <w:right w:val="single" w:color="000000" w:sz="4" w:space="0"/>
            </w:tcBorders>
            <w:noWrap w:val="0"/>
            <w:vAlign w:val="center"/>
          </w:tcPr>
          <w:p w14:paraId="358C3FE1">
            <w:pPr>
              <w:keepNext w:val="0"/>
              <w:keepLines w:val="0"/>
              <w:pageBreakBefore w:val="0"/>
              <w:widowControl w:val="0"/>
              <w:kinsoku/>
              <w:wordWrap/>
              <w:overflowPunct/>
              <w:topLinePunct w:val="0"/>
              <w:autoSpaceDE/>
              <w:autoSpaceDN/>
              <w:bidi w:val="0"/>
              <w:adjustRightInd/>
              <w:snapToGrid/>
              <w:spacing w:line="260" w:lineRule="exact"/>
              <w:ind w:left="0"/>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sz w:val="21"/>
                <w:szCs w:val="21"/>
                <w:u w:val="none"/>
                <w:lang w:bidi="ar-SA"/>
              </w:rPr>
              <w:t>受助人员基本生活</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44A21BB3">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定性</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740C952A">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有效改善</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5C07E3A8">
            <w:pPr>
              <w:rPr>
                <w:rFonts w:hint="default" w:ascii="Times New Roman" w:hAnsi="Times New Roman" w:eastAsia="方正仿宋_GBK" w:cs="Times New Roman"/>
                <w:sz w:val="21"/>
                <w:szCs w:val="21"/>
                <w:lang w:val="en-US" w:eastAsia="zh-CN" w:bidi="ar-SA"/>
              </w:rPr>
            </w:pP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18573831">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5%</w:t>
            </w:r>
          </w:p>
        </w:tc>
        <w:tc>
          <w:tcPr>
            <w:tcW w:w="1844" w:type="dxa"/>
            <w:tcBorders>
              <w:top w:val="single" w:color="000000" w:sz="4" w:space="0"/>
              <w:left w:val="single" w:color="000000" w:sz="4" w:space="0"/>
              <w:bottom w:val="single" w:color="000000" w:sz="4" w:space="0"/>
              <w:right w:val="single" w:color="auto" w:sz="4" w:space="0"/>
            </w:tcBorders>
            <w:noWrap w:val="0"/>
            <w:vAlign w:val="center"/>
          </w:tcPr>
          <w:p w14:paraId="6F36DE34">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有效改善</w:t>
            </w:r>
          </w:p>
        </w:tc>
      </w:tr>
      <w:tr w14:paraId="34A4FC22">
        <w:tblPrEx>
          <w:tblCellMar>
            <w:top w:w="15" w:type="dxa"/>
            <w:left w:w="15" w:type="dxa"/>
            <w:bottom w:w="15" w:type="dxa"/>
            <w:right w:w="15" w:type="dxa"/>
          </w:tblCellMar>
        </w:tblPrEx>
        <w:trPr>
          <w:trHeight w:val="580"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21885F3D">
            <w:pPr>
              <w:keepNext w:val="0"/>
              <w:keepLines w:val="0"/>
              <w:pageBreakBefore w:val="0"/>
              <w:kinsoku/>
              <w:wordWrap/>
              <w:overflowPunct/>
              <w:topLinePunct w:val="0"/>
              <w:autoSpaceDE/>
              <w:autoSpaceDN/>
              <w:bidi w:val="0"/>
              <w:adjustRightInd/>
              <w:snapToGrid/>
              <w:spacing w:line="260" w:lineRule="exact"/>
              <w:rPr>
                <w:rFonts w:hint="default" w:ascii="Times New Roman" w:hAnsi="Times New Roman" w:cs="Times New Roman"/>
                <w:sz w:val="21"/>
                <w:szCs w:val="21"/>
              </w:rPr>
            </w:pPr>
          </w:p>
        </w:tc>
        <w:tc>
          <w:tcPr>
            <w:tcW w:w="1080" w:type="dxa"/>
            <w:vMerge w:val="continue"/>
            <w:tcBorders>
              <w:top w:val="single" w:color="000000" w:sz="4" w:space="0"/>
              <w:left w:val="single" w:color="000000" w:sz="4" w:space="0"/>
              <w:bottom w:val="single" w:color="auto" w:sz="4" w:space="0"/>
              <w:right w:val="single" w:color="auto" w:sz="4" w:space="0"/>
            </w:tcBorders>
            <w:noWrap w:val="0"/>
            <w:vAlign w:val="center"/>
          </w:tcPr>
          <w:p w14:paraId="6177F324">
            <w:pPr>
              <w:keepNext w:val="0"/>
              <w:keepLines w:val="0"/>
              <w:pageBreakBefore w:val="0"/>
              <w:kinsoku/>
              <w:wordWrap/>
              <w:overflowPunct/>
              <w:topLinePunct w:val="0"/>
              <w:autoSpaceDE/>
              <w:autoSpaceDN/>
              <w:bidi w:val="0"/>
              <w:adjustRightInd/>
              <w:snapToGrid/>
              <w:spacing w:line="260" w:lineRule="exact"/>
              <w:rPr>
                <w:rFonts w:hint="default" w:ascii="Times New Roman" w:hAnsi="Times New Roman" w:cs="Times New Roman"/>
                <w:sz w:val="21"/>
                <w:szCs w:val="21"/>
              </w:rPr>
            </w:pPr>
          </w:p>
        </w:tc>
        <w:tc>
          <w:tcPr>
            <w:tcW w:w="1284" w:type="dxa"/>
            <w:tcBorders>
              <w:top w:val="single" w:color="000000" w:sz="4" w:space="0"/>
              <w:left w:val="single" w:color="auto" w:sz="4" w:space="0"/>
              <w:bottom w:val="single" w:color="auto" w:sz="4" w:space="0"/>
              <w:right w:val="single" w:color="000000" w:sz="4" w:space="0"/>
            </w:tcBorders>
            <w:noWrap w:val="0"/>
            <w:vAlign w:val="center"/>
          </w:tcPr>
          <w:p w14:paraId="71F17CF6">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sz w:val="21"/>
                <w:szCs w:val="21"/>
                <w:u w:val="none"/>
                <w:lang w:bidi="ar-SA"/>
              </w:rPr>
              <w:t>可持续影响指标</w:t>
            </w:r>
          </w:p>
        </w:tc>
        <w:tc>
          <w:tcPr>
            <w:tcW w:w="2035" w:type="dxa"/>
            <w:tcBorders>
              <w:top w:val="single" w:color="000000" w:sz="4" w:space="0"/>
              <w:left w:val="single" w:color="000000" w:sz="4" w:space="0"/>
              <w:bottom w:val="single" w:color="auto" w:sz="4" w:space="0"/>
              <w:right w:val="single" w:color="000000" w:sz="4" w:space="0"/>
            </w:tcBorders>
            <w:noWrap w:val="0"/>
            <w:vAlign w:val="center"/>
          </w:tcPr>
          <w:p w14:paraId="63E4C3E4">
            <w:pPr>
              <w:keepNext w:val="0"/>
              <w:keepLines w:val="0"/>
              <w:pageBreakBefore w:val="0"/>
              <w:widowControl w:val="0"/>
              <w:kinsoku/>
              <w:wordWrap/>
              <w:overflowPunct/>
              <w:topLinePunct w:val="0"/>
              <w:autoSpaceDE/>
              <w:autoSpaceDN/>
              <w:bidi w:val="0"/>
              <w:adjustRightInd/>
              <w:snapToGrid/>
              <w:spacing w:line="260" w:lineRule="exact"/>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sz w:val="21"/>
                <w:szCs w:val="21"/>
                <w:u w:val="none"/>
                <w:lang w:bidi="ar-SA"/>
              </w:rPr>
              <w:t>符合条件的受助对象幸福感</w:t>
            </w:r>
          </w:p>
        </w:tc>
        <w:tc>
          <w:tcPr>
            <w:tcW w:w="995" w:type="dxa"/>
            <w:tcBorders>
              <w:top w:val="single" w:color="000000" w:sz="4" w:space="0"/>
              <w:left w:val="single" w:color="000000" w:sz="4" w:space="0"/>
              <w:bottom w:val="single" w:color="auto" w:sz="4" w:space="0"/>
              <w:right w:val="single" w:color="000000" w:sz="4" w:space="0"/>
            </w:tcBorders>
            <w:noWrap w:val="0"/>
            <w:vAlign w:val="center"/>
          </w:tcPr>
          <w:p w14:paraId="5699A114">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定性</w:t>
            </w:r>
          </w:p>
        </w:tc>
        <w:tc>
          <w:tcPr>
            <w:tcW w:w="843" w:type="dxa"/>
            <w:tcBorders>
              <w:top w:val="single" w:color="000000" w:sz="4" w:space="0"/>
              <w:left w:val="single" w:color="000000" w:sz="4" w:space="0"/>
              <w:bottom w:val="single" w:color="auto" w:sz="4" w:space="0"/>
              <w:right w:val="single" w:color="000000" w:sz="4" w:space="0"/>
            </w:tcBorders>
            <w:noWrap w:val="0"/>
            <w:vAlign w:val="center"/>
          </w:tcPr>
          <w:p w14:paraId="54DFFFF2">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显著增强</w:t>
            </w:r>
          </w:p>
        </w:tc>
        <w:tc>
          <w:tcPr>
            <w:tcW w:w="885" w:type="dxa"/>
            <w:tcBorders>
              <w:top w:val="single" w:color="000000" w:sz="4" w:space="0"/>
              <w:left w:val="single" w:color="000000" w:sz="4" w:space="0"/>
              <w:bottom w:val="single" w:color="auto" w:sz="4" w:space="0"/>
              <w:right w:val="single" w:color="000000" w:sz="4" w:space="0"/>
            </w:tcBorders>
            <w:noWrap w:val="0"/>
            <w:vAlign w:val="center"/>
          </w:tcPr>
          <w:p w14:paraId="14FC3DC9">
            <w:pPr>
              <w:rPr>
                <w:rFonts w:hint="default" w:ascii="Times New Roman" w:hAnsi="Times New Roman" w:eastAsia="方正仿宋_GBK" w:cs="Times New Roman"/>
                <w:sz w:val="21"/>
                <w:szCs w:val="21"/>
                <w:lang w:val="en-US" w:eastAsia="zh-CN" w:bidi="ar-SA"/>
              </w:rPr>
            </w:pPr>
          </w:p>
        </w:tc>
        <w:tc>
          <w:tcPr>
            <w:tcW w:w="611" w:type="dxa"/>
            <w:tcBorders>
              <w:top w:val="single" w:color="000000" w:sz="4" w:space="0"/>
              <w:left w:val="single" w:color="000000" w:sz="4" w:space="0"/>
              <w:bottom w:val="single" w:color="auto" w:sz="4" w:space="0"/>
              <w:right w:val="single" w:color="000000" w:sz="4" w:space="0"/>
            </w:tcBorders>
            <w:noWrap w:val="0"/>
            <w:vAlign w:val="center"/>
          </w:tcPr>
          <w:p w14:paraId="473F2CFF">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5%</w:t>
            </w:r>
          </w:p>
        </w:tc>
        <w:tc>
          <w:tcPr>
            <w:tcW w:w="1844" w:type="dxa"/>
            <w:tcBorders>
              <w:top w:val="single" w:color="000000" w:sz="4" w:space="0"/>
              <w:left w:val="single" w:color="000000" w:sz="4" w:space="0"/>
              <w:bottom w:val="single" w:color="auto" w:sz="4" w:space="0"/>
              <w:right w:val="single" w:color="auto" w:sz="4" w:space="0"/>
            </w:tcBorders>
            <w:noWrap w:val="0"/>
            <w:vAlign w:val="center"/>
          </w:tcPr>
          <w:p w14:paraId="1705D6A8">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显著增强</w:t>
            </w:r>
          </w:p>
        </w:tc>
      </w:tr>
      <w:tr w14:paraId="3DC9B4B6">
        <w:tblPrEx>
          <w:tblCellMar>
            <w:top w:w="15" w:type="dxa"/>
            <w:left w:w="15" w:type="dxa"/>
            <w:bottom w:w="15" w:type="dxa"/>
            <w:right w:w="15" w:type="dxa"/>
          </w:tblCellMar>
        </w:tblPrEx>
        <w:trPr>
          <w:trHeight w:val="890" w:hRule="atLeast"/>
          <w:jc w:val="center"/>
        </w:trPr>
        <w:tc>
          <w:tcPr>
            <w:tcW w:w="652" w:type="dxa"/>
            <w:vMerge w:val="continue"/>
            <w:tcBorders>
              <w:top w:val="single" w:color="000000" w:sz="4" w:space="0"/>
              <w:left w:val="single" w:color="000000" w:sz="4" w:space="0"/>
              <w:bottom w:val="single" w:color="000000" w:sz="4" w:space="0"/>
              <w:right w:val="single" w:color="auto" w:sz="4" w:space="0"/>
            </w:tcBorders>
            <w:noWrap w:val="0"/>
            <w:vAlign w:val="center"/>
          </w:tcPr>
          <w:p w14:paraId="6DEE0CBA">
            <w:pPr>
              <w:keepNext w:val="0"/>
              <w:keepLines w:val="0"/>
              <w:pageBreakBefore w:val="0"/>
              <w:kinsoku/>
              <w:wordWrap/>
              <w:overflowPunct/>
              <w:topLinePunct w:val="0"/>
              <w:autoSpaceDE/>
              <w:autoSpaceDN/>
              <w:bidi w:val="0"/>
              <w:adjustRightInd/>
              <w:snapToGrid/>
              <w:spacing w:line="260" w:lineRule="exact"/>
              <w:rPr>
                <w:rFonts w:hint="default" w:ascii="Times New Roman" w:hAnsi="Times New Roman" w:cs="Times New Roman"/>
                <w:sz w:val="21"/>
                <w:szCs w:val="21"/>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7640DEEE">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kern w:val="0"/>
                <w:sz w:val="21"/>
                <w:szCs w:val="21"/>
                <w:u w:val="none"/>
                <w:lang w:val="en-US" w:eastAsia="zh-CN" w:bidi="ar"/>
              </w:rPr>
            </w:pPr>
            <w:r>
              <w:rPr>
                <w:rFonts w:hint="default" w:ascii="Times New Roman" w:hAnsi="Times New Roman" w:eastAsia="方正仿宋_GBK" w:cs="Times New Roman"/>
                <w:color w:val="000000"/>
                <w:kern w:val="0"/>
                <w:sz w:val="21"/>
                <w:szCs w:val="21"/>
                <w:u w:val="none"/>
                <w:lang w:val="en-US" w:eastAsia="zh-CN" w:bidi="ar"/>
              </w:rPr>
              <w:t>满意度</w:t>
            </w:r>
          </w:p>
          <w:p w14:paraId="4BA665D8">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指标</w:t>
            </w:r>
          </w:p>
        </w:tc>
        <w:tc>
          <w:tcPr>
            <w:tcW w:w="1284" w:type="dxa"/>
            <w:vMerge w:val="restart"/>
            <w:tcBorders>
              <w:top w:val="single" w:color="auto" w:sz="4" w:space="0"/>
              <w:left w:val="single" w:color="auto" w:sz="4" w:space="0"/>
              <w:bottom w:val="single" w:color="auto" w:sz="4" w:space="0"/>
              <w:right w:val="single" w:color="auto" w:sz="4" w:space="0"/>
            </w:tcBorders>
            <w:noWrap w:val="0"/>
            <w:vAlign w:val="center"/>
          </w:tcPr>
          <w:p w14:paraId="17CDF491">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kern w:val="0"/>
                <w:sz w:val="21"/>
                <w:szCs w:val="21"/>
                <w:u w:val="none"/>
                <w:lang w:val="en-US" w:eastAsia="zh-CN" w:bidi="ar"/>
              </w:rPr>
            </w:pPr>
            <w:r>
              <w:rPr>
                <w:rFonts w:hint="default" w:ascii="Times New Roman" w:hAnsi="Times New Roman" w:eastAsia="方正仿宋_GBK" w:cs="Times New Roman"/>
                <w:color w:val="000000"/>
                <w:kern w:val="0"/>
                <w:sz w:val="21"/>
                <w:szCs w:val="21"/>
                <w:u w:val="none"/>
                <w:lang w:val="en-US" w:eastAsia="zh-CN" w:bidi="ar"/>
              </w:rPr>
              <w:t>服务对象</w:t>
            </w:r>
          </w:p>
          <w:p w14:paraId="512B6AC6">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kern w:val="0"/>
                <w:sz w:val="21"/>
                <w:szCs w:val="21"/>
                <w:u w:val="none"/>
                <w:lang w:val="en-US" w:eastAsia="zh-CN" w:bidi="ar"/>
              </w:rPr>
              <w:t>满意度指标</w:t>
            </w:r>
          </w:p>
        </w:tc>
        <w:tc>
          <w:tcPr>
            <w:tcW w:w="2035" w:type="dxa"/>
            <w:tcBorders>
              <w:top w:val="single" w:color="auto" w:sz="4" w:space="0"/>
              <w:left w:val="single" w:color="auto" w:sz="4" w:space="0"/>
              <w:bottom w:val="single" w:color="auto" w:sz="4" w:space="0"/>
              <w:right w:val="single" w:color="auto" w:sz="4" w:space="0"/>
            </w:tcBorders>
            <w:noWrap w:val="0"/>
            <w:vAlign w:val="center"/>
          </w:tcPr>
          <w:p w14:paraId="5216711D">
            <w:pPr>
              <w:keepNext w:val="0"/>
              <w:keepLines w:val="0"/>
              <w:pageBreakBefore w:val="0"/>
              <w:widowControl w:val="0"/>
              <w:kinsoku/>
              <w:wordWrap/>
              <w:overflowPunct/>
              <w:topLinePunct w:val="0"/>
              <w:autoSpaceDE/>
              <w:autoSpaceDN/>
              <w:bidi w:val="0"/>
              <w:adjustRightInd/>
              <w:snapToGrid/>
              <w:spacing w:line="260" w:lineRule="exact"/>
              <w:ind w:left="0"/>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sz w:val="21"/>
                <w:szCs w:val="21"/>
                <w:u w:val="none"/>
                <w:lang w:bidi="ar-SA"/>
              </w:rPr>
              <w:t>受助困难残疾人满意度</w:t>
            </w:r>
          </w:p>
        </w:tc>
        <w:tc>
          <w:tcPr>
            <w:tcW w:w="995" w:type="dxa"/>
            <w:tcBorders>
              <w:top w:val="single" w:color="auto" w:sz="4" w:space="0"/>
              <w:left w:val="single" w:color="auto" w:sz="4" w:space="0"/>
              <w:bottom w:val="single" w:color="auto" w:sz="4" w:space="0"/>
              <w:right w:val="single" w:color="auto" w:sz="4" w:space="0"/>
            </w:tcBorders>
            <w:noWrap w:val="0"/>
            <w:vAlign w:val="center"/>
          </w:tcPr>
          <w:p w14:paraId="0158777D">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定量</w:t>
            </w:r>
          </w:p>
        </w:tc>
        <w:tc>
          <w:tcPr>
            <w:tcW w:w="843" w:type="dxa"/>
            <w:tcBorders>
              <w:top w:val="single" w:color="auto" w:sz="4" w:space="0"/>
              <w:left w:val="single" w:color="auto" w:sz="4" w:space="0"/>
              <w:bottom w:val="single" w:color="auto" w:sz="4" w:space="0"/>
              <w:right w:val="single" w:color="auto" w:sz="4" w:space="0"/>
            </w:tcBorders>
            <w:noWrap w:val="0"/>
            <w:vAlign w:val="center"/>
          </w:tcPr>
          <w:p w14:paraId="64D22975">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≥90</w:t>
            </w:r>
          </w:p>
        </w:tc>
        <w:tc>
          <w:tcPr>
            <w:tcW w:w="885" w:type="dxa"/>
            <w:tcBorders>
              <w:top w:val="single" w:color="auto" w:sz="4" w:space="0"/>
              <w:left w:val="single" w:color="auto" w:sz="4" w:space="0"/>
              <w:bottom w:val="single" w:color="auto" w:sz="4" w:space="0"/>
              <w:right w:val="single" w:color="auto" w:sz="4" w:space="0"/>
            </w:tcBorders>
            <w:noWrap w:val="0"/>
            <w:vAlign w:val="center"/>
          </w:tcPr>
          <w:p w14:paraId="45865EDF">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w:t>
            </w:r>
          </w:p>
        </w:tc>
        <w:tc>
          <w:tcPr>
            <w:tcW w:w="611" w:type="dxa"/>
            <w:tcBorders>
              <w:top w:val="single" w:color="auto" w:sz="4" w:space="0"/>
              <w:left w:val="single" w:color="auto" w:sz="4" w:space="0"/>
              <w:bottom w:val="single" w:color="auto" w:sz="4" w:space="0"/>
              <w:right w:val="single" w:color="auto" w:sz="4" w:space="0"/>
            </w:tcBorders>
            <w:noWrap w:val="0"/>
            <w:vAlign w:val="center"/>
          </w:tcPr>
          <w:p w14:paraId="228A810C">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10%</w:t>
            </w:r>
          </w:p>
        </w:tc>
        <w:tc>
          <w:tcPr>
            <w:tcW w:w="1844" w:type="dxa"/>
            <w:tcBorders>
              <w:top w:val="single" w:color="auto" w:sz="4" w:space="0"/>
              <w:left w:val="single" w:color="auto" w:sz="4" w:space="0"/>
              <w:bottom w:val="single" w:color="auto" w:sz="4" w:space="0"/>
              <w:right w:val="single" w:color="auto" w:sz="4" w:space="0"/>
            </w:tcBorders>
            <w:noWrap w:val="0"/>
            <w:vAlign w:val="center"/>
          </w:tcPr>
          <w:p w14:paraId="4A3B90DF">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90%</w:t>
            </w:r>
          </w:p>
        </w:tc>
      </w:tr>
      <w:tr w14:paraId="4481430E">
        <w:tblPrEx>
          <w:tblCellMar>
            <w:top w:w="15" w:type="dxa"/>
            <w:left w:w="15" w:type="dxa"/>
            <w:bottom w:w="15" w:type="dxa"/>
            <w:right w:w="15" w:type="dxa"/>
          </w:tblCellMar>
        </w:tblPrEx>
        <w:trPr>
          <w:trHeight w:val="290" w:hRule="atLeast"/>
          <w:jc w:val="center"/>
        </w:trPr>
        <w:tc>
          <w:tcPr>
            <w:tcW w:w="652" w:type="dxa"/>
            <w:tcBorders>
              <w:top w:val="single" w:color="000000" w:sz="4" w:space="0"/>
              <w:left w:val="single" w:color="000000" w:sz="4" w:space="0"/>
              <w:bottom w:val="single" w:color="000000" w:sz="4" w:space="0"/>
              <w:right w:val="single" w:color="auto" w:sz="4" w:space="0"/>
            </w:tcBorders>
            <w:noWrap w:val="0"/>
            <w:vAlign w:val="center"/>
          </w:tcPr>
          <w:p w14:paraId="10AC292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color w:val="000000"/>
                <w:kern w:val="0"/>
                <w:sz w:val="21"/>
                <w:szCs w:val="21"/>
                <w:u w:val="none"/>
                <w:lang w:val="en-US" w:eastAsia="zh-CN" w:bidi="ar"/>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7BCC0C84">
            <w:pPr>
              <w:keepNext w:val="0"/>
              <w:keepLines w:val="0"/>
              <w:pageBreakBefore w:val="0"/>
              <w:kinsoku/>
              <w:wordWrap/>
              <w:overflowPunct/>
              <w:topLinePunct w:val="0"/>
              <w:autoSpaceDE/>
              <w:autoSpaceDN/>
              <w:bidi w:val="0"/>
              <w:adjustRightInd/>
              <w:snapToGrid/>
              <w:spacing w:line="260" w:lineRule="exact"/>
              <w:rPr>
                <w:rFonts w:hint="default" w:ascii="Times New Roman" w:hAnsi="Times New Roman" w:cs="Times New Roman"/>
                <w:sz w:val="21"/>
                <w:szCs w:val="21"/>
              </w:rPr>
            </w:pPr>
          </w:p>
        </w:tc>
        <w:tc>
          <w:tcPr>
            <w:tcW w:w="1284" w:type="dxa"/>
            <w:vMerge w:val="continue"/>
            <w:tcBorders>
              <w:top w:val="single" w:color="auto" w:sz="4" w:space="0"/>
              <w:left w:val="single" w:color="auto" w:sz="4" w:space="0"/>
              <w:bottom w:val="single" w:color="auto" w:sz="4" w:space="0"/>
              <w:right w:val="single" w:color="auto" w:sz="4" w:space="0"/>
            </w:tcBorders>
            <w:noWrap w:val="0"/>
            <w:vAlign w:val="center"/>
          </w:tcPr>
          <w:p w14:paraId="09DDF7C4">
            <w:pPr>
              <w:keepNext w:val="0"/>
              <w:keepLines w:val="0"/>
              <w:pageBreakBefore w:val="0"/>
              <w:kinsoku/>
              <w:wordWrap/>
              <w:overflowPunct/>
              <w:topLinePunct w:val="0"/>
              <w:autoSpaceDE/>
              <w:autoSpaceDN/>
              <w:bidi w:val="0"/>
              <w:adjustRightInd/>
              <w:snapToGrid/>
              <w:spacing w:line="260" w:lineRule="exact"/>
              <w:rPr>
                <w:rFonts w:hint="default" w:ascii="Times New Roman" w:hAnsi="Times New Roman" w:cs="Times New Roman"/>
                <w:sz w:val="21"/>
                <w:szCs w:val="21"/>
              </w:rPr>
            </w:pPr>
          </w:p>
        </w:tc>
        <w:tc>
          <w:tcPr>
            <w:tcW w:w="2035" w:type="dxa"/>
            <w:tcBorders>
              <w:top w:val="single" w:color="auto" w:sz="4" w:space="0"/>
              <w:left w:val="single" w:color="auto" w:sz="4" w:space="0"/>
              <w:bottom w:val="single" w:color="auto" w:sz="4" w:space="0"/>
              <w:right w:val="single" w:color="auto" w:sz="4" w:space="0"/>
            </w:tcBorders>
            <w:noWrap w:val="0"/>
            <w:vAlign w:val="center"/>
          </w:tcPr>
          <w:p w14:paraId="72A2B887">
            <w:pPr>
              <w:keepNext w:val="0"/>
              <w:keepLines w:val="0"/>
              <w:pageBreakBefore w:val="0"/>
              <w:widowControl w:val="0"/>
              <w:kinsoku/>
              <w:wordWrap/>
              <w:overflowPunct/>
              <w:topLinePunct w:val="0"/>
              <w:autoSpaceDE/>
              <w:autoSpaceDN/>
              <w:bidi w:val="0"/>
              <w:adjustRightInd/>
              <w:snapToGrid/>
              <w:spacing w:line="260" w:lineRule="exact"/>
              <w:rPr>
                <w:rFonts w:hint="default" w:ascii="Times New Roman" w:hAnsi="Times New Roman" w:eastAsia="方正仿宋_GBK" w:cs="Times New Roman"/>
                <w:color w:val="000000"/>
                <w:sz w:val="21"/>
                <w:szCs w:val="21"/>
                <w:u w:val="none"/>
                <w:lang w:bidi="ar-SA"/>
              </w:rPr>
            </w:pPr>
            <w:r>
              <w:rPr>
                <w:rFonts w:hint="default" w:ascii="Times New Roman" w:hAnsi="Times New Roman" w:eastAsia="方正仿宋_GBK" w:cs="Times New Roman"/>
                <w:color w:val="000000"/>
                <w:sz w:val="21"/>
                <w:szCs w:val="21"/>
                <w:u w:val="none"/>
                <w:lang w:bidi="ar-SA"/>
              </w:rPr>
              <w:t>受助重度残疾人满意度</w:t>
            </w:r>
          </w:p>
        </w:tc>
        <w:tc>
          <w:tcPr>
            <w:tcW w:w="995" w:type="dxa"/>
            <w:tcBorders>
              <w:top w:val="single" w:color="auto" w:sz="4" w:space="0"/>
              <w:left w:val="single" w:color="auto" w:sz="4" w:space="0"/>
              <w:bottom w:val="single" w:color="auto" w:sz="4" w:space="0"/>
              <w:right w:val="single" w:color="auto" w:sz="4" w:space="0"/>
            </w:tcBorders>
            <w:noWrap w:val="0"/>
            <w:vAlign w:val="center"/>
          </w:tcPr>
          <w:p w14:paraId="5DDD0C1F">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定量</w:t>
            </w:r>
          </w:p>
        </w:tc>
        <w:tc>
          <w:tcPr>
            <w:tcW w:w="843" w:type="dxa"/>
            <w:tcBorders>
              <w:top w:val="single" w:color="auto" w:sz="4" w:space="0"/>
              <w:left w:val="single" w:color="auto" w:sz="4" w:space="0"/>
              <w:bottom w:val="single" w:color="auto" w:sz="4" w:space="0"/>
              <w:right w:val="single" w:color="auto" w:sz="4" w:space="0"/>
            </w:tcBorders>
            <w:noWrap w:val="0"/>
            <w:vAlign w:val="center"/>
          </w:tcPr>
          <w:p w14:paraId="1E938970">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≥90</w:t>
            </w:r>
          </w:p>
        </w:tc>
        <w:tc>
          <w:tcPr>
            <w:tcW w:w="885" w:type="dxa"/>
            <w:tcBorders>
              <w:top w:val="single" w:color="auto" w:sz="4" w:space="0"/>
              <w:left w:val="single" w:color="auto" w:sz="4" w:space="0"/>
              <w:bottom w:val="single" w:color="auto" w:sz="4" w:space="0"/>
              <w:right w:val="single" w:color="auto" w:sz="4" w:space="0"/>
            </w:tcBorders>
            <w:noWrap w:val="0"/>
            <w:vAlign w:val="center"/>
          </w:tcPr>
          <w:p w14:paraId="1F7A0312">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w:t>
            </w:r>
          </w:p>
        </w:tc>
        <w:tc>
          <w:tcPr>
            <w:tcW w:w="611" w:type="dxa"/>
            <w:tcBorders>
              <w:top w:val="single" w:color="auto" w:sz="4" w:space="0"/>
              <w:left w:val="single" w:color="auto" w:sz="4" w:space="0"/>
              <w:bottom w:val="single" w:color="auto" w:sz="4" w:space="0"/>
              <w:right w:val="single" w:color="auto" w:sz="4" w:space="0"/>
            </w:tcBorders>
            <w:noWrap w:val="0"/>
            <w:vAlign w:val="center"/>
          </w:tcPr>
          <w:p w14:paraId="73B8692D">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10%</w:t>
            </w:r>
          </w:p>
        </w:tc>
        <w:tc>
          <w:tcPr>
            <w:tcW w:w="1844" w:type="dxa"/>
            <w:tcBorders>
              <w:top w:val="single" w:color="auto" w:sz="4" w:space="0"/>
              <w:left w:val="single" w:color="auto" w:sz="4" w:space="0"/>
              <w:bottom w:val="single" w:color="auto" w:sz="4" w:space="0"/>
              <w:right w:val="single" w:color="auto" w:sz="4" w:space="0"/>
            </w:tcBorders>
            <w:noWrap w:val="0"/>
            <w:vAlign w:val="center"/>
          </w:tcPr>
          <w:p w14:paraId="63E9363D">
            <w:pPr>
              <w:rPr>
                <w:rFonts w:hint="default" w:ascii="Times New Roman" w:hAnsi="Times New Roman" w:eastAsia="方正仿宋_GBK" w:cs="Times New Roman"/>
                <w:sz w:val="21"/>
                <w:szCs w:val="21"/>
                <w:lang w:val="en-US" w:eastAsia="zh-CN" w:bidi="ar-SA"/>
              </w:rPr>
            </w:pPr>
            <w:r>
              <w:rPr>
                <w:rFonts w:hint="default" w:ascii="Times New Roman" w:hAnsi="Times New Roman" w:eastAsia="方正仿宋_GBK" w:cs="Times New Roman"/>
                <w:sz w:val="21"/>
                <w:szCs w:val="21"/>
                <w:lang w:val="en-US" w:eastAsia="zh-CN" w:bidi="ar-SA"/>
              </w:rPr>
              <w:t>90%</w:t>
            </w:r>
          </w:p>
        </w:tc>
      </w:tr>
    </w:tbl>
    <w:p w14:paraId="72BC4A58">
      <w:pPr>
        <w:keepNext w:val="0"/>
        <w:keepLines w:val="0"/>
        <w:pageBreakBefore w:val="0"/>
        <w:widowControl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21"/>
          <w:szCs w:val="21"/>
          <w:highlight w:val="none"/>
          <w:u w:val="none"/>
          <w:shd w:val="clear" w:color="auto" w:fill="FFFFFF"/>
          <w:lang w:val="zh-CN" w:eastAsia="zh-CN"/>
        </w:rPr>
      </w:pPr>
    </w:p>
    <w:p w14:paraId="651B53D2">
      <w:pPr>
        <w:keepNext w:val="0"/>
        <w:keepLines w:val="0"/>
        <w:pageBreakBefore w:val="0"/>
        <w:widowControl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3-2</w:t>
      </w:r>
    </w:p>
    <w:tbl>
      <w:tblPr>
        <w:tblStyle w:val="17"/>
        <w:tblW w:w="1075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977"/>
        <w:gridCol w:w="2318"/>
        <w:gridCol w:w="1347"/>
        <w:gridCol w:w="895"/>
        <w:gridCol w:w="1230"/>
        <w:gridCol w:w="680"/>
        <w:gridCol w:w="1573"/>
      </w:tblGrid>
      <w:tr w14:paraId="47910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753" w:type="dxa"/>
            <w:gridSpan w:val="9"/>
            <w:noWrap/>
            <w:vAlign w:val="center"/>
          </w:tcPr>
          <w:p w14:paraId="30ED51DF">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_GBK" w:cs="Times New Roman"/>
                <w:i w:val="0"/>
                <w:color w:val="000000"/>
                <w:kern w:val="0"/>
                <w:sz w:val="40"/>
                <w:szCs w:val="40"/>
                <w:u w:val="none"/>
                <w:lang w:val="en-US" w:eastAsia="zh-CN"/>
              </w:rPr>
              <w:t>专项预算项目绩效目标完成情况自评表</w:t>
            </w:r>
          </w:p>
        </w:tc>
      </w:tr>
      <w:tr w14:paraId="68705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5028" w:type="dxa"/>
            <w:gridSpan w:val="4"/>
            <w:tcBorders>
              <w:top w:val="single" w:color="000000" w:sz="4" w:space="0"/>
              <w:left w:val="single" w:color="000000" w:sz="4" w:space="0"/>
              <w:bottom w:val="single" w:color="000000" w:sz="4" w:space="0"/>
              <w:right w:val="single" w:color="000000" w:sz="4" w:space="0"/>
            </w:tcBorders>
            <w:noWrap/>
            <w:vAlign w:val="center"/>
          </w:tcPr>
          <w:p w14:paraId="2C6154D7">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项目名称</w:t>
            </w:r>
          </w:p>
        </w:tc>
        <w:tc>
          <w:tcPr>
            <w:tcW w:w="5725" w:type="dxa"/>
            <w:gridSpan w:val="5"/>
            <w:tcBorders>
              <w:top w:val="single" w:color="000000" w:sz="4" w:space="0"/>
              <w:left w:val="single" w:color="000000" w:sz="4" w:space="0"/>
              <w:bottom w:val="single" w:color="000000" w:sz="4" w:space="0"/>
              <w:right w:val="single" w:color="000000" w:sz="4" w:space="0"/>
            </w:tcBorders>
            <w:noWrap/>
            <w:vAlign w:val="center"/>
          </w:tcPr>
          <w:p w14:paraId="1209101F">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rPr>
              <w:t>攀枝花市2025年绿色惠民殡葬</w:t>
            </w:r>
            <w:r>
              <w:rPr>
                <w:rFonts w:hint="default" w:ascii="Times New Roman" w:hAnsi="Times New Roman" w:eastAsia="方正仿宋_GBK" w:cs="Times New Roman"/>
                <w:i w:val="0"/>
                <w:color w:val="000000"/>
                <w:sz w:val="21"/>
                <w:szCs w:val="21"/>
                <w:u w:val="none"/>
                <w:lang w:val="en-US" w:eastAsia="zh-CN"/>
              </w:rPr>
              <w:t>项目</w:t>
            </w:r>
          </w:p>
        </w:tc>
      </w:tr>
      <w:tr w14:paraId="37434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5028" w:type="dxa"/>
            <w:gridSpan w:val="4"/>
            <w:tcBorders>
              <w:top w:val="single" w:color="000000" w:sz="4" w:space="0"/>
              <w:left w:val="single" w:color="000000" w:sz="4" w:space="0"/>
              <w:bottom w:val="single" w:color="000000" w:sz="4" w:space="0"/>
              <w:right w:val="single" w:color="000000" w:sz="4" w:space="0"/>
            </w:tcBorders>
            <w:noWrap/>
            <w:vAlign w:val="center"/>
          </w:tcPr>
          <w:p w14:paraId="249F0209">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预算单位</w:t>
            </w:r>
          </w:p>
        </w:tc>
        <w:tc>
          <w:tcPr>
            <w:tcW w:w="5725" w:type="dxa"/>
            <w:gridSpan w:val="5"/>
            <w:tcBorders>
              <w:top w:val="single" w:color="000000" w:sz="4" w:space="0"/>
              <w:left w:val="single" w:color="000000" w:sz="4" w:space="0"/>
              <w:bottom w:val="single" w:color="000000" w:sz="4" w:space="0"/>
              <w:right w:val="single" w:color="000000" w:sz="4" w:space="0"/>
            </w:tcBorders>
            <w:noWrap/>
            <w:vAlign w:val="center"/>
          </w:tcPr>
          <w:p w14:paraId="550FB447">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攀枝花市民政局、米易县民政局、盐边县民政局</w:t>
            </w:r>
          </w:p>
        </w:tc>
      </w:tr>
      <w:tr w14:paraId="54AC9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5028" w:type="dxa"/>
            <w:gridSpan w:val="4"/>
            <w:tcBorders>
              <w:top w:val="single" w:color="000000" w:sz="4" w:space="0"/>
              <w:left w:val="single" w:color="000000" w:sz="4" w:space="0"/>
              <w:bottom w:val="single" w:color="000000" w:sz="4" w:space="0"/>
              <w:right w:val="single" w:color="000000" w:sz="4" w:space="0"/>
            </w:tcBorders>
            <w:noWrap/>
            <w:vAlign w:val="center"/>
          </w:tcPr>
          <w:p w14:paraId="0257E585">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项目类型</w:t>
            </w:r>
          </w:p>
        </w:tc>
        <w:tc>
          <w:tcPr>
            <w:tcW w:w="5725" w:type="dxa"/>
            <w:gridSpan w:val="5"/>
            <w:tcBorders>
              <w:top w:val="single" w:color="000000" w:sz="4" w:space="0"/>
              <w:left w:val="single" w:color="000000" w:sz="4" w:space="0"/>
              <w:bottom w:val="single" w:color="000000" w:sz="4" w:space="0"/>
              <w:right w:val="single" w:color="000000" w:sz="4" w:space="0"/>
            </w:tcBorders>
            <w:noWrap/>
            <w:vAlign w:val="center"/>
          </w:tcPr>
          <w:p w14:paraId="5E1AB060">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绿色惠民殡葬</w:t>
            </w:r>
          </w:p>
        </w:tc>
      </w:tr>
      <w:tr w14:paraId="4D4FC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ign w:val="center"/>
          </w:tcPr>
          <w:p w14:paraId="7305932C">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项目 概况</w:t>
            </w:r>
          </w:p>
        </w:tc>
        <w:tc>
          <w:tcPr>
            <w:tcW w:w="4376" w:type="dxa"/>
            <w:gridSpan w:val="3"/>
            <w:tcBorders>
              <w:top w:val="single" w:color="000000" w:sz="4" w:space="0"/>
              <w:left w:val="single" w:color="000000" w:sz="4" w:space="0"/>
              <w:bottom w:val="single" w:color="000000" w:sz="4" w:space="0"/>
              <w:right w:val="single" w:color="000000" w:sz="4" w:space="0"/>
            </w:tcBorders>
            <w:noWrap/>
            <w:vAlign w:val="center"/>
          </w:tcPr>
          <w:p w14:paraId="10512F8E">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中长期规划（名称、文号，仅指</w:t>
            </w:r>
          </w:p>
          <w:p w14:paraId="11C7C318">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常年项目）</w:t>
            </w:r>
          </w:p>
        </w:tc>
        <w:tc>
          <w:tcPr>
            <w:tcW w:w="5725" w:type="dxa"/>
            <w:gridSpan w:val="5"/>
            <w:tcBorders>
              <w:top w:val="single" w:color="000000" w:sz="4" w:space="0"/>
              <w:left w:val="single" w:color="000000" w:sz="4" w:space="0"/>
              <w:bottom w:val="single" w:color="000000" w:sz="4" w:space="0"/>
              <w:right w:val="single" w:color="000000" w:sz="4" w:space="0"/>
            </w:tcBorders>
            <w:noWrap/>
            <w:vAlign w:val="center"/>
          </w:tcPr>
          <w:p w14:paraId="13FEF03E">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rPr>
            </w:pPr>
          </w:p>
        </w:tc>
      </w:tr>
      <w:tr w14:paraId="55555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21AC6C6F">
            <w:pPr>
              <w:rPr>
                <w:rFonts w:hint="default" w:ascii="Times New Roman" w:hAnsi="Times New Roman" w:cs="Times New Roman"/>
                <w:sz w:val="21"/>
                <w:szCs w:val="21"/>
              </w:rPr>
            </w:pPr>
          </w:p>
        </w:tc>
        <w:tc>
          <w:tcPr>
            <w:tcW w:w="4376" w:type="dxa"/>
            <w:gridSpan w:val="3"/>
            <w:tcBorders>
              <w:top w:val="single" w:color="000000" w:sz="4" w:space="0"/>
              <w:left w:val="single" w:color="000000" w:sz="4" w:space="0"/>
              <w:bottom w:val="single" w:color="000000" w:sz="4" w:space="0"/>
              <w:right w:val="single" w:color="000000" w:sz="4" w:space="0"/>
            </w:tcBorders>
            <w:noWrap/>
            <w:vAlign w:val="center"/>
          </w:tcPr>
          <w:p w14:paraId="4A398A18">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资金管理办法（名称、文号）</w:t>
            </w:r>
          </w:p>
        </w:tc>
        <w:tc>
          <w:tcPr>
            <w:tcW w:w="5725" w:type="dxa"/>
            <w:gridSpan w:val="5"/>
            <w:tcBorders>
              <w:top w:val="single" w:color="000000" w:sz="4" w:space="0"/>
              <w:left w:val="single" w:color="000000" w:sz="4" w:space="0"/>
              <w:bottom w:val="single" w:color="000000" w:sz="4" w:space="0"/>
              <w:right w:val="single" w:color="000000" w:sz="4" w:space="0"/>
            </w:tcBorders>
            <w:noWrap/>
            <w:vAlign w:val="center"/>
          </w:tcPr>
          <w:p w14:paraId="553A1B19">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rPr>
            </w:pPr>
          </w:p>
        </w:tc>
      </w:tr>
      <w:tr w14:paraId="67C0C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70CE7F88">
            <w:pPr>
              <w:rPr>
                <w:rFonts w:hint="default" w:ascii="Times New Roman" w:hAnsi="Times New Roman" w:cs="Times New Roman"/>
                <w:sz w:val="21"/>
                <w:szCs w:val="21"/>
              </w:rPr>
            </w:pPr>
          </w:p>
        </w:tc>
        <w:tc>
          <w:tcPr>
            <w:tcW w:w="4376" w:type="dxa"/>
            <w:gridSpan w:val="3"/>
            <w:tcBorders>
              <w:top w:val="single" w:color="000000" w:sz="4" w:space="0"/>
              <w:left w:val="single" w:color="000000" w:sz="4" w:space="0"/>
              <w:bottom w:val="single" w:color="000000" w:sz="4" w:space="0"/>
              <w:right w:val="single" w:color="000000" w:sz="4" w:space="0"/>
            </w:tcBorders>
            <w:noWrap/>
            <w:vAlign w:val="center"/>
          </w:tcPr>
          <w:p w14:paraId="2D718757">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绩效分配方式</w:t>
            </w:r>
          </w:p>
        </w:tc>
        <w:tc>
          <w:tcPr>
            <w:tcW w:w="1347" w:type="dxa"/>
            <w:tcBorders>
              <w:top w:val="single" w:color="000000" w:sz="4" w:space="0"/>
              <w:left w:val="single" w:color="000000" w:sz="4" w:space="0"/>
              <w:bottom w:val="single" w:color="000000" w:sz="4" w:space="0"/>
              <w:right w:val="single" w:color="000000" w:sz="4" w:space="0"/>
            </w:tcBorders>
            <w:noWrap/>
            <w:vAlign w:val="center"/>
          </w:tcPr>
          <w:p w14:paraId="7456DB33">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sym w:font="Wingdings 2" w:char="F052"/>
            </w:r>
            <w:r>
              <w:rPr>
                <w:rFonts w:hint="default" w:ascii="Times New Roman" w:hAnsi="Times New Roman" w:eastAsia="方正仿宋_GBK" w:cs="Times New Roman"/>
                <w:i w:val="0"/>
                <w:color w:val="000000"/>
                <w:kern w:val="0"/>
                <w:sz w:val="21"/>
                <w:szCs w:val="21"/>
                <w:u w:val="none"/>
                <w:lang w:val="en-US" w:eastAsia="zh-CN"/>
              </w:rPr>
              <w:t>因素法</w:t>
            </w:r>
          </w:p>
        </w:tc>
        <w:tc>
          <w:tcPr>
            <w:tcW w:w="2125" w:type="dxa"/>
            <w:gridSpan w:val="2"/>
            <w:tcBorders>
              <w:top w:val="single" w:color="000000" w:sz="4" w:space="0"/>
              <w:left w:val="single" w:color="000000" w:sz="4" w:space="0"/>
              <w:bottom w:val="single" w:color="000000" w:sz="4" w:space="0"/>
              <w:right w:val="single" w:color="000000" w:sz="4" w:space="0"/>
            </w:tcBorders>
            <w:noWrap/>
            <w:vAlign w:val="center"/>
          </w:tcPr>
          <w:p w14:paraId="27EC4A17">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□项目法</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01342471">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□据实据效</w:t>
            </w:r>
          </w:p>
        </w:tc>
        <w:tc>
          <w:tcPr>
            <w:tcW w:w="1573" w:type="dxa"/>
            <w:tcBorders>
              <w:top w:val="single" w:color="000000" w:sz="4" w:space="0"/>
              <w:left w:val="single" w:color="000000" w:sz="4" w:space="0"/>
              <w:bottom w:val="single" w:color="000000" w:sz="4" w:space="0"/>
              <w:right w:val="single" w:color="000000" w:sz="4" w:space="0"/>
            </w:tcBorders>
            <w:noWrap/>
            <w:vAlign w:val="center"/>
          </w:tcPr>
          <w:p w14:paraId="2E263FF4">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sym w:font="Wingdings 2" w:char="F0A3"/>
            </w:r>
            <w:r>
              <w:rPr>
                <w:rFonts w:hint="default" w:ascii="Times New Roman" w:hAnsi="Times New Roman" w:eastAsia="方正仿宋_GBK" w:cs="Times New Roman"/>
                <w:i w:val="0"/>
                <w:color w:val="000000"/>
                <w:kern w:val="0"/>
                <w:sz w:val="21"/>
                <w:szCs w:val="21"/>
                <w:u w:val="none"/>
                <w:lang w:val="en-US" w:eastAsia="zh-CN"/>
              </w:rPr>
              <w:t>因素法与项目法相结合</w:t>
            </w:r>
          </w:p>
        </w:tc>
      </w:tr>
      <w:tr w14:paraId="6AECA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28928BB1">
            <w:pPr>
              <w:rPr>
                <w:rFonts w:hint="default" w:ascii="Times New Roman" w:hAnsi="Times New Roman" w:cs="Times New Roman"/>
                <w:sz w:val="21"/>
                <w:szCs w:val="21"/>
              </w:rPr>
            </w:pPr>
          </w:p>
        </w:tc>
        <w:tc>
          <w:tcPr>
            <w:tcW w:w="4376" w:type="dxa"/>
            <w:gridSpan w:val="3"/>
            <w:tcBorders>
              <w:top w:val="single" w:color="000000" w:sz="4" w:space="0"/>
              <w:left w:val="single" w:color="000000" w:sz="4" w:space="0"/>
              <w:bottom w:val="single" w:color="000000" w:sz="4" w:space="0"/>
              <w:right w:val="single" w:color="000000" w:sz="4" w:space="0"/>
            </w:tcBorders>
            <w:noWrap/>
            <w:vAlign w:val="center"/>
          </w:tcPr>
          <w:p w14:paraId="7344B2FA">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立项依据</w:t>
            </w:r>
          </w:p>
        </w:tc>
        <w:tc>
          <w:tcPr>
            <w:tcW w:w="5725" w:type="dxa"/>
            <w:gridSpan w:val="5"/>
            <w:tcBorders>
              <w:top w:val="single" w:color="000000" w:sz="4" w:space="0"/>
              <w:left w:val="single" w:color="000000" w:sz="4" w:space="0"/>
              <w:bottom w:val="single" w:color="000000" w:sz="4" w:space="0"/>
              <w:right w:val="single" w:color="000000" w:sz="4" w:space="0"/>
            </w:tcBorders>
            <w:noWrap/>
            <w:vAlign w:val="center"/>
          </w:tcPr>
          <w:p w14:paraId="4DC671E3">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sz w:val="21"/>
                <w:szCs w:val="21"/>
                <w:u w:val="none"/>
              </w:rPr>
              <w:t>《四川省民政厅、四川省财政厅关于全面实施绿色惠民殡葬政策的意见》（川民发〔2019〕55号）</w:t>
            </w:r>
          </w:p>
        </w:tc>
      </w:tr>
      <w:tr w14:paraId="21CC4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7D6977DE">
            <w:pPr>
              <w:rPr>
                <w:rFonts w:hint="default" w:ascii="Times New Roman" w:hAnsi="Times New Roman" w:cs="Times New Roman"/>
                <w:sz w:val="21"/>
                <w:szCs w:val="21"/>
              </w:rPr>
            </w:pPr>
          </w:p>
        </w:tc>
        <w:tc>
          <w:tcPr>
            <w:tcW w:w="4376" w:type="dxa"/>
            <w:gridSpan w:val="3"/>
            <w:tcBorders>
              <w:top w:val="single" w:color="000000" w:sz="4" w:space="0"/>
              <w:left w:val="single" w:color="000000" w:sz="4" w:space="0"/>
              <w:bottom w:val="single" w:color="000000" w:sz="4" w:space="0"/>
              <w:right w:val="single" w:color="000000" w:sz="4" w:space="0"/>
            </w:tcBorders>
            <w:noWrap/>
            <w:vAlign w:val="center"/>
          </w:tcPr>
          <w:p w14:paraId="4301F4FE">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适用范围</w:t>
            </w:r>
          </w:p>
        </w:tc>
        <w:tc>
          <w:tcPr>
            <w:tcW w:w="5725" w:type="dxa"/>
            <w:gridSpan w:val="5"/>
            <w:tcBorders>
              <w:top w:val="single" w:color="000000" w:sz="4" w:space="0"/>
              <w:left w:val="single" w:color="000000" w:sz="4" w:space="0"/>
              <w:bottom w:val="single" w:color="000000" w:sz="4" w:space="0"/>
              <w:right w:val="single" w:color="000000" w:sz="4" w:space="0"/>
            </w:tcBorders>
            <w:noWrap/>
            <w:vAlign w:val="center"/>
          </w:tcPr>
          <w:p w14:paraId="21ACBF56">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sz w:val="21"/>
                <w:szCs w:val="21"/>
                <w:u w:val="none"/>
              </w:rPr>
              <w:t>为具有攀枝花市户籍的城乡居民，在四川省内和重庆市去世且在公办殡葬服务机构火化的，减免遗体接运、遗体暂存（冷藏）3日内、遗体火化、骨灰存放（1年内）四项基本殡葬服务费用。</w:t>
            </w:r>
          </w:p>
        </w:tc>
      </w:tr>
      <w:tr w14:paraId="669C0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6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7A55B3F2">
            <w:pPr>
              <w:rPr>
                <w:rFonts w:hint="default" w:ascii="Times New Roman" w:hAnsi="Times New Roman" w:cs="Times New Roman"/>
                <w:sz w:val="21"/>
                <w:szCs w:val="21"/>
              </w:rPr>
            </w:pPr>
          </w:p>
        </w:tc>
        <w:tc>
          <w:tcPr>
            <w:tcW w:w="4376" w:type="dxa"/>
            <w:gridSpan w:val="3"/>
            <w:tcBorders>
              <w:top w:val="single" w:color="000000" w:sz="4" w:space="0"/>
              <w:left w:val="single" w:color="000000" w:sz="4" w:space="0"/>
              <w:bottom w:val="single" w:color="000000" w:sz="4" w:space="0"/>
              <w:right w:val="single" w:color="000000" w:sz="4" w:space="0"/>
            </w:tcBorders>
            <w:noWrap/>
            <w:vAlign w:val="center"/>
          </w:tcPr>
          <w:p w14:paraId="4A9D8AF4">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申报（补助）条件</w:t>
            </w:r>
          </w:p>
        </w:tc>
        <w:tc>
          <w:tcPr>
            <w:tcW w:w="5725" w:type="dxa"/>
            <w:gridSpan w:val="5"/>
            <w:tcBorders>
              <w:top w:val="single" w:color="000000" w:sz="4" w:space="0"/>
              <w:left w:val="single" w:color="000000" w:sz="4" w:space="0"/>
              <w:bottom w:val="single" w:color="000000" w:sz="4" w:space="0"/>
              <w:right w:val="single" w:color="000000" w:sz="4" w:space="0"/>
            </w:tcBorders>
            <w:noWrap/>
            <w:vAlign w:val="center"/>
          </w:tcPr>
          <w:p w14:paraId="17DB0B0A">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sz w:val="21"/>
                <w:szCs w:val="21"/>
                <w:u w:val="none"/>
              </w:rPr>
              <w:t>依据《攀枝花市惠民殡葬政策实施办法》《攀枝花市惠民殡葬政策实施办法补充规定》相关要求执行。</w:t>
            </w:r>
          </w:p>
        </w:tc>
      </w:tr>
      <w:tr w14:paraId="0200B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2DF5135B">
            <w:pPr>
              <w:rPr>
                <w:rFonts w:hint="default" w:ascii="Times New Roman" w:hAnsi="Times New Roman" w:cs="Times New Roman"/>
                <w:sz w:val="21"/>
                <w:szCs w:val="21"/>
              </w:rPr>
            </w:pPr>
          </w:p>
        </w:tc>
        <w:tc>
          <w:tcPr>
            <w:tcW w:w="4376" w:type="dxa"/>
            <w:gridSpan w:val="3"/>
            <w:tcBorders>
              <w:top w:val="single" w:color="000000" w:sz="4" w:space="0"/>
              <w:left w:val="single" w:color="000000" w:sz="4" w:space="0"/>
              <w:bottom w:val="single" w:color="000000" w:sz="4" w:space="0"/>
              <w:right w:val="single" w:color="000000" w:sz="4" w:space="0"/>
            </w:tcBorders>
            <w:noWrap/>
            <w:vAlign w:val="center"/>
          </w:tcPr>
          <w:p w14:paraId="5A5CB393">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项目起止年限</w:t>
            </w:r>
          </w:p>
        </w:tc>
        <w:tc>
          <w:tcPr>
            <w:tcW w:w="5725" w:type="dxa"/>
            <w:gridSpan w:val="5"/>
            <w:tcBorders>
              <w:top w:val="single" w:color="000000" w:sz="4" w:space="0"/>
              <w:left w:val="single" w:color="000000" w:sz="4" w:space="0"/>
              <w:bottom w:val="single" w:color="000000" w:sz="4" w:space="0"/>
              <w:right w:val="single" w:color="000000" w:sz="4" w:space="0"/>
            </w:tcBorders>
            <w:noWrap/>
            <w:vAlign w:val="center"/>
          </w:tcPr>
          <w:p w14:paraId="36BF0A8C">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sz w:val="21"/>
                <w:szCs w:val="21"/>
                <w:u w:val="none"/>
              </w:rPr>
              <w:t xml:space="preserve">2019年8月 - </w:t>
            </w:r>
          </w:p>
        </w:tc>
      </w:tr>
      <w:tr w14:paraId="0F0F5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11DCA3E7">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项目资金</w:t>
            </w:r>
          </w:p>
          <w:p w14:paraId="3553C45D">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（万元）</w:t>
            </w:r>
          </w:p>
        </w:tc>
        <w:tc>
          <w:tcPr>
            <w:tcW w:w="3295" w:type="dxa"/>
            <w:gridSpan w:val="2"/>
            <w:tcBorders>
              <w:top w:val="single" w:color="000000" w:sz="4" w:space="0"/>
              <w:left w:val="single" w:color="000000" w:sz="4" w:space="0"/>
              <w:bottom w:val="single" w:color="000000" w:sz="4" w:space="0"/>
              <w:right w:val="single" w:color="000000" w:sz="4" w:space="0"/>
            </w:tcBorders>
            <w:noWrap/>
            <w:vAlign w:val="center"/>
          </w:tcPr>
          <w:p w14:paraId="511ECE53">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年度资金总额：</w:t>
            </w:r>
          </w:p>
        </w:tc>
        <w:tc>
          <w:tcPr>
            <w:tcW w:w="5725" w:type="dxa"/>
            <w:gridSpan w:val="5"/>
            <w:tcBorders>
              <w:top w:val="single" w:color="000000" w:sz="4" w:space="0"/>
              <w:left w:val="single" w:color="000000" w:sz="4" w:space="0"/>
              <w:bottom w:val="single" w:color="000000" w:sz="4" w:space="0"/>
              <w:right w:val="single" w:color="000000" w:sz="4" w:space="0"/>
            </w:tcBorders>
            <w:noWrap/>
            <w:vAlign w:val="center"/>
          </w:tcPr>
          <w:p w14:paraId="7DC28B8C">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326</w:t>
            </w:r>
          </w:p>
        </w:tc>
      </w:tr>
      <w:tr w14:paraId="61B1A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46474CDE">
            <w:pPr>
              <w:rPr>
                <w:rFonts w:hint="default" w:ascii="Times New Roman" w:hAnsi="Times New Roman" w:cs="Times New Roman"/>
                <w:sz w:val="21"/>
                <w:szCs w:val="21"/>
              </w:rPr>
            </w:pPr>
          </w:p>
        </w:tc>
        <w:tc>
          <w:tcPr>
            <w:tcW w:w="3295" w:type="dxa"/>
            <w:gridSpan w:val="2"/>
            <w:tcBorders>
              <w:top w:val="single" w:color="000000" w:sz="4" w:space="0"/>
              <w:left w:val="single" w:color="000000" w:sz="4" w:space="0"/>
              <w:bottom w:val="single" w:color="000000" w:sz="4" w:space="0"/>
              <w:right w:val="single" w:color="000000" w:sz="4" w:space="0"/>
            </w:tcBorders>
            <w:noWrap/>
            <w:vAlign w:val="center"/>
          </w:tcPr>
          <w:p w14:paraId="267CF544">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其中：财政拨款</w:t>
            </w:r>
          </w:p>
        </w:tc>
        <w:tc>
          <w:tcPr>
            <w:tcW w:w="5725" w:type="dxa"/>
            <w:gridSpan w:val="5"/>
            <w:tcBorders>
              <w:top w:val="single" w:color="000000" w:sz="4" w:space="0"/>
              <w:left w:val="single" w:color="000000" w:sz="4" w:space="0"/>
              <w:bottom w:val="single" w:color="000000" w:sz="4" w:space="0"/>
              <w:right w:val="single" w:color="000000" w:sz="4" w:space="0"/>
            </w:tcBorders>
            <w:noWrap/>
            <w:vAlign w:val="center"/>
          </w:tcPr>
          <w:p w14:paraId="378B29C9">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326</w:t>
            </w:r>
          </w:p>
        </w:tc>
      </w:tr>
      <w:tr w14:paraId="3061C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2A90FD2A">
            <w:pPr>
              <w:rPr>
                <w:rFonts w:hint="default" w:ascii="Times New Roman" w:hAnsi="Times New Roman" w:cs="Times New Roman"/>
                <w:sz w:val="21"/>
                <w:szCs w:val="21"/>
              </w:rPr>
            </w:pPr>
          </w:p>
        </w:tc>
        <w:tc>
          <w:tcPr>
            <w:tcW w:w="3295" w:type="dxa"/>
            <w:gridSpan w:val="2"/>
            <w:tcBorders>
              <w:top w:val="single" w:color="000000" w:sz="4" w:space="0"/>
              <w:left w:val="single" w:color="000000" w:sz="4" w:space="0"/>
              <w:bottom w:val="single" w:color="000000" w:sz="4" w:space="0"/>
              <w:right w:val="single" w:color="000000" w:sz="4" w:space="0"/>
            </w:tcBorders>
            <w:noWrap/>
            <w:vAlign w:val="center"/>
          </w:tcPr>
          <w:p w14:paraId="6BCF434D">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其他资金</w:t>
            </w:r>
          </w:p>
        </w:tc>
        <w:tc>
          <w:tcPr>
            <w:tcW w:w="5725" w:type="dxa"/>
            <w:gridSpan w:val="5"/>
            <w:tcBorders>
              <w:top w:val="single" w:color="000000" w:sz="4" w:space="0"/>
              <w:left w:val="single" w:color="000000" w:sz="4" w:space="0"/>
              <w:bottom w:val="single" w:color="000000" w:sz="4" w:space="0"/>
              <w:right w:val="single" w:color="000000" w:sz="4" w:space="0"/>
            </w:tcBorders>
            <w:noWrap/>
            <w:vAlign w:val="center"/>
          </w:tcPr>
          <w:p w14:paraId="5175EB14">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0</w:t>
            </w:r>
          </w:p>
        </w:tc>
      </w:tr>
      <w:tr w14:paraId="1F2C9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ign w:val="center"/>
          </w:tcPr>
          <w:p w14:paraId="24F51E4F">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总体 目标</w:t>
            </w:r>
          </w:p>
        </w:tc>
        <w:tc>
          <w:tcPr>
            <w:tcW w:w="10101" w:type="dxa"/>
            <w:gridSpan w:val="8"/>
            <w:tcBorders>
              <w:top w:val="single" w:color="000000" w:sz="4" w:space="0"/>
              <w:left w:val="single" w:color="000000" w:sz="4" w:space="0"/>
              <w:bottom w:val="single" w:color="000000" w:sz="4" w:space="0"/>
              <w:right w:val="single" w:color="000000" w:sz="4" w:space="0"/>
            </w:tcBorders>
            <w:noWrap/>
            <w:vAlign w:val="center"/>
          </w:tcPr>
          <w:p w14:paraId="1800A014">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年度目标</w:t>
            </w:r>
          </w:p>
        </w:tc>
      </w:tr>
      <w:tr w14:paraId="2FE09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auto" w:sz="4" w:space="0"/>
              <w:right w:val="single" w:color="000000" w:sz="4" w:space="0"/>
            </w:tcBorders>
            <w:noWrap/>
            <w:vAlign w:val="center"/>
          </w:tcPr>
          <w:p w14:paraId="6E600204">
            <w:pPr>
              <w:rPr>
                <w:rFonts w:hint="default" w:ascii="Times New Roman" w:hAnsi="Times New Roman" w:cs="Times New Roman"/>
                <w:sz w:val="21"/>
                <w:szCs w:val="21"/>
              </w:rPr>
            </w:pPr>
          </w:p>
        </w:tc>
        <w:tc>
          <w:tcPr>
            <w:tcW w:w="10101" w:type="dxa"/>
            <w:gridSpan w:val="8"/>
            <w:tcBorders>
              <w:top w:val="single" w:color="000000" w:sz="4" w:space="0"/>
              <w:left w:val="single" w:color="000000" w:sz="4" w:space="0"/>
              <w:bottom w:val="single" w:color="000000" w:sz="4" w:space="0"/>
              <w:right w:val="single" w:color="000000" w:sz="4" w:space="0"/>
            </w:tcBorders>
            <w:noWrap/>
            <w:vAlign w:val="center"/>
          </w:tcPr>
          <w:p w14:paraId="50CD59A9">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sz w:val="21"/>
                <w:szCs w:val="21"/>
                <w:u w:val="none"/>
              </w:rPr>
              <w:t>为符合条件的逝者家庭减免四项基本殡葬服务费用，推进实现基本殡葬服务普惠性、均等化。</w:t>
            </w:r>
          </w:p>
        </w:tc>
      </w:tr>
      <w:tr w14:paraId="1519A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auto" w:sz="4" w:space="0"/>
              <w:left w:val="single" w:color="auto" w:sz="4" w:space="0"/>
              <w:bottom w:val="single" w:color="auto" w:sz="4" w:space="0"/>
              <w:right w:val="single" w:color="auto" w:sz="4" w:space="0"/>
            </w:tcBorders>
            <w:noWrap/>
            <w:vAlign w:val="center"/>
          </w:tcPr>
          <w:p w14:paraId="6F32EB5E">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绩效 指标</w:t>
            </w:r>
          </w:p>
        </w:tc>
        <w:tc>
          <w:tcPr>
            <w:tcW w:w="1081" w:type="dxa"/>
            <w:tcBorders>
              <w:top w:val="single" w:color="auto" w:sz="4" w:space="0"/>
              <w:left w:val="single" w:color="auto" w:sz="4" w:space="0"/>
              <w:bottom w:val="single" w:color="auto" w:sz="4" w:space="0"/>
              <w:right w:val="single" w:color="auto" w:sz="4" w:space="0"/>
            </w:tcBorders>
            <w:noWrap/>
            <w:vAlign w:val="center"/>
          </w:tcPr>
          <w:p w14:paraId="08592E0F">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一级指标</w:t>
            </w:r>
          </w:p>
        </w:tc>
        <w:tc>
          <w:tcPr>
            <w:tcW w:w="977" w:type="dxa"/>
            <w:tcBorders>
              <w:top w:val="single" w:color="auto" w:sz="4" w:space="0"/>
              <w:left w:val="single" w:color="auto" w:sz="4" w:space="0"/>
              <w:bottom w:val="single" w:color="auto" w:sz="4" w:space="0"/>
              <w:right w:val="single" w:color="auto" w:sz="4" w:space="0"/>
            </w:tcBorders>
            <w:noWrap/>
            <w:vAlign w:val="center"/>
          </w:tcPr>
          <w:p w14:paraId="5AC65701">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二级指标</w:t>
            </w:r>
          </w:p>
        </w:tc>
        <w:tc>
          <w:tcPr>
            <w:tcW w:w="2318" w:type="dxa"/>
            <w:tcBorders>
              <w:top w:val="single" w:color="auto" w:sz="4" w:space="0"/>
              <w:left w:val="single" w:color="auto" w:sz="4" w:space="0"/>
              <w:bottom w:val="single" w:color="auto" w:sz="4" w:space="0"/>
              <w:right w:val="single" w:color="auto" w:sz="4" w:space="0"/>
            </w:tcBorders>
            <w:noWrap/>
            <w:vAlign w:val="center"/>
          </w:tcPr>
          <w:p w14:paraId="722C54B2">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三级指标</w:t>
            </w:r>
          </w:p>
        </w:tc>
        <w:tc>
          <w:tcPr>
            <w:tcW w:w="1347" w:type="dxa"/>
            <w:tcBorders>
              <w:top w:val="single" w:color="000000" w:sz="4" w:space="0"/>
              <w:left w:val="single" w:color="auto" w:sz="4" w:space="0"/>
              <w:bottom w:val="single" w:color="000000" w:sz="4" w:space="0"/>
              <w:right w:val="single" w:color="000000" w:sz="4" w:space="0"/>
            </w:tcBorders>
            <w:noWrap/>
            <w:vAlign w:val="center"/>
          </w:tcPr>
          <w:p w14:paraId="2792E9DA">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指标性质</w:t>
            </w:r>
          </w:p>
        </w:tc>
        <w:tc>
          <w:tcPr>
            <w:tcW w:w="895" w:type="dxa"/>
            <w:tcBorders>
              <w:top w:val="single" w:color="000000" w:sz="4" w:space="0"/>
              <w:left w:val="single" w:color="000000" w:sz="4" w:space="0"/>
              <w:bottom w:val="single" w:color="000000" w:sz="4" w:space="0"/>
              <w:right w:val="single" w:color="000000" w:sz="4" w:space="0"/>
            </w:tcBorders>
            <w:noWrap/>
            <w:vAlign w:val="center"/>
          </w:tcPr>
          <w:p w14:paraId="1457ECB6">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指标值</w:t>
            </w:r>
          </w:p>
        </w:tc>
        <w:tc>
          <w:tcPr>
            <w:tcW w:w="1230" w:type="dxa"/>
            <w:tcBorders>
              <w:top w:val="single" w:color="000000" w:sz="4" w:space="0"/>
              <w:left w:val="single" w:color="000000" w:sz="4" w:space="0"/>
              <w:bottom w:val="single" w:color="000000" w:sz="4" w:space="0"/>
              <w:right w:val="single" w:color="000000" w:sz="4" w:space="0"/>
            </w:tcBorders>
            <w:noWrap/>
            <w:vAlign w:val="center"/>
          </w:tcPr>
          <w:p w14:paraId="3388B598">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度量单位</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1E782968">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权重</w:t>
            </w:r>
          </w:p>
        </w:tc>
        <w:tc>
          <w:tcPr>
            <w:tcW w:w="1573" w:type="dxa"/>
            <w:tcBorders>
              <w:top w:val="single" w:color="000000" w:sz="4" w:space="0"/>
              <w:left w:val="single" w:color="000000" w:sz="4" w:space="0"/>
              <w:bottom w:val="single" w:color="000000" w:sz="4" w:space="0"/>
              <w:right w:val="single" w:color="000000" w:sz="4" w:space="0"/>
            </w:tcBorders>
            <w:noWrap/>
            <w:vAlign w:val="center"/>
          </w:tcPr>
          <w:p w14:paraId="22B5B48C">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实际完成指标值</w:t>
            </w:r>
          </w:p>
        </w:tc>
      </w:tr>
      <w:tr w14:paraId="1B992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ign w:val="center"/>
          </w:tcPr>
          <w:p w14:paraId="61B7CEEC">
            <w:pPr>
              <w:rPr>
                <w:rFonts w:hint="default" w:ascii="Times New Roman" w:hAnsi="Times New Roman" w:cs="Times New Roman"/>
                <w:sz w:val="21"/>
                <w:szCs w:val="21"/>
              </w:rPr>
            </w:pPr>
          </w:p>
        </w:tc>
        <w:tc>
          <w:tcPr>
            <w:tcW w:w="1081" w:type="dxa"/>
            <w:vMerge w:val="restart"/>
            <w:tcBorders>
              <w:top w:val="single" w:color="auto" w:sz="4" w:space="0"/>
              <w:left w:val="single" w:color="auto" w:sz="4" w:space="0"/>
              <w:bottom w:val="single" w:color="auto" w:sz="4" w:space="0"/>
              <w:right w:val="single" w:color="auto" w:sz="4" w:space="0"/>
            </w:tcBorders>
            <w:noWrap/>
            <w:vAlign w:val="center"/>
          </w:tcPr>
          <w:p w14:paraId="56AA6289">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产出指标</w:t>
            </w:r>
          </w:p>
        </w:tc>
        <w:tc>
          <w:tcPr>
            <w:tcW w:w="977" w:type="dxa"/>
            <w:tcBorders>
              <w:top w:val="single" w:color="auto" w:sz="4" w:space="0"/>
              <w:left w:val="single" w:color="auto" w:sz="4" w:space="0"/>
              <w:bottom w:val="single" w:color="auto" w:sz="4" w:space="0"/>
              <w:right w:val="single" w:color="auto" w:sz="4" w:space="0"/>
            </w:tcBorders>
            <w:noWrap/>
            <w:vAlign w:val="center"/>
          </w:tcPr>
          <w:p w14:paraId="79698581">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数量指标</w:t>
            </w:r>
          </w:p>
        </w:tc>
        <w:tc>
          <w:tcPr>
            <w:tcW w:w="2318" w:type="dxa"/>
            <w:tcBorders>
              <w:top w:val="single" w:color="auto" w:sz="4" w:space="0"/>
              <w:left w:val="single" w:color="auto" w:sz="4" w:space="0"/>
              <w:bottom w:val="single" w:color="auto" w:sz="4" w:space="0"/>
              <w:right w:val="single" w:color="auto" w:sz="4" w:space="0"/>
            </w:tcBorders>
            <w:noWrap/>
            <w:vAlign w:val="center"/>
          </w:tcPr>
          <w:p w14:paraId="5E1BAAEE">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sz w:val="21"/>
                <w:szCs w:val="21"/>
                <w:u w:val="none"/>
              </w:rPr>
              <w:t>殡葬服务惠民人数</w:t>
            </w:r>
          </w:p>
        </w:tc>
        <w:tc>
          <w:tcPr>
            <w:tcW w:w="1347" w:type="dxa"/>
            <w:tcBorders>
              <w:top w:val="single" w:color="000000" w:sz="4" w:space="0"/>
              <w:left w:val="single" w:color="auto" w:sz="4" w:space="0"/>
              <w:bottom w:val="single" w:color="000000" w:sz="4" w:space="0"/>
              <w:right w:val="single" w:color="000000" w:sz="4" w:space="0"/>
            </w:tcBorders>
            <w:noWrap/>
            <w:vAlign w:val="center"/>
          </w:tcPr>
          <w:p w14:paraId="03AD285E">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w:t>
            </w:r>
          </w:p>
        </w:tc>
        <w:tc>
          <w:tcPr>
            <w:tcW w:w="895" w:type="dxa"/>
            <w:tcBorders>
              <w:top w:val="single" w:color="000000" w:sz="4" w:space="0"/>
              <w:left w:val="single" w:color="000000" w:sz="4" w:space="0"/>
              <w:bottom w:val="single" w:color="000000" w:sz="4" w:space="0"/>
              <w:right w:val="single" w:color="000000" w:sz="4" w:space="0"/>
            </w:tcBorders>
            <w:noWrap/>
            <w:vAlign w:val="center"/>
          </w:tcPr>
          <w:p w14:paraId="3002C508">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0.27</w:t>
            </w:r>
          </w:p>
        </w:tc>
        <w:tc>
          <w:tcPr>
            <w:tcW w:w="1230" w:type="dxa"/>
            <w:tcBorders>
              <w:top w:val="single" w:color="000000" w:sz="4" w:space="0"/>
              <w:left w:val="single" w:color="000000" w:sz="4" w:space="0"/>
              <w:bottom w:val="single" w:color="000000" w:sz="4" w:space="0"/>
              <w:right w:val="single" w:color="000000" w:sz="4" w:space="0"/>
            </w:tcBorders>
            <w:noWrap/>
            <w:vAlign w:val="center"/>
          </w:tcPr>
          <w:p w14:paraId="6C26E038">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lang w:eastAsia="zh-CN"/>
              </w:rPr>
            </w:pPr>
            <w:r>
              <w:rPr>
                <w:rFonts w:hint="default" w:ascii="Times New Roman" w:hAnsi="Times New Roman" w:eastAsia="方正仿宋_GBK" w:cs="Times New Roman"/>
                <w:i w:val="0"/>
                <w:color w:val="000000"/>
                <w:sz w:val="21"/>
                <w:szCs w:val="21"/>
                <w:u w:val="none"/>
                <w:lang w:val="en-US" w:eastAsia="zh-CN"/>
              </w:rPr>
              <w:t>万人</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77379C99">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lang w:val="en-US" w:eastAsia="zh-CN"/>
              </w:rPr>
            </w:pPr>
          </w:p>
        </w:tc>
        <w:tc>
          <w:tcPr>
            <w:tcW w:w="1573" w:type="dxa"/>
            <w:tcBorders>
              <w:top w:val="single" w:color="000000" w:sz="4" w:space="0"/>
              <w:left w:val="single" w:color="000000" w:sz="4" w:space="0"/>
              <w:bottom w:val="single" w:color="000000" w:sz="4" w:space="0"/>
              <w:right w:val="single" w:color="000000" w:sz="4" w:space="0"/>
            </w:tcBorders>
            <w:noWrap/>
            <w:vAlign w:val="center"/>
          </w:tcPr>
          <w:p w14:paraId="7927F8C0">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sz w:val="21"/>
                <w:szCs w:val="21"/>
                <w:u w:val="none"/>
              </w:rPr>
              <w:t>0.358万人</w:t>
            </w:r>
          </w:p>
        </w:tc>
      </w:tr>
      <w:tr w14:paraId="7DA9B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ign w:val="center"/>
          </w:tcPr>
          <w:p w14:paraId="62A9D15A">
            <w:pPr>
              <w:rPr>
                <w:rFonts w:hint="default" w:ascii="Times New Roman" w:hAnsi="Times New Roman" w:cs="Times New Roman"/>
                <w:sz w:val="21"/>
                <w:szCs w:val="21"/>
              </w:rPr>
            </w:pPr>
          </w:p>
        </w:tc>
        <w:tc>
          <w:tcPr>
            <w:tcW w:w="1081" w:type="dxa"/>
            <w:vMerge w:val="continue"/>
            <w:tcBorders>
              <w:top w:val="single" w:color="auto" w:sz="4" w:space="0"/>
              <w:left w:val="single" w:color="auto" w:sz="4" w:space="0"/>
              <w:bottom w:val="single" w:color="auto" w:sz="4" w:space="0"/>
              <w:right w:val="single" w:color="auto" w:sz="4" w:space="0"/>
            </w:tcBorders>
            <w:noWrap/>
            <w:vAlign w:val="center"/>
          </w:tcPr>
          <w:p w14:paraId="61F46EB2">
            <w:pPr>
              <w:rPr>
                <w:rFonts w:hint="default" w:ascii="Times New Roman" w:hAnsi="Times New Roman" w:cs="Times New Roman"/>
                <w:sz w:val="21"/>
                <w:szCs w:val="21"/>
              </w:rPr>
            </w:pPr>
          </w:p>
        </w:tc>
        <w:tc>
          <w:tcPr>
            <w:tcW w:w="977" w:type="dxa"/>
            <w:tcBorders>
              <w:top w:val="single" w:color="auto" w:sz="4" w:space="0"/>
              <w:left w:val="single" w:color="auto" w:sz="4" w:space="0"/>
              <w:bottom w:val="single" w:color="auto" w:sz="4" w:space="0"/>
              <w:right w:val="single" w:color="auto" w:sz="4" w:space="0"/>
            </w:tcBorders>
            <w:noWrap/>
            <w:vAlign w:val="center"/>
          </w:tcPr>
          <w:p w14:paraId="7D6670C6">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sz w:val="21"/>
                <w:szCs w:val="21"/>
                <w:u w:val="none"/>
              </w:rPr>
              <w:t>时效指标</w:t>
            </w:r>
          </w:p>
        </w:tc>
        <w:tc>
          <w:tcPr>
            <w:tcW w:w="2318" w:type="dxa"/>
            <w:tcBorders>
              <w:top w:val="single" w:color="auto" w:sz="4" w:space="0"/>
              <w:left w:val="single" w:color="auto" w:sz="4" w:space="0"/>
              <w:bottom w:val="single" w:color="auto" w:sz="4" w:space="0"/>
              <w:right w:val="single" w:color="auto" w:sz="4" w:space="0"/>
            </w:tcBorders>
            <w:noWrap/>
            <w:vAlign w:val="center"/>
          </w:tcPr>
          <w:p w14:paraId="1E3AF6B6">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sz w:val="21"/>
                <w:szCs w:val="21"/>
                <w:u w:val="none"/>
              </w:rPr>
              <w:t>经费拨付及时率</w:t>
            </w:r>
          </w:p>
        </w:tc>
        <w:tc>
          <w:tcPr>
            <w:tcW w:w="1347" w:type="dxa"/>
            <w:tcBorders>
              <w:top w:val="single" w:color="000000" w:sz="4" w:space="0"/>
              <w:left w:val="single" w:color="auto" w:sz="4" w:space="0"/>
              <w:bottom w:val="single" w:color="000000" w:sz="4" w:space="0"/>
              <w:right w:val="single" w:color="000000" w:sz="4" w:space="0"/>
            </w:tcBorders>
            <w:noWrap/>
            <w:vAlign w:val="center"/>
          </w:tcPr>
          <w:p w14:paraId="5B4859DC">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w:t>
            </w:r>
          </w:p>
        </w:tc>
        <w:tc>
          <w:tcPr>
            <w:tcW w:w="895" w:type="dxa"/>
            <w:tcBorders>
              <w:top w:val="single" w:color="000000" w:sz="4" w:space="0"/>
              <w:left w:val="single" w:color="000000" w:sz="4" w:space="0"/>
              <w:bottom w:val="single" w:color="000000" w:sz="4" w:space="0"/>
              <w:right w:val="single" w:color="000000" w:sz="4" w:space="0"/>
            </w:tcBorders>
            <w:noWrap/>
            <w:vAlign w:val="center"/>
          </w:tcPr>
          <w:p w14:paraId="3F8C4017">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90</w:t>
            </w:r>
          </w:p>
        </w:tc>
        <w:tc>
          <w:tcPr>
            <w:tcW w:w="1230" w:type="dxa"/>
            <w:tcBorders>
              <w:top w:val="single" w:color="000000" w:sz="4" w:space="0"/>
              <w:left w:val="single" w:color="000000" w:sz="4" w:space="0"/>
              <w:bottom w:val="single" w:color="000000" w:sz="4" w:space="0"/>
              <w:right w:val="single" w:color="000000" w:sz="4" w:space="0"/>
            </w:tcBorders>
            <w:noWrap/>
            <w:vAlign w:val="center"/>
          </w:tcPr>
          <w:p w14:paraId="3C9ED843">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sz w:val="21"/>
                <w:szCs w:val="21"/>
                <w:u w:val="none"/>
              </w:rPr>
              <w:t>%</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5039B054">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lang w:val="en-US" w:eastAsia="zh-CN"/>
              </w:rPr>
            </w:pPr>
          </w:p>
        </w:tc>
        <w:tc>
          <w:tcPr>
            <w:tcW w:w="1573" w:type="dxa"/>
            <w:tcBorders>
              <w:top w:val="single" w:color="000000" w:sz="4" w:space="0"/>
              <w:left w:val="single" w:color="000000" w:sz="4" w:space="0"/>
              <w:bottom w:val="single" w:color="000000" w:sz="4" w:space="0"/>
              <w:right w:val="single" w:color="000000" w:sz="4" w:space="0"/>
            </w:tcBorders>
            <w:noWrap/>
            <w:vAlign w:val="center"/>
          </w:tcPr>
          <w:p w14:paraId="4D402471">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sz w:val="21"/>
                <w:szCs w:val="21"/>
                <w:u w:val="none"/>
              </w:rPr>
              <w:t>100%</w:t>
            </w:r>
          </w:p>
        </w:tc>
      </w:tr>
      <w:tr w14:paraId="67800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ign w:val="center"/>
          </w:tcPr>
          <w:p w14:paraId="2EC888B3">
            <w:pPr>
              <w:rPr>
                <w:rFonts w:hint="default" w:ascii="Times New Roman" w:hAnsi="Times New Roman" w:cs="Times New Roman"/>
                <w:sz w:val="21"/>
                <w:szCs w:val="21"/>
              </w:rPr>
            </w:pPr>
          </w:p>
        </w:tc>
        <w:tc>
          <w:tcPr>
            <w:tcW w:w="1081" w:type="dxa"/>
            <w:tcBorders>
              <w:top w:val="single" w:color="auto" w:sz="4" w:space="0"/>
              <w:left w:val="single" w:color="auto" w:sz="4" w:space="0"/>
              <w:bottom w:val="single" w:color="auto" w:sz="4" w:space="0"/>
              <w:right w:val="single" w:color="auto" w:sz="4" w:space="0"/>
            </w:tcBorders>
            <w:noWrap/>
            <w:vAlign w:val="center"/>
          </w:tcPr>
          <w:p w14:paraId="005A23F9">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效益指标</w:t>
            </w:r>
          </w:p>
        </w:tc>
        <w:tc>
          <w:tcPr>
            <w:tcW w:w="977" w:type="dxa"/>
            <w:tcBorders>
              <w:top w:val="single" w:color="auto" w:sz="4" w:space="0"/>
              <w:left w:val="single" w:color="auto" w:sz="4" w:space="0"/>
              <w:bottom w:val="single" w:color="auto" w:sz="4" w:space="0"/>
              <w:right w:val="single" w:color="auto" w:sz="4" w:space="0"/>
            </w:tcBorders>
            <w:noWrap/>
            <w:vAlign w:val="center"/>
          </w:tcPr>
          <w:p w14:paraId="52878D4D">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社会效益指标</w:t>
            </w:r>
          </w:p>
        </w:tc>
        <w:tc>
          <w:tcPr>
            <w:tcW w:w="2318" w:type="dxa"/>
            <w:tcBorders>
              <w:top w:val="single" w:color="auto" w:sz="4" w:space="0"/>
              <w:left w:val="single" w:color="auto" w:sz="4" w:space="0"/>
              <w:bottom w:val="single" w:color="auto" w:sz="4" w:space="0"/>
              <w:right w:val="single" w:color="auto" w:sz="4" w:space="0"/>
            </w:tcBorders>
            <w:noWrap/>
            <w:vAlign w:val="center"/>
          </w:tcPr>
          <w:p w14:paraId="187A77E6">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sz w:val="21"/>
                <w:szCs w:val="21"/>
                <w:u w:val="none"/>
              </w:rPr>
              <w:t>符合条件的受助对象幸福感</w:t>
            </w:r>
          </w:p>
        </w:tc>
        <w:tc>
          <w:tcPr>
            <w:tcW w:w="1347" w:type="dxa"/>
            <w:tcBorders>
              <w:top w:val="single" w:color="000000" w:sz="4" w:space="0"/>
              <w:left w:val="single" w:color="auto" w:sz="4" w:space="0"/>
              <w:bottom w:val="single" w:color="000000" w:sz="4" w:space="0"/>
              <w:right w:val="single" w:color="000000" w:sz="4" w:space="0"/>
            </w:tcBorders>
            <w:noWrap/>
            <w:vAlign w:val="center"/>
          </w:tcPr>
          <w:p w14:paraId="4DFB6081">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sz w:val="21"/>
                <w:szCs w:val="21"/>
                <w:u w:val="none"/>
              </w:rPr>
              <w:t>定性</w:t>
            </w:r>
          </w:p>
        </w:tc>
        <w:tc>
          <w:tcPr>
            <w:tcW w:w="895" w:type="dxa"/>
            <w:tcBorders>
              <w:top w:val="single" w:color="000000" w:sz="4" w:space="0"/>
              <w:left w:val="single" w:color="000000" w:sz="4" w:space="0"/>
              <w:bottom w:val="single" w:color="000000" w:sz="4" w:space="0"/>
              <w:right w:val="single" w:color="000000" w:sz="4" w:space="0"/>
            </w:tcBorders>
            <w:noWrap/>
            <w:vAlign w:val="center"/>
          </w:tcPr>
          <w:p w14:paraId="17DF1C18">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sz w:val="21"/>
                <w:szCs w:val="21"/>
                <w:u w:val="none"/>
              </w:rPr>
              <w:t>显著提升</w:t>
            </w:r>
          </w:p>
        </w:tc>
        <w:tc>
          <w:tcPr>
            <w:tcW w:w="1230" w:type="dxa"/>
            <w:tcBorders>
              <w:top w:val="single" w:color="000000" w:sz="4" w:space="0"/>
              <w:left w:val="single" w:color="000000" w:sz="4" w:space="0"/>
              <w:bottom w:val="single" w:color="000000" w:sz="4" w:space="0"/>
              <w:right w:val="single" w:color="000000" w:sz="4" w:space="0"/>
            </w:tcBorders>
            <w:noWrap/>
            <w:vAlign w:val="center"/>
          </w:tcPr>
          <w:p w14:paraId="481D0BB8">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sz w:val="21"/>
                <w:szCs w:val="21"/>
                <w:u w:val="none"/>
              </w:rPr>
              <w:t>等级（显著/一般/无）</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3289D5D7">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lang w:val="en-US" w:eastAsia="zh-CN"/>
              </w:rPr>
            </w:pPr>
          </w:p>
        </w:tc>
        <w:tc>
          <w:tcPr>
            <w:tcW w:w="1573" w:type="dxa"/>
            <w:tcBorders>
              <w:top w:val="single" w:color="000000" w:sz="4" w:space="0"/>
              <w:left w:val="single" w:color="000000" w:sz="4" w:space="0"/>
              <w:bottom w:val="single" w:color="000000" w:sz="4" w:space="0"/>
              <w:right w:val="single" w:color="000000" w:sz="4" w:space="0"/>
            </w:tcBorders>
            <w:noWrap/>
            <w:vAlign w:val="center"/>
          </w:tcPr>
          <w:p w14:paraId="489CD0D9">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sz w:val="21"/>
                <w:szCs w:val="21"/>
                <w:u w:val="none"/>
              </w:rPr>
              <w:t>显著提升</w:t>
            </w:r>
          </w:p>
        </w:tc>
      </w:tr>
      <w:tr w14:paraId="4264C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ign w:val="center"/>
          </w:tcPr>
          <w:p w14:paraId="685D40FF">
            <w:pPr>
              <w:rPr>
                <w:rFonts w:hint="default" w:ascii="Times New Roman" w:hAnsi="Times New Roman" w:cs="Times New Roman"/>
                <w:sz w:val="21"/>
                <w:szCs w:val="21"/>
              </w:rPr>
            </w:pPr>
          </w:p>
        </w:tc>
        <w:tc>
          <w:tcPr>
            <w:tcW w:w="1081" w:type="dxa"/>
            <w:tcBorders>
              <w:top w:val="single" w:color="auto" w:sz="4" w:space="0"/>
              <w:left w:val="single" w:color="auto" w:sz="4" w:space="0"/>
              <w:bottom w:val="single" w:color="auto" w:sz="4" w:space="0"/>
              <w:right w:val="single" w:color="auto" w:sz="4" w:space="0"/>
            </w:tcBorders>
            <w:noWrap/>
            <w:vAlign w:val="center"/>
          </w:tcPr>
          <w:p w14:paraId="26EE59DB">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满意度</w:t>
            </w:r>
          </w:p>
          <w:p w14:paraId="7E33EEC8">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指标</w:t>
            </w:r>
          </w:p>
        </w:tc>
        <w:tc>
          <w:tcPr>
            <w:tcW w:w="977" w:type="dxa"/>
            <w:tcBorders>
              <w:top w:val="single" w:color="auto" w:sz="4" w:space="0"/>
              <w:left w:val="single" w:color="auto" w:sz="4" w:space="0"/>
              <w:bottom w:val="single" w:color="auto" w:sz="4" w:space="0"/>
              <w:right w:val="single" w:color="auto" w:sz="4" w:space="0"/>
            </w:tcBorders>
            <w:noWrap/>
            <w:vAlign w:val="center"/>
          </w:tcPr>
          <w:p w14:paraId="363A61D5">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rPr>
              <w:t>服务对象满意度指标</w:t>
            </w:r>
          </w:p>
        </w:tc>
        <w:tc>
          <w:tcPr>
            <w:tcW w:w="2318" w:type="dxa"/>
            <w:tcBorders>
              <w:top w:val="single" w:color="auto" w:sz="4" w:space="0"/>
              <w:left w:val="single" w:color="auto" w:sz="4" w:space="0"/>
              <w:bottom w:val="single" w:color="auto" w:sz="4" w:space="0"/>
              <w:right w:val="single" w:color="auto" w:sz="4" w:space="0"/>
            </w:tcBorders>
            <w:noWrap/>
            <w:vAlign w:val="center"/>
          </w:tcPr>
          <w:p w14:paraId="52194DAC">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sz w:val="21"/>
                <w:szCs w:val="21"/>
                <w:u w:val="none"/>
              </w:rPr>
              <w:t>享受殡葬补贴家属满意度</w:t>
            </w:r>
          </w:p>
        </w:tc>
        <w:tc>
          <w:tcPr>
            <w:tcW w:w="1347" w:type="dxa"/>
            <w:tcBorders>
              <w:top w:val="single" w:color="000000" w:sz="4" w:space="0"/>
              <w:left w:val="single" w:color="auto" w:sz="4" w:space="0"/>
              <w:bottom w:val="single" w:color="000000" w:sz="4" w:space="0"/>
              <w:right w:val="single" w:color="000000" w:sz="4" w:space="0"/>
            </w:tcBorders>
            <w:noWrap/>
            <w:vAlign w:val="center"/>
          </w:tcPr>
          <w:p w14:paraId="7D719407">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w:t>
            </w:r>
          </w:p>
        </w:tc>
        <w:tc>
          <w:tcPr>
            <w:tcW w:w="895" w:type="dxa"/>
            <w:tcBorders>
              <w:top w:val="single" w:color="000000" w:sz="4" w:space="0"/>
              <w:left w:val="single" w:color="000000" w:sz="4" w:space="0"/>
              <w:bottom w:val="single" w:color="000000" w:sz="4" w:space="0"/>
              <w:right w:val="single" w:color="000000" w:sz="4" w:space="0"/>
            </w:tcBorders>
            <w:noWrap/>
            <w:vAlign w:val="center"/>
          </w:tcPr>
          <w:p w14:paraId="6F5B8086">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sz w:val="21"/>
                <w:szCs w:val="21"/>
                <w:u w:val="none"/>
              </w:rPr>
              <w:t>90</w:t>
            </w:r>
          </w:p>
        </w:tc>
        <w:tc>
          <w:tcPr>
            <w:tcW w:w="1230" w:type="dxa"/>
            <w:tcBorders>
              <w:top w:val="single" w:color="000000" w:sz="4" w:space="0"/>
              <w:left w:val="single" w:color="000000" w:sz="4" w:space="0"/>
              <w:bottom w:val="single" w:color="000000" w:sz="4" w:space="0"/>
              <w:right w:val="single" w:color="000000" w:sz="4" w:space="0"/>
            </w:tcBorders>
            <w:noWrap/>
            <w:vAlign w:val="center"/>
          </w:tcPr>
          <w:p w14:paraId="103455E0">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0E0C36BF">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lang w:val="en-US" w:eastAsia="zh-CN"/>
              </w:rPr>
            </w:pPr>
          </w:p>
        </w:tc>
        <w:tc>
          <w:tcPr>
            <w:tcW w:w="1573" w:type="dxa"/>
            <w:tcBorders>
              <w:top w:val="single" w:color="000000" w:sz="4" w:space="0"/>
              <w:left w:val="single" w:color="000000" w:sz="4" w:space="0"/>
              <w:bottom w:val="single" w:color="000000" w:sz="4" w:space="0"/>
              <w:right w:val="single" w:color="000000" w:sz="4" w:space="0"/>
            </w:tcBorders>
            <w:noWrap/>
            <w:vAlign w:val="center"/>
          </w:tcPr>
          <w:p w14:paraId="2441132D">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sz w:val="21"/>
                <w:szCs w:val="21"/>
                <w:u w:val="none"/>
              </w:rPr>
              <w:t>100%</w:t>
            </w:r>
          </w:p>
        </w:tc>
      </w:tr>
    </w:tbl>
    <w:p w14:paraId="583B69AA">
      <w:pPr>
        <w:pStyle w:val="7"/>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方正仿宋_GBK" w:cs="Times New Roman"/>
          <w:sz w:val="24"/>
          <w:szCs w:val="24"/>
          <w:highlight w:val="none"/>
          <w:lang w:val="en-US" w:eastAsia="zh-CN"/>
        </w:rPr>
      </w:pPr>
    </w:p>
    <w:p w14:paraId="604C6A66">
      <w:pPr>
        <w:keepNext w:val="0"/>
        <w:keepLines w:val="0"/>
        <w:pageBreakBefore w:val="0"/>
        <w:widowControl w:val="0"/>
        <w:kinsoku/>
        <w:wordWrap/>
        <w:overflowPunct/>
        <w:topLinePunct w:val="0"/>
        <w:autoSpaceDE/>
        <w:autoSpaceDN/>
        <w:bidi w:val="0"/>
        <w:adjustRightInd/>
        <w:snapToGrid w:val="0"/>
        <w:spacing w:line="440" w:lineRule="exact"/>
        <w:textAlignment w:val="auto"/>
        <w:outlineLvl w:val="9"/>
        <w:rPr>
          <w:rFonts w:hint="default" w:ascii="Times New Roman" w:hAnsi="Times New Roman" w:eastAsia="黑体" w:cs="Times New Roman"/>
          <w:color w:val="auto"/>
          <w:kern w:val="0"/>
          <w:sz w:val="32"/>
          <w:szCs w:val="32"/>
          <w:highlight w:val="none"/>
          <w:u w:val="none"/>
          <w:shd w:val="clear" w:color="auto" w:fill="FFFFFF"/>
          <w:lang w:val="zh-CN" w:eastAsia="zh-CN" w:bidi="ar-SA"/>
        </w:rPr>
      </w:pPr>
    </w:p>
    <w:p w14:paraId="336F14B2">
      <w:pPr>
        <w:rPr>
          <w:rFonts w:hint="default" w:ascii="Times New Roman" w:hAnsi="Times New Roman" w:eastAsia="黑体" w:cs="Times New Roman"/>
          <w:color w:val="auto"/>
          <w:kern w:val="0"/>
          <w:sz w:val="32"/>
          <w:szCs w:val="32"/>
          <w:highlight w:val="none"/>
          <w:u w:val="none"/>
          <w:shd w:val="clear" w:color="auto" w:fill="FFFFFF"/>
          <w:lang w:val="zh-CN" w:eastAsia="zh-CN" w:bidi="ar-SA"/>
        </w:rPr>
      </w:pPr>
      <w:r>
        <w:rPr>
          <w:rFonts w:hint="default" w:ascii="Times New Roman" w:hAnsi="Times New Roman" w:eastAsia="黑体" w:cs="Times New Roman"/>
          <w:color w:val="auto"/>
          <w:kern w:val="0"/>
          <w:sz w:val="32"/>
          <w:szCs w:val="32"/>
          <w:highlight w:val="none"/>
          <w:u w:val="none"/>
          <w:shd w:val="clear" w:color="auto" w:fill="FFFFFF"/>
          <w:lang w:val="zh-CN" w:eastAsia="zh-CN" w:bidi="ar-SA"/>
        </w:rPr>
        <w:br w:type="page"/>
      </w:r>
    </w:p>
    <w:p w14:paraId="70D0DBC7">
      <w:pPr>
        <w:keepNext w:val="0"/>
        <w:keepLines w:val="0"/>
        <w:pageBreakBefore w:val="0"/>
        <w:widowControl w:val="0"/>
        <w:kinsoku/>
        <w:wordWrap/>
        <w:overflowPunct/>
        <w:topLinePunct w:val="0"/>
        <w:autoSpaceDE/>
        <w:autoSpaceDN/>
        <w:bidi w:val="0"/>
        <w:adjustRightInd/>
        <w:snapToGrid w:val="0"/>
        <w:spacing w:line="440" w:lineRule="exact"/>
        <w:textAlignment w:val="auto"/>
        <w:outlineLvl w:val="9"/>
        <w:rPr>
          <w:rFonts w:hint="default" w:ascii="Times New Roman" w:hAnsi="Times New Roman" w:eastAsia="黑体" w:cs="Times New Roman"/>
          <w:color w:val="auto"/>
          <w:kern w:val="0"/>
          <w:sz w:val="32"/>
          <w:szCs w:val="32"/>
          <w:highlight w:val="none"/>
          <w:u w:val="none"/>
          <w:shd w:val="clear" w:color="auto" w:fill="FFFFFF"/>
          <w:lang w:val="en-US" w:eastAsia="zh-CN" w:bidi="ar-SA"/>
        </w:rPr>
      </w:pPr>
      <w:r>
        <w:rPr>
          <w:rFonts w:hint="default" w:ascii="Times New Roman" w:hAnsi="Times New Roman" w:eastAsia="黑体" w:cs="Times New Roman"/>
          <w:color w:val="auto"/>
          <w:kern w:val="0"/>
          <w:sz w:val="32"/>
          <w:szCs w:val="32"/>
          <w:highlight w:val="none"/>
          <w:u w:val="none"/>
          <w:shd w:val="clear" w:color="auto" w:fill="FFFFFF"/>
          <w:lang w:val="zh-CN" w:eastAsia="zh-CN" w:bidi="ar-SA"/>
        </w:rPr>
        <w:t>附表</w:t>
      </w:r>
      <w:r>
        <w:rPr>
          <w:rFonts w:hint="default" w:ascii="Times New Roman" w:hAnsi="Times New Roman" w:eastAsia="黑体" w:cs="Times New Roman"/>
          <w:color w:val="auto"/>
          <w:kern w:val="0"/>
          <w:sz w:val="32"/>
          <w:szCs w:val="32"/>
          <w:highlight w:val="none"/>
          <w:u w:val="none"/>
          <w:shd w:val="clear" w:color="auto" w:fill="FFFFFF"/>
          <w:lang w:val="en-US" w:eastAsia="zh-CN" w:bidi="ar-SA"/>
        </w:rPr>
        <w:t>3-3</w:t>
      </w:r>
    </w:p>
    <w:tbl>
      <w:tblPr>
        <w:tblStyle w:val="17"/>
        <w:tblW w:w="10233" w:type="dxa"/>
        <w:jc w:val="center"/>
        <w:tblLayout w:type="fixed"/>
        <w:tblCellMar>
          <w:top w:w="15" w:type="dxa"/>
          <w:left w:w="15" w:type="dxa"/>
          <w:bottom w:w="15" w:type="dxa"/>
          <w:right w:w="15" w:type="dxa"/>
        </w:tblCellMar>
      </w:tblPr>
      <w:tblGrid>
        <w:gridCol w:w="652"/>
        <w:gridCol w:w="1081"/>
        <w:gridCol w:w="1250"/>
        <w:gridCol w:w="1560"/>
        <w:gridCol w:w="1065"/>
        <w:gridCol w:w="1065"/>
        <w:gridCol w:w="1005"/>
        <w:gridCol w:w="714"/>
        <w:gridCol w:w="1841"/>
      </w:tblGrid>
      <w:tr w14:paraId="117A2AC5">
        <w:tblPrEx>
          <w:tblCellMar>
            <w:top w:w="15" w:type="dxa"/>
            <w:left w:w="15" w:type="dxa"/>
            <w:bottom w:w="15" w:type="dxa"/>
            <w:right w:w="15" w:type="dxa"/>
          </w:tblCellMar>
        </w:tblPrEx>
        <w:trPr>
          <w:trHeight w:val="576" w:hRule="atLeast"/>
          <w:jc w:val="center"/>
        </w:trPr>
        <w:tc>
          <w:tcPr>
            <w:tcW w:w="10233" w:type="dxa"/>
            <w:gridSpan w:val="9"/>
            <w:tcBorders>
              <w:top w:val="nil"/>
              <w:left w:val="nil"/>
              <w:bottom w:val="nil"/>
              <w:right w:val="nil"/>
            </w:tcBorders>
            <w:noWrap w:val="0"/>
            <w:vAlign w:val="center"/>
          </w:tcPr>
          <w:p w14:paraId="6F6AD8CA">
            <w:pPr>
              <w:keepNext w:val="0"/>
              <w:keepLines w:val="0"/>
              <w:pageBreakBefore w:val="0"/>
              <w:widowControl/>
              <w:suppressLineNumbers w:val="0"/>
              <w:kinsoku/>
              <w:wordWrap/>
              <w:overflowPunct/>
              <w:topLinePunct w:val="0"/>
              <w:autoSpaceDE/>
              <w:autoSpaceDN/>
              <w:bidi w:val="0"/>
              <w:adjustRightInd w:val="0"/>
              <w:snapToGrid w:val="0"/>
              <w:spacing w:line="440" w:lineRule="exact"/>
              <w:ind w:left="0"/>
              <w:jc w:val="center"/>
              <w:textAlignment w:val="center"/>
              <w:rPr>
                <w:rFonts w:hint="default" w:ascii="Times New Roman" w:hAnsi="Times New Roman" w:eastAsia="黑体" w:cs="Times New Roman"/>
                <w:color w:val="000000"/>
                <w:sz w:val="30"/>
                <w:szCs w:val="30"/>
                <w:highlight w:val="none"/>
                <w:u w:val="none"/>
                <w:lang w:bidi="ar-SA"/>
              </w:rPr>
            </w:pPr>
            <w:r>
              <w:rPr>
                <w:rFonts w:hint="default" w:ascii="Times New Roman" w:hAnsi="Times New Roman" w:eastAsia="方正小标宋简体" w:cs="Times New Roman"/>
                <w:color w:val="000000"/>
                <w:kern w:val="0"/>
                <w:sz w:val="40"/>
                <w:szCs w:val="40"/>
                <w:highlight w:val="none"/>
                <w:u w:val="none"/>
                <w:lang w:val="en-US" w:eastAsia="zh-CN" w:bidi="ar"/>
              </w:rPr>
              <w:t>专项预算项目绩效目标完成情况自评表</w:t>
            </w:r>
          </w:p>
        </w:tc>
      </w:tr>
      <w:tr w14:paraId="63EE4561">
        <w:tblPrEx>
          <w:tblCellMar>
            <w:top w:w="15" w:type="dxa"/>
            <w:left w:w="15" w:type="dxa"/>
            <w:bottom w:w="15" w:type="dxa"/>
            <w:right w:w="15" w:type="dxa"/>
          </w:tblCellMar>
        </w:tblPrEx>
        <w:trPr>
          <w:trHeight w:val="23" w:hRule="atLeast"/>
          <w:jc w:val="center"/>
        </w:trPr>
        <w:tc>
          <w:tcPr>
            <w:tcW w:w="4543" w:type="dxa"/>
            <w:gridSpan w:val="4"/>
            <w:tcBorders>
              <w:top w:val="single" w:color="000000" w:sz="4" w:space="0"/>
              <w:left w:val="single" w:color="000000" w:sz="4" w:space="0"/>
              <w:bottom w:val="single" w:color="000000" w:sz="4" w:space="0"/>
              <w:right w:val="single" w:color="000000" w:sz="4" w:space="0"/>
            </w:tcBorders>
            <w:noWrap w:val="0"/>
            <w:vAlign w:val="center"/>
          </w:tcPr>
          <w:p w14:paraId="61480FC7">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项目名称</w:t>
            </w:r>
          </w:p>
        </w:tc>
        <w:tc>
          <w:tcPr>
            <w:tcW w:w="5690" w:type="dxa"/>
            <w:gridSpan w:val="5"/>
            <w:tcBorders>
              <w:top w:val="single" w:color="000000" w:sz="4" w:space="0"/>
              <w:left w:val="single" w:color="000000" w:sz="4" w:space="0"/>
              <w:bottom w:val="single" w:color="000000" w:sz="4" w:space="0"/>
              <w:right w:val="single" w:color="000000" w:sz="4" w:space="0"/>
            </w:tcBorders>
            <w:noWrap w:val="0"/>
            <w:vAlign w:val="center"/>
          </w:tcPr>
          <w:p w14:paraId="4F4DF70E">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襄渝铁路西段伤残民兵民工及遗属生活补助</w:t>
            </w:r>
          </w:p>
        </w:tc>
      </w:tr>
      <w:tr w14:paraId="475017B5">
        <w:tblPrEx>
          <w:tblCellMar>
            <w:top w:w="15" w:type="dxa"/>
            <w:left w:w="15" w:type="dxa"/>
            <w:bottom w:w="15" w:type="dxa"/>
            <w:right w:w="15" w:type="dxa"/>
          </w:tblCellMar>
        </w:tblPrEx>
        <w:trPr>
          <w:trHeight w:val="347" w:hRule="atLeast"/>
          <w:jc w:val="center"/>
        </w:trPr>
        <w:tc>
          <w:tcPr>
            <w:tcW w:w="4543" w:type="dxa"/>
            <w:gridSpan w:val="4"/>
            <w:tcBorders>
              <w:top w:val="single" w:color="000000" w:sz="4" w:space="0"/>
              <w:left w:val="single" w:color="000000" w:sz="4" w:space="0"/>
              <w:bottom w:val="single" w:color="000000" w:sz="4" w:space="0"/>
              <w:right w:val="single" w:color="000000" w:sz="4" w:space="0"/>
            </w:tcBorders>
            <w:noWrap w:val="0"/>
            <w:vAlign w:val="center"/>
          </w:tcPr>
          <w:p w14:paraId="3310205C">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预算单位</w:t>
            </w:r>
          </w:p>
        </w:tc>
        <w:tc>
          <w:tcPr>
            <w:tcW w:w="5690" w:type="dxa"/>
            <w:gridSpan w:val="5"/>
            <w:tcBorders>
              <w:top w:val="single" w:color="000000" w:sz="4" w:space="0"/>
              <w:left w:val="single" w:color="000000" w:sz="4" w:space="0"/>
              <w:bottom w:val="single" w:color="000000" w:sz="4" w:space="0"/>
              <w:right w:val="single" w:color="000000" w:sz="4" w:space="0"/>
            </w:tcBorders>
            <w:noWrap w:val="0"/>
            <w:vAlign w:val="center"/>
          </w:tcPr>
          <w:p w14:paraId="6E85AD81">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攀枝花市民政局</w:t>
            </w:r>
          </w:p>
        </w:tc>
      </w:tr>
      <w:tr w14:paraId="4DFB784B">
        <w:tblPrEx>
          <w:tblCellMar>
            <w:top w:w="15" w:type="dxa"/>
            <w:left w:w="15" w:type="dxa"/>
            <w:bottom w:w="15" w:type="dxa"/>
            <w:right w:w="15" w:type="dxa"/>
          </w:tblCellMar>
        </w:tblPrEx>
        <w:trPr>
          <w:trHeight w:val="23" w:hRule="atLeast"/>
          <w:jc w:val="center"/>
        </w:trPr>
        <w:tc>
          <w:tcPr>
            <w:tcW w:w="4543" w:type="dxa"/>
            <w:gridSpan w:val="4"/>
            <w:tcBorders>
              <w:top w:val="single" w:color="000000" w:sz="4" w:space="0"/>
              <w:left w:val="single" w:color="000000" w:sz="4" w:space="0"/>
              <w:bottom w:val="single" w:color="000000" w:sz="4" w:space="0"/>
              <w:right w:val="single" w:color="000000" w:sz="4" w:space="0"/>
            </w:tcBorders>
            <w:noWrap w:val="0"/>
            <w:vAlign w:val="center"/>
          </w:tcPr>
          <w:p w14:paraId="7074CABE">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项目类型</w:t>
            </w:r>
          </w:p>
        </w:tc>
        <w:tc>
          <w:tcPr>
            <w:tcW w:w="5690" w:type="dxa"/>
            <w:gridSpan w:val="5"/>
            <w:tcBorders>
              <w:top w:val="single" w:color="000000" w:sz="4" w:space="0"/>
              <w:left w:val="single" w:color="000000" w:sz="4" w:space="0"/>
              <w:bottom w:val="single" w:color="000000" w:sz="4" w:space="0"/>
              <w:right w:val="single" w:color="000000" w:sz="4" w:space="0"/>
            </w:tcBorders>
            <w:noWrap w:val="0"/>
            <w:vAlign w:val="center"/>
          </w:tcPr>
          <w:p w14:paraId="19D45E48">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省级财政社会救助救济补助资金（民生保障类）</w:t>
            </w:r>
          </w:p>
        </w:tc>
      </w:tr>
      <w:tr w14:paraId="29F22180">
        <w:tblPrEx>
          <w:tblCellMar>
            <w:top w:w="15" w:type="dxa"/>
            <w:left w:w="15" w:type="dxa"/>
            <w:bottom w:w="15" w:type="dxa"/>
            <w:right w:w="15" w:type="dxa"/>
          </w:tblCellMar>
        </w:tblPrEx>
        <w:trPr>
          <w:trHeight w:val="457"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ADFA9B1">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项目 概况</w:t>
            </w:r>
          </w:p>
        </w:tc>
        <w:tc>
          <w:tcPr>
            <w:tcW w:w="3891" w:type="dxa"/>
            <w:gridSpan w:val="3"/>
            <w:tcBorders>
              <w:top w:val="single" w:color="000000" w:sz="4" w:space="0"/>
              <w:left w:val="single" w:color="000000" w:sz="4" w:space="0"/>
              <w:bottom w:val="single" w:color="000000" w:sz="4" w:space="0"/>
              <w:right w:val="single" w:color="000000" w:sz="4" w:space="0"/>
            </w:tcBorders>
            <w:noWrap w:val="0"/>
            <w:vAlign w:val="center"/>
          </w:tcPr>
          <w:p w14:paraId="0FE7947D">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中长期规划（名称、文号，仅指</w:t>
            </w:r>
          </w:p>
          <w:p w14:paraId="07B0D726">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常年项目）</w:t>
            </w:r>
          </w:p>
        </w:tc>
        <w:tc>
          <w:tcPr>
            <w:tcW w:w="5690" w:type="dxa"/>
            <w:gridSpan w:val="5"/>
            <w:tcBorders>
              <w:top w:val="single" w:color="000000" w:sz="4" w:space="0"/>
              <w:left w:val="single" w:color="000000" w:sz="4" w:space="0"/>
              <w:bottom w:val="single" w:color="000000" w:sz="4" w:space="0"/>
              <w:right w:val="single" w:color="000000" w:sz="4" w:space="0"/>
            </w:tcBorders>
            <w:noWrap w:val="0"/>
            <w:vAlign w:val="center"/>
          </w:tcPr>
          <w:p w14:paraId="7D12194E">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r>
      <w:tr w14:paraId="1BB02D27">
        <w:tblPrEx>
          <w:tblCellMar>
            <w:top w:w="15" w:type="dxa"/>
            <w:left w:w="15" w:type="dxa"/>
            <w:bottom w:w="15" w:type="dxa"/>
            <w:right w:w="15" w:type="dxa"/>
          </w:tblCellMar>
        </w:tblPrEx>
        <w:trPr>
          <w:trHeight w:val="71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893D3F">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3891" w:type="dxa"/>
            <w:gridSpan w:val="3"/>
            <w:tcBorders>
              <w:top w:val="single" w:color="000000" w:sz="4" w:space="0"/>
              <w:left w:val="single" w:color="000000" w:sz="4" w:space="0"/>
              <w:bottom w:val="single" w:color="000000" w:sz="4" w:space="0"/>
              <w:right w:val="single" w:color="000000" w:sz="4" w:space="0"/>
            </w:tcBorders>
            <w:noWrap w:val="0"/>
            <w:vAlign w:val="center"/>
          </w:tcPr>
          <w:p w14:paraId="60A3DD09">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资金管理办法（名称、文号）</w:t>
            </w:r>
          </w:p>
        </w:tc>
        <w:tc>
          <w:tcPr>
            <w:tcW w:w="5690" w:type="dxa"/>
            <w:gridSpan w:val="5"/>
            <w:tcBorders>
              <w:top w:val="single" w:color="000000" w:sz="4" w:space="0"/>
              <w:left w:val="single" w:color="000000" w:sz="4" w:space="0"/>
              <w:bottom w:val="single" w:color="000000" w:sz="4" w:space="0"/>
              <w:right w:val="single" w:color="000000" w:sz="4" w:space="0"/>
            </w:tcBorders>
            <w:noWrap w:val="0"/>
            <w:vAlign w:val="center"/>
          </w:tcPr>
          <w:p w14:paraId="6408E885">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《四川省财政厅 四川省民政厅关于印发省级财政社会救助救济补助资金管理办法的通知》（川财社〔2024〕130号）</w:t>
            </w:r>
          </w:p>
        </w:tc>
      </w:tr>
      <w:tr w14:paraId="1CEB53AB">
        <w:tblPrEx>
          <w:tblCellMar>
            <w:top w:w="15" w:type="dxa"/>
            <w:left w:w="15" w:type="dxa"/>
            <w:bottom w:w="15" w:type="dxa"/>
            <w:right w:w="15" w:type="dxa"/>
          </w:tblCellMar>
        </w:tblPrEx>
        <w:trPr>
          <w:trHeight w:val="28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8FB752">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3891" w:type="dxa"/>
            <w:gridSpan w:val="3"/>
            <w:tcBorders>
              <w:top w:val="single" w:color="000000" w:sz="4" w:space="0"/>
              <w:left w:val="single" w:color="000000" w:sz="4" w:space="0"/>
              <w:bottom w:val="single" w:color="000000" w:sz="4" w:space="0"/>
              <w:right w:val="single" w:color="000000" w:sz="4" w:space="0"/>
            </w:tcBorders>
            <w:noWrap w:val="0"/>
            <w:vAlign w:val="center"/>
          </w:tcPr>
          <w:p w14:paraId="5C76E437">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绩效分配方式</w:t>
            </w:r>
          </w:p>
        </w:tc>
        <w:tc>
          <w:tcPr>
            <w:tcW w:w="5690" w:type="dxa"/>
            <w:gridSpan w:val="5"/>
            <w:tcBorders>
              <w:top w:val="single" w:color="000000" w:sz="4" w:space="0"/>
              <w:left w:val="single" w:color="000000" w:sz="4" w:space="0"/>
              <w:bottom w:val="single" w:color="000000" w:sz="4" w:space="0"/>
              <w:right w:val="single" w:color="000000" w:sz="4" w:space="0"/>
            </w:tcBorders>
            <w:noWrap w:val="0"/>
            <w:vAlign w:val="center"/>
          </w:tcPr>
          <w:p w14:paraId="70639777">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据实法</w:t>
            </w:r>
          </w:p>
        </w:tc>
      </w:tr>
      <w:tr w14:paraId="7DD70C6C">
        <w:tblPrEx>
          <w:tblCellMar>
            <w:top w:w="15" w:type="dxa"/>
            <w:left w:w="15" w:type="dxa"/>
            <w:bottom w:w="15" w:type="dxa"/>
            <w:right w:w="15" w:type="dxa"/>
          </w:tblCellMar>
        </w:tblPrEx>
        <w:trPr>
          <w:trHeight w:val="74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723FE6">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3891" w:type="dxa"/>
            <w:gridSpan w:val="3"/>
            <w:tcBorders>
              <w:top w:val="single" w:color="000000" w:sz="4" w:space="0"/>
              <w:left w:val="single" w:color="000000" w:sz="4" w:space="0"/>
              <w:bottom w:val="single" w:color="000000" w:sz="4" w:space="0"/>
              <w:right w:val="single" w:color="000000" w:sz="4" w:space="0"/>
            </w:tcBorders>
            <w:noWrap w:val="0"/>
            <w:vAlign w:val="center"/>
          </w:tcPr>
          <w:p w14:paraId="388B9641">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立项依据</w:t>
            </w:r>
          </w:p>
        </w:tc>
        <w:tc>
          <w:tcPr>
            <w:tcW w:w="5690" w:type="dxa"/>
            <w:gridSpan w:val="5"/>
            <w:tcBorders>
              <w:top w:val="single" w:color="000000" w:sz="4" w:space="0"/>
              <w:left w:val="single" w:color="000000" w:sz="4" w:space="0"/>
              <w:bottom w:val="single" w:color="000000" w:sz="4" w:space="0"/>
              <w:right w:val="single" w:color="000000" w:sz="4" w:space="0"/>
            </w:tcBorders>
            <w:noWrap w:val="0"/>
            <w:vAlign w:val="center"/>
          </w:tcPr>
          <w:p w14:paraId="2DD5A9AB">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《四川省财政厅 四川省民政厅关于印发省级财政社会救助救济补助资金管理办法的通知》（川财社〔2024〕130号）</w:t>
            </w:r>
          </w:p>
        </w:tc>
      </w:tr>
      <w:tr w14:paraId="4F59C758">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437ACA">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3891" w:type="dxa"/>
            <w:gridSpan w:val="3"/>
            <w:tcBorders>
              <w:top w:val="single" w:color="000000" w:sz="4" w:space="0"/>
              <w:left w:val="single" w:color="000000" w:sz="4" w:space="0"/>
              <w:bottom w:val="single" w:color="000000" w:sz="4" w:space="0"/>
              <w:right w:val="single" w:color="000000" w:sz="4" w:space="0"/>
            </w:tcBorders>
            <w:noWrap w:val="0"/>
            <w:vAlign w:val="center"/>
          </w:tcPr>
          <w:p w14:paraId="4762BC31">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使用范围</w:t>
            </w:r>
          </w:p>
        </w:tc>
        <w:tc>
          <w:tcPr>
            <w:tcW w:w="5690" w:type="dxa"/>
            <w:gridSpan w:val="5"/>
            <w:tcBorders>
              <w:top w:val="single" w:color="000000" w:sz="4" w:space="0"/>
              <w:left w:val="single" w:color="000000" w:sz="4" w:space="0"/>
              <w:bottom w:val="single" w:color="000000" w:sz="4" w:space="0"/>
              <w:right w:val="single" w:color="000000" w:sz="4" w:space="0"/>
            </w:tcBorders>
            <w:noWrap w:val="0"/>
            <w:vAlign w:val="center"/>
          </w:tcPr>
          <w:p w14:paraId="377731EC">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襄渝铁路西段伤残民兵民工及遗属生活补助</w:t>
            </w:r>
          </w:p>
        </w:tc>
      </w:tr>
      <w:tr w14:paraId="1042BB01">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35C3E0">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3891" w:type="dxa"/>
            <w:gridSpan w:val="3"/>
            <w:tcBorders>
              <w:top w:val="single" w:color="000000" w:sz="4" w:space="0"/>
              <w:left w:val="single" w:color="000000" w:sz="4" w:space="0"/>
              <w:bottom w:val="single" w:color="000000" w:sz="4" w:space="0"/>
              <w:right w:val="single" w:color="000000" w:sz="4" w:space="0"/>
            </w:tcBorders>
            <w:noWrap w:val="0"/>
            <w:vAlign w:val="center"/>
          </w:tcPr>
          <w:p w14:paraId="2D835743">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申报（补助）条件</w:t>
            </w:r>
          </w:p>
        </w:tc>
        <w:tc>
          <w:tcPr>
            <w:tcW w:w="5690" w:type="dxa"/>
            <w:gridSpan w:val="5"/>
            <w:tcBorders>
              <w:top w:val="single" w:color="000000" w:sz="4" w:space="0"/>
              <w:left w:val="single" w:color="000000" w:sz="4" w:space="0"/>
              <w:bottom w:val="single" w:color="000000" w:sz="4" w:space="0"/>
              <w:right w:val="single" w:color="000000" w:sz="4" w:space="0"/>
            </w:tcBorders>
            <w:noWrap w:val="0"/>
            <w:vAlign w:val="center"/>
          </w:tcPr>
          <w:p w14:paraId="71A372DF">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襄渝铁路西段伤残民兵民工及遗属</w:t>
            </w:r>
          </w:p>
        </w:tc>
      </w:tr>
      <w:tr w14:paraId="02CD4DEE">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92D953">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3891" w:type="dxa"/>
            <w:gridSpan w:val="3"/>
            <w:tcBorders>
              <w:top w:val="single" w:color="000000" w:sz="4" w:space="0"/>
              <w:left w:val="single" w:color="000000" w:sz="4" w:space="0"/>
              <w:bottom w:val="single" w:color="000000" w:sz="4" w:space="0"/>
              <w:right w:val="single" w:color="000000" w:sz="4" w:space="0"/>
            </w:tcBorders>
            <w:noWrap w:val="0"/>
            <w:vAlign w:val="center"/>
          </w:tcPr>
          <w:p w14:paraId="7C9740FE">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项目起止年限</w:t>
            </w:r>
          </w:p>
        </w:tc>
        <w:tc>
          <w:tcPr>
            <w:tcW w:w="5690" w:type="dxa"/>
            <w:gridSpan w:val="5"/>
            <w:tcBorders>
              <w:top w:val="single" w:color="000000" w:sz="4" w:space="0"/>
              <w:left w:val="single" w:color="000000" w:sz="4" w:space="0"/>
              <w:bottom w:val="single" w:color="000000" w:sz="4" w:space="0"/>
              <w:right w:val="single" w:color="000000" w:sz="4" w:space="0"/>
            </w:tcBorders>
            <w:noWrap w:val="0"/>
            <w:vAlign w:val="center"/>
          </w:tcPr>
          <w:p w14:paraId="4B17C9CF">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2025.01—2025.12</w:t>
            </w:r>
          </w:p>
        </w:tc>
      </w:tr>
      <w:tr w14:paraId="63E078FD">
        <w:tblPrEx>
          <w:tblCellMar>
            <w:top w:w="15" w:type="dxa"/>
            <w:left w:w="15" w:type="dxa"/>
            <w:bottom w:w="15" w:type="dxa"/>
            <w:right w:w="15" w:type="dxa"/>
          </w:tblCellMar>
        </w:tblPrEx>
        <w:trPr>
          <w:trHeight w:val="497"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75C2642">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项目资金</w:t>
            </w:r>
          </w:p>
          <w:p w14:paraId="3B029F88">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（万元）</w:t>
            </w:r>
          </w:p>
        </w:tc>
        <w:tc>
          <w:tcPr>
            <w:tcW w:w="2810" w:type="dxa"/>
            <w:gridSpan w:val="2"/>
            <w:tcBorders>
              <w:top w:val="single" w:color="000000" w:sz="4" w:space="0"/>
              <w:left w:val="single" w:color="000000" w:sz="4" w:space="0"/>
              <w:bottom w:val="single" w:color="000000" w:sz="4" w:space="0"/>
              <w:right w:val="single" w:color="000000" w:sz="4" w:space="0"/>
            </w:tcBorders>
            <w:noWrap w:val="0"/>
            <w:vAlign w:val="center"/>
          </w:tcPr>
          <w:p w14:paraId="35DA2E26">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 xml:space="preserve">  年度资金总额：</w:t>
            </w:r>
          </w:p>
        </w:tc>
        <w:tc>
          <w:tcPr>
            <w:tcW w:w="5690" w:type="dxa"/>
            <w:gridSpan w:val="5"/>
            <w:tcBorders>
              <w:top w:val="single" w:color="000000" w:sz="4" w:space="0"/>
              <w:left w:val="single" w:color="000000" w:sz="4" w:space="0"/>
              <w:bottom w:val="single" w:color="000000" w:sz="4" w:space="0"/>
              <w:right w:val="single" w:color="000000" w:sz="4" w:space="0"/>
            </w:tcBorders>
            <w:noWrap w:val="0"/>
            <w:vAlign w:val="center"/>
          </w:tcPr>
          <w:p w14:paraId="0460BECE">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实际支出2.2464万元（省级预算下达5万元，结转2.7536万元）</w:t>
            </w:r>
          </w:p>
        </w:tc>
      </w:tr>
      <w:tr w14:paraId="78D666EA">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E9168B">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2810" w:type="dxa"/>
            <w:gridSpan w:val="2"/>
            <w:tcBorders>
              <w:top w:val="single" w:color="000000" w:sz="4" w:space="0"/>
              <w:left w:val="single" w:color="000000" w:sz="4" w:space="0"/>
              <w:bottom w:val="single" w:color="000000" w:sz="4" w:space="0"/>
              <w:right w:val="single" w:color="000000" w:sz="4" w:space="0"/>
            </w:tcBorders>
            <w:noWrap w:val="0"/>
            <w:vAlign w:val="center"/>
          </w:tcPr>
          <w:p w14:paraId="20E9D64E">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 xml:space="preserve">      其中：财政拨款</w:t>
            </w:r>
          </w:p>
        </w:tc>
        <w:tc>
          <w:tcPr>
            <w:tcW w:w="5690" w:type="dxa"/>
            <w:gridSpan w:val="5"/>
            <w:tcBorders>
              <w:top w:val="single" w:color="000000" w:sz="4" w:space="0"/>
              <w:left w:val="single" w:color="000000" w:sz="4" w:space="0"/>
              <w:bottom w:val="single" w:color="000000" w:sz="4" w:space="0"/>
              <w:right w:val="single" w:color="000000" w:sz="4" w:space="0"/>
            </w:tcBorders>
            <w:noWrap w:val="0"/>
            <w:vAlign w:val="center"/>
          </w:tcPr>
          <w:p w14:paraId="11F094E7">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r>
      <w:tr w14:paraId="1164FEC1">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FC659C">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2810" w:type="dxa"/>
            <w:gridSpan w:val="2"/>
            <w:tcBorders>
              <w:top w:val="single" w:color="000000" w:sz="4" w:space="0"/>
              <w:left w:val="single" w:color="000000" w:sz="4" w:space="0"/>
              <w:bottom w:val="single" w:color="000000" w:sz="4" w:space="0"/>
              <w:right w:val="single" w:color="000000" w:sz="4" w:space="0"/>
            </w:tcBorders>
            <w:noWrap w:val="0"/>
            <w:vAlign w:val="center"/>
          </w:tcPr>
          <w:p w14:paraId="47C4C5D4">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 xml:space="preserve">            其他资金</w:t>
            </w:r>
          </w:p>
        </w:tc>
        <w:tc>
          <w:tcPr>
            <w:tcW w:w="5690" w:type="dxa"/>
            <w:gridSpan w:val="5"/>
            <w:tcBorders>
              <w:top w:val="single" w:color="000000" w:sz="4" w:space="0"/>
              <w:left w:val="single" w:color="000000" w:sz="4" w:space="0"/>
              <w:bottom w:val="single" w:color="000000" w:sz="4" w:space="0"/>
              <w:right w:val="single" w:color="000000" w:sz="4" w:space="0"/>
            </w:tcBorders>
            <w:noWrap w:val="0"/>
            <w:vAlign w:val="center"/>
          </w:tcPr>
          <w:p w14:paraId="219922B5">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r>
      <w:tr w14:paraId="649CCF46">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AD66F8F">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732C4FE9">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年度目标</w:t>
            </w:r>
          </w:p>
        </w:tc>
      </w:tr>
      <w:tr w14:paraId="49C07551">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auto" w:sz="4" w:space="0"/>
              <w:right w:val="single" w:color="000000" w:sz="4" w:space="0"/>
            </w:tcBorders>
            <w:noWrap w:val="0"/>
            <w:vAlign w:val="center"/>
          </w:tcPr>
          <w:p w14:paraId="184E244C">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9581" w:type="dxa"/>
            <w:gridSpan w:val="8"/>
            <w:tcBorders>
              <w:top w:val="single" w:color="000000" w:sz="4" w:space="0"/>
              <w:left w:val="single" w:color="000000" w:sz="4" w:space="0"/>
              <w:bottom w:val="single" w:color="auto" w:sz="4" w:space="0"/>
              <w:right w:val="single" w:color="000000" w:sz="4" w:space="0"/>
            </w:tcBorders>
            <w:noWrap w:val="0"/>
            <w:vAlign w:val="center"/>
          </w:tcPr>
          <w:p w14:paraId="3B2A3A64">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保障襄渝铁路西段伤残民兵民工及遗属基本生活</w:t>
            </w:r>
          </w:p>
        </w:tc>
      </w:tr>
      <w:tr w14:paraId="78DE27E9">
        <w:tblPrEx>
          <w:tblCellMar>
            <w:top w:w="15" w:type="dxa"/>
            <w:left w:w="15" w:type="dxa"/>
            <w:bottom w:w="15" w:type="dxa"/>
            <w:right w:w="15" w:type="dxa"/>
          </w:tblCellMar>
        </w:tblPrEx>
        <w:trPr>
          <w:trHeight w:val="23" w:hRule="atLeast"/>
          <w:jc w:val="center"/>
        </w:trPr>
        <w:tc>
          <w:tcPr>
            <w:tcW w:w="652" w:type="dxa"/>
            <w:vMerge w:val="restart"/>
            <w:tcBorders>
              <w:top w:val="single" w:color="auto" w:sz="4" w:space="0"/>
              <w:left w:val="single" w:color="auto" w:sz="4" w:space="0"/>
              <w:bottom w:val="single" w:color="auto" w:sz="4" w:space="0"/>
              <w:right w:val="single" w:color="auto" w:sz="4" w:space="0"/>
            </w:tcBorders>
            <w:noWrap w:val="0"/>
            <w:vAlign w:val="center"/>
          </w:tcPr>
          <w:p w14:paraId="7D31963C">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绩效 指标</w:t>
            </w:r>
          </w:p>
        </w:tc>
        <w:tc>
          <w:tcPr>
            <w:tcW w:w="1081" w:type="dxa"/>
            <w:tcBorders>
              <w:top w:val="single" w:color="auto" w:sz="4" w:space="0"/>
              <w:left w:val="single" w:color="auto" w:sz="4" w:space="0"/>
              <w:bottom w:val="single" w:color="auto" w:sz="4" w:space="0"/>
              <w:right w:val="single" w:color="auto" w:sz="4" w:space="0"/>
            </w:tcBorders>
            <w:noWrap w:val="0"/>
            <w:vAlign w:val="center"/>
          </w:tcPr>
          <w:p w14:paraId="52338700">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一级指标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61C34240">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二级指标</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5907AFF6">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三级指标</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73FB521C">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指标性质</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0E9F8B5A">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指标值</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7EB5D83A">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度量单位</w:t>
            </w:r>
          </w:p>
        </w:tc>
        <w:tc>
          <w:tcPr>
            <w:tcW w:w="714" w:type="dxa"/>
            <w:tcBorders>
              <w:top w:val="single" w:color="auto" w:sz="4" w:space="0"/>
              <w:left w:val="single" w:color="auto" w:sz="4" w:space="0"/>
              <w:bottom w:val="single" w:color="auto" w:sz="4" w:space="0"/>
              <w:right w:val="single" w:color="auto" w:sz="4" w:space="0"/>
            </w:tcBorders>
            <w:noWrap w:val="0"/>
            <w:vAlign w:val="center"/>
          </w:tcPr>
          <w:p w14:paraId="0693C8D4">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权重</w:t>
            </w:r>
          </w:p>
        </w:tc>
        <w:tc>
          <w:tcPr>
            <w:tcW w:w="1841" w:type="dxa"/>
            <w:tcBorders>
              <w:top w:val="single" w:color="auto" w:sz="4" w:space="0"/>
              <w:left w:val="single" w:color="auto" w:sz="4" w:space="0"/>
              <w:bottom w:val="single" w:color="auto" w:sz="4" w:space="0"/>
              <w:right w:val="single" w:color="auto" w:sz="4" w:space="0"/>
            </w:tcBorders>
            <w:noWrap w:val="0"/>
            <w:vAlign w:val="center"/>
          </w:tcPr>
          <w:p w14:paraId="0EF11A06">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实际完成指标值</w:t>
            </w:r>
          </w:p>
        </w:tc>
      </w:tr>
      <w:tr w14:paraId="6A20B6FA">
        <w:tblPrEx>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5E96E53C">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081" w:type="dxa"/>
            <w:vMerge w:val="restart"/>
            <w:tcBorders>
              <w:top w:val="single" w:color="auto" w:sz="4" w:space="0"/>
              <w:left w:val="single" w:color="auto" w:sz="4" w:space="0"/>
              <w:bottom w:val="single" w:color="auto" w:sz="4" w:space="0"/>
              <w:right w:val="single" w:color="auto" w:sz="4" w:space="0"/>
            </w:tcBorders>
            <w:noWrap w:val="0"/>
            <w:vAlign w:val="center"/>
          </w:tcPr>
          <w:p w14:paraId="64E4D8C6">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产出指标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2BDE1DAA">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数量指标</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20D023C4">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享受生活补助的襄渝铁路西段伤残民兵民工人数</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13B69DBD">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14:paraId="76245116">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≥2人</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1EE18FF2">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067A660A">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841" w:type="dxa"/>
            <w:tcBorders>
              <w:top w:val="single" w:color="auto" w:sz="4" w:space="0"/>
              <w:left w:val="single" w:color="auto" w:sz="4" w:space="0"/>
              <w:bottom w:val="single" w:color="auto" w:sz="4" w:space="0"/>
              <w:right w:val="single" w:color="auto" w:sz="4" w:space="0"/>
            </w:tcBorders>
            <w:noWrap w:val="0"/>
            <w:vAlign w:val="center"/>
          </w:tcPr>
          <w:p w14:paraId="6A9D76E1">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2人</w:t>
            </w:r>
          </w:p>
        </w:tc>
      </w:tr>
      <w:tr w14:paraId="50CBC4A3">
        <w:tblPrEx>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27ED4EA4">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081" w:type="dxa"/>
            <w:vMerge w:val="continue"/>
            <w:tcBorders>
              <w:top w:val="single" w:color="auto" w:sz="4" w:space="0"/>
              <w:left w:val="single" w:color="auto" w:sz="4" w:space="0"/>
              <w:bottom w:val="single" w:color="auto" w:sz="4" w:space="0"/>
              <w:right w:val="single" w:color="auto" w:sz="4" w:space="0"/>
            </w:tcBorders>
            <w:noWrap w:val="0"/>
            <w:vAlign w:val="center"/>
          </w:tcPr>
          <w:p w14:paraId="22BA6760">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71662CE9">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质量指标</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0C24CE46">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襄渝铁路西段伤残民兵民工生活补助标准</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2BD65B8A">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14:paraId="1A21119B">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按省级制定标准发放</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29DE913F">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1E92B2F7">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841" w:type="dxa"/>
            <w:tcBorders>
              <w:top w:val="single" w:color="auto" w:sz="4" w:space="0"/>
              <w:left w:val="single" w:color="auto" w:sz="4" w:space="0"/>
              <w:bottom w:val="single" w:color="auto" w:sz="4" w:space="0"/>
              <w:right w:val="single" w:color="auto" w:sz="4" w:space="0"/>
            </w:tcBorders>
            <w:noWrap w:val="0"/>
            <w:vAlign w:val="center"/>
          </w:tcPr>
          <w:p w14:paraId="60097A18">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按省级制定标准发放</w:t>
            </w:r>
          </w:p>
        </w:tc>
      </w:tr>
      <w:tr w14:paraId="563592B7">
        <w:tblPrEx>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017D08AF">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081" w:type="dxa"/>
            <w:vMerge w:val="continue"/>
            <w:tcBorders>
              <w:top w:val="single" w:color="auto" w:sz="4" w:space="0"/>
              <w:left w:val="single" w:color="auto" w:sz="4" w:space="0"/>
              <w:bottom w:val="single" w:color="auto" w:sz="4" w:space="0"/>
              <w:right w:val="single" w:color="auto" w:sz="4" w:space="0"/>
            </w:tcBorders>
            <w:noWrap w:val="0"/>
            <w:vAlign w:val="center"/>
          </w:tcPr>
          <w:p w14:paraId="415379A4">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2192E965">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时效指标</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65243D4A">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资金拨付及时率</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71AF6A78">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14:paraId="3E53F3EF">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≥90%</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47236CAD">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59F55C59">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841" w:type="dxa"/>
            <w:tcBorders>
              <w:top w:val="single" w:color="auto" w:sz="4" w:space="0"/>
              <w:left w:val="single" w:color="auto" w:sz="4" w:space="0"/>
              <w:bottom w:val="single" w:color="auto" w:sz="4" w:space="0"/>
              <w:right w:val="single" w:color="auto" w:sz="4" w:space="0"/>
            </w:tcBorders>
            <w:noWrap w:val="0"/>
            <w:vAlign w:val="center"/>
          </w:tcPr>
          <w:p w14:paraId="592F91FA">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100%</w:t>
            </w:r>
          </w:p>
        </w:tc>
      </w:tr>
      <w:tr w14:paraId="4A4306C1">
        <w:tblPrEx>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4EC2C84D">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081" w:type="dxa"/>
            <w:vMerge w:val="restart"/>
            <w:tcBorders>
              <w:top w:val="single" w:color="auto" w:sz="4" w:space="0"/>
              <w:left w:val="single" w:color="auto" w:sz="4" w:space="0"/>
              <w:bottom w:val="single" w:color="auto" w:sz="4" w:space="0"/>
              <w:right w:val="single" w:color="auto" w:sz="4" w:space="0"/>
            </w:tcBorders>
            <w:noWrap w:val="0"/>
            <w:vAlign w:val="center"/>
          </w:tcPr>
          <w:p w14:paraId="56B3D1BE">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效益指标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2BB65C4E">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社会效益</w:t>
            </w:r>
          </w:p>
          <w:p w14:paraId="68D12242">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指标</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1C150C0E">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受助人员基本生活</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75E126B6">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14:paraId="275AF17C">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有效改善</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12589D0F">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5361FF34">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841" w:type="dxa"/>
            <w:tcBorders>
              <w:top w:val="single" w:color="auto" w:sz="4" w:space="0"/>
              <w:left w:val="single" w:color="auto" w:sz="4" w:space="0"/>
              <w:bottom w:val="single" w:color="auto" w:sz="4" w:space="0"/>
              <w:right w:val="single" w:color="auto" w:sz="4" w:space="0"/>
            </w:tcBorders>
            <w:noWrap w:val="0"/>
            <w:vAlign w:val="center"/>
          </w:tcPr>
          <w:p w14:paraId="0ADCA544">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有效改善</w:t>
            </w:r>
          </w:p>
        </w:tc>
      </w:tr>
      <w:tr w14:paraId="20D77F34">
        <w:tblPrEx>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7ED1316C">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081" w:type="dxa"/>
            <w:vMerge w:val="continue"/>
            <w:tcBorders>
              <w:top w:val="single" w:color="auto" w:sz="4" w:space="0"/>
              <w:left w:val="single" w:color="auto" w:sz="4" w:space="0"/>
              <w:bottom w:val="single" w:color="auto" w:sz="4" w:space="0"/>
              <w:right w:val="single" w:color="auto" w:sz="4" w:space="0"/>
            </w:tcBorders>
            <w:noWrap w:val="0"/>
            <w:vAlign w:val="center"/>
          </w:tcPr>
          <w:p w14:paraId="32AAB461">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39994674">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可持续影响   指标</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0E610887">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符合条件的受助对象幸福感</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26B36D5E">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14:paraId="5C9D0011">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显著提高</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69612841">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729858B7">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841" w:type="dxa"/>
            <w:tcBorders>
              <w:top w:val="single" w:color="auto" w:sz="4" w:space="0"/>
              <w:left w:val="single" w:color="auto" w:sz="4" w:space="0"/>
              <w:bottom w:val="single" w:color="auto" w:sz="4" w:space="0"/>
              <w:right w:val="single" w:color="auto" w:sz="4" w:space="0"/>
            </w:tcBorders>
            <w:noWrap w:val="0"/>
            <w:vAlign w:val="center"/>
          </w:tcPr>
          <w:p w14:paraId="75231F8B">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显著提高</w:t>
            </w:r>
          </w:p>
        </w:tc>
      </w:tr>
      <w:tr w14:paraId="5CAEC081">
        <w:tblPrEx>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2203690C">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41711D8D">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满意度</w:t>
            </w:r>
          </w:p>
          <w:p w14:paraId="413FE497">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65839D17">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服务对象</w:t>
            </w:r>
          </w:p>
          <w:p w14:paraId="0C121117">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满意度指标</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15BD7129">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襄渝铁路西段伤残民兵民工及家属满意度</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09B516B5">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14:paraId="126FAC3A">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≥90%</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5839B852">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7EE54620">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841" w:type="dxa"/>
            <w:tcBorders>
              <w:top w:val="single" w:color="auto" w:sz="4" w:space="0"/>
              <w:left w:val="single" w:color="auto" w:sz="4" w:space="0"/>
              <w:bottom w:val="single" w:color="auto" w:sz="4" w:space="0"/>
              <w:right w:val="single" w:color="auto" w:sz="4" w:space="0"/>
            </w:tcBorders>
            <w:noWrap w:val="0"/>
            <w:vAlign w:val="center"/>
          </w:tcPr>
          <w:p w14:paraId="2C9BD24C">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100%</w:t>
            </w:r>
          </w:p>
        </w:tc>
      </w:tr>
    </w:tbl>
    <w:p w14:paraId="6C3D6AF1">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480" w:firstLineChars="200"/>
        <w:textAlignment w:val="auto"/>
        <w:rPr>
          <w:rFonts w:hint="default" w:ascii="Times New Roman" w:hAnsi="Times New Roman" w:eastAsia="黑体" w:cs="Times New Roman"/>
          <w:sz w:val="24"/>
          <w:szCs w:val="24"/>
          <w:highlight w:val="none"/>
          <w:lang w:val="en-US" w:eastAsia="zh-CN"/>
        </w:rPr>
      </w:pPr>
    </w:p>
    <w:p w14:paraId="6F9C466C">
      <w:pPr>
        <w:keepNext w:val="0"/>
        <w:keepLines w:val="0"/>
        <w:pageBreakBefore w:val="0"/>
        <w:widowControl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color w:val="auto"/>
          <w:kern w:val="0"/>
          <w:sz w:val="32"/>
          <w:szCs w:val="32"/>
          <w:highlight w:val="none"/>
          <w:u w:val="none"/>
          <w:shd w:val="clear" w:color="auto" w:fill="FFFFFF"/>
          <w:lang w:val="en-US" w:eastAsia="zh-CN" w:bidi="ar-SA"/>
        </w:rPr>
      </w:pPr>
      <w:r>
        <w:rPr>
          <w:rFonts w:hint="default" w:ascii="Times New Roman" w:hAnsi="Times New Roman" w:eastAsia="黑体" w:cs="Times New Roman"/>
          <w:color w:val="auto"/>
          <w:kern w:val="0"/>
          <w:sz w:val="32"/>
          <w:szCs w:val="32"/>
          <w:highlight w:val="none"/>
          <w:u w:val="none"/>
          <w:shd w:val="clear" w:color="auto" w:fill="FFFFFF"/>
          <w:lang w:val="zh-CN" w:eastAsia="zh-CN" w:bidi="ar-SA"/>
        </w:rPr>
        <w:br w:type="page"/>
      </w:r>
      <w:r>
        <w:rPr>
          <w:rFonts w:hint="default" w:ascii="Times New Roman" w:hAnsi="Times New Roman" w:eastAsia="黑体" w:cs="Times New Roman"/>
          <w:color w:val="auto"/>
          <w:kern w:val="0"/>
          <w:sz w:val="32"/>
          <w:szCs w:val="32"/>
          <w:highlight w:val="none"/>
          <w:u w:val="none"/>
          <w:shd w:val="clear" w:color="auto" w:fill="FFFFFF"/>
          <w:lang w:val="zh-CN" w:eastAsia="zh-CN" w:bidi="ar-SA"/>
        </w:rPr>
        <w:t>附表</w:t>
      </w:r>
      <w:r>
        <w:rPr>
          <w:rFonts w:hint="default" w:ascii="Times New Roman" w:hAnsi="Times New Roman" w:eastAsia="黑体" w:cs="Times New Roman"/>
          <w:color w:val="auto"/>
          <w:kern w:val="0"/>
          <w:sz w:val="32"/>
          <w:szCs w:val="32"/>
          <w:highlight w:val="none"/>
          <w:u w:val="none"/>
          <w:shd w:val="clear" w:color="auto" w:fill="FFFFFF"/>
          <w:lang w:val="en-US" w:eastAsia="zh-CN" w:bidi="ar-SA"/>
        </w:rPr>
        <w:t>3-4</w:t>
      </w:r>
    </w:p>
    <w:tbl>
      <w:tblPr>
        <w:tblStyle w:val="17"/>
        <w:tblW w:w="10233" w:type="dxa"/>
        <w:jc w:val="center"/>
        <w:tblLayout w:type="fixed"/>
        <w:tblCellMar>
          <w:top w:w="15" w:type="dxa"/>
          <w:left w:w="15" w:type="dxa"/>
          <w:bottom w:w="15" w:type="dxa"/>
          <w:right w:w="15" w:type="dxa"/>
        </w:tblCellMar>
      </w:tblPr>
      <w:tblGrid>
        <w:gridCol w:w="652"/>
        <w:gridCol w:w="1081"/>
        <w:gridCol w:w="1250"/>
        <w:gridCol w:w="1680"/>
        <w:gridCol w:w="759"/>
        <w:gridCol w:w="971"/>
        <w:gridCol w:w="1061"/>
        <w:gridCol w:w="938"/>
        <w:gridCol w:w="1841"/>
      </w:tblGrid>
      <w:tr w14:paraId="0C568579">
        <w:tblPrEx>
          <w:tblCellMar>
            <w:top w:w="15" w:type="dxa"/>
            <w:left w:w="15" w:type="dxa"/>
            <w:bottom w:w="15" w:type="dxa"/>
            <w:right w:w="15" w:type="dxa"/>
          </w:tblCellMar>
        </w:tblPrEx>
        <w:trPr>
          <w:trHeight w:val="576" w:hRule="atLeast"/>
          <w:jc w:val="center"/>
        </w:trPr>
        <w:tc>
          <w:tcPr>
            <w:tcW w:w="10233" w:type="dxa"/>
            <w:gridSpan w:val="9"/>
            <w:tcBorders>
              <w:top w:val="nil"/>
              <w:left w:val="nil"/>
              <w:bottom w:val="nil"/>
              <w:right w:val="nil"/>
            </w:tcBorders>
            <w:noWrap w:val="0"/>
            <w:vAlign w:val="center"/>
          </w:tcPr>
          <w:p w14:paraId="16213E70">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hint="default" w:ascii="Times New Roman" w:hAnsi="Times New Roman" w:eastAsia="黑体" w:cs="Times New Roman"/>
                <w:color w:val="000000"/>
                <w:sz w:val="30"/>
                <w:szCs w:val="30"/>
                <w:highlight w:val="none"/>
                <w:u w:val="none"/>
                <w:lang w:bidi="ar-SA"/>
              </w:rPr>
            </w:pPr>
            <w:r>
              <w:rPr>
                <w:rFonts w:hint="default" w:ascii="Times New Roman" w:hAnsi="Times New Roman" w:eastAsia="方正小标宋简体" w:cs="Times New Roman"/>
                <w:color w:val="000000"/>
                <w:kern w:val="0"/>
                <w:sz w:val="40"/>
                <w:szCs w:val="40"/>
                <w:highlight w:val="none"/>
                <w:u w:val="none"/>
                <w:lang w:val="en-US" w:eastAsia="zh-CN" w:bidi="ar"/>
              </w:rPr>
              <w:t>专项预算项目绩效目标完成情况自评表</w:t>
            </w:r>
          </w:p>
        </w:tc>
      </w:tr>
      <w:tr w14:paraId="5D5FF0A7">
        <w:tblPrEx>
          <w:tblCellMar>
            <w:top w:w="15" w:type="dxa"/>
            <w:left w:w="15" w:type="dxa"/>
            <w:bottom w:w="15" w:type="dxa"/>
            <w:right w:w="15" w:type="dxa"/>
          </w:tblCellMar>
        </w:tblPrEx>
        <w:trPr>
          <w:trHeight w:val="23" w:hRule="atLeast"/>
          <w:jc w:val="center"/>
        </w:trPr>
        <w:tc>
          <w:tcPr>
            <w:tcW w:w="4663" w:type="dxa"/>
            <w:gridSpan w:val="4"/>
            <w:tcBorders>
              <w:top w:val="single" w:color="000000" w:sz="4" w:space="0"/>
              <w:left w:val="single" w:color="000000" w:sz="4" w:space="0"/>
              <w:bottom w:val="single" w:color="000000" w:sz="4" w:space="0"/>
              <w:right w:val="single" w:color="000000" w:sz="4" w:space="0"/>
            </w:tcBorders>
            <w:noWrap w:val="0"/>
            <w:vAlign w:val="center"/>
          </w:tcPr>
          <w:p w14:paraId="044EB532">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项目名称</w:t>
            </w:r>
          </w:p>
        </w:tc>
        <w:tc>
          <w:tcPr>
            <w:tcW w:w="5570" w:type="dxa"/>
            <w:gridSpan w:val="5"/>
            <w:tcBorders>
              <w:top w:val="single" w:color="000000" w:sz="4" w:space="0"/>
              <w:left w:val="single" w:color="000000" w:sz="4" w:space="0"/>
              <w:bottom w:val="single" w:color="000000" w:sz="4" w:space="0"/>
              <w:right w:val="single" w:color="000000" w:sz="4" w:space="0"/>
            </w:tcBorders>
            <w:noWrap w:val="0"/>
            <w:vAlign w:val="center"/>
          </w:tcPr>
          <w:p w14:paraId="3AAC784F">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精减退职职工救济</w:t>
            </w:r>
          </w:p>
        </w:tc>
      </w:tr>
      <w:tr w14:paraId="19BFD797">
        <w:tblPrEx>
          <w:tblCellMar>
            <w:top w:w="15" w:type="dxa"/>
            <w:left w:w="15" w:type="dxa"/>
            <w:bottom w:w="15" w:type="dxa"/>
            <w:right w:w="15" w:type="dxa"/>
          </w:tblCellMar>
        </w:tblPrEx>
        <w:trPr>
          <w:trHeight w:val="458" w:hRule="atLeast"/>
          <w:jc w:val="center"/>
        </w:trPr>
        <w:tc>
          <w:tcPr>
            <w:tcW w:w="4663" w:type="dxa"/>
            <w:gridSpan w:val="4"/>
            <w:tcBorders>
              <w:top w:val="single" w:color="000000" w:sz="4" w:space="0"/>
              <w:left w:val="single" w:color="000000" w:sz="4" w:space="0"/>
              <w:bottom w:val="single" w:color="000000" w:sz="4" w:space="0"/>
              <w:right w:val="single" w:color="000000" w:sz="4" w:space="0"/>
            </w:tcBorders>
            <w:noWrap w:val="0"/>
            <w:vAlign w:val="center"/>
          </w:tcPr>
          <w:p w14:paraId="24C5F22D">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预算单位</w:t>
            </w:r>
          </w:p>
        </w:tc>
        <w:tc>
          <w:tcPr>
            <w:tcW w:w="5570" w:type="dxa"/>
            <w:gridSpan w:val="5"/>
            <w:tcBorders>
              <w:top w:val="single" w:color="000000" w:sz="4" w:space="0"/>
              <w:left w:val="single" w:color="000000" w:sz="4" w:space="0"/>
              <w:bottom w:val="single" w:color="000000" w:sz="4" w:space="0"/>
              <w:right w:val="single" w:color="000000" w:sz="4" w:space="0"/>
            </w:tcBorders>
            <w:noWrap w:val="0"/>
            <w:vAlign w:val="center"/>
          </w:tcPr>
          <w:p w14:paraId="0FBD8C4C">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攀枝花市民政局</w:t>
            </w:r>
          </w:p>
        </w:tc>
      </w:tr>
      <w:tr w14:paraId="30313739">
        <w:tblPrEx>
          <w:tblCellMar>
            <w:top w:w="15" w:type="dxa"/>
            <w:left w:w="15" w:type="dxa"/>
            <w:bottom w:w="15" w:type="dxa"/>
            <w:right w:w="15" w:type="dxa"/>
          </w:tblCellMar>
        </w:tblPrEx>
        <w:trPr>
          <w:trHeight w:val="23" w:hRule="atLeast"/>
          <w:jc w:val="center"/>
        </w:trPr>
        <w:tc>
          <w:tcPr>
            <w:tcW w:w="4663" w:type="dxa"/>
            <w:gridSpan w:val="4"/>
            <w:tcBorders>
              <w:top w:val="single" w:color="000000" w:sz="4" w:space="0"/>
              <w:left w:val="single" w:color="000000" w:sz="4" w:space="0"/>
              <w:bottom w:val="single" w:color="000000" w:sz="4" w:space="0"/>
              <w:right w:val="single" w:color="000000" w:sz="4" w:space="0"/>
            </w:tcBorders>
            <w:noWrap w:val="0"/>
            <w:vAlign w:val="center"/>
          </w:tcPr>
          <w:p w14:paraId="5A8DE0AC">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项目类型</w:t>
            </w:r>
          </w:p>
        </w:tc>
        <w:tc>
          <w:tcPr>
            <w:tcW w:w="5570" w:type="dxa"/>
            <w:gridSpan w:val="5"/>
            <w:tcBorders>
              <w:top w:val="single" w:color="000000" w:sz="4" w:space="0"/>
              <w:left w:val="single" w:color="000000" w:sz="4" w:space="0"/>
              <w:bottom w:val="single" w:color="000000" w:sz="4" w:space="0"/>
              <w:right w:val="single" w:color="000000" w:sz="4" w:space="0"/>
            </w:tcBorders>
            <w:noWrap w:val="0"/>
            <w:vAlign w:val="center"/>
          </w:tcPr>
          <w:p w14:paraId="608A3075">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 w:eastAsia="zh-CN"/>
              </w:rPr>
            </w:pPr>
            <w:r>
              <w:rPr>
                <w:rFonts w:hint="default" w:ascii="Times New Roman" w:hAnsi="Times New Roman" w:eastAsia="方正仿宋_GBK" w:cs="Times New Roman"/>
                <w:i w:val="0"/>
                <w:color w:val="000000"/>
                <w:kern w:val="0"/>
                <w:sz w:val="21"/>
                <w:szCs w:val="21"/>
                <w:u w:val="none"/>
                <w:lang w:val="en-US" w:eastAsia="zh-CN"/>
              </w:rPr>
              <w:t>省级财政社会救助救济补助资金（民生保障类）</w:t>
            </w:r>
          </w:p>
        </w:tc>
      </w:tr>
      <w:tr w14:paraId="76066CC0">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D9D4133">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项目 概况</w:t>
            </w:r>
          </w:p>
        </w:tc>
        <w:tc>
          <w:tcPr>
            <w:tcW w:w="4011" w:type="dxa"/>
            <w:gridSpan w:val="3"/>
            <w:tcBorders>
              <w:top w:val="single" w:color="000000" w:sz="4" w:space="0"/>
              <w:left w:val="single" w:color="000000" w:sz="4" w:space="0"/>
              <w:bottom w:val="single" w:color="000000" w:sz="4" w:space="0"/>
              <w:right w:val="single" w:color="000000" w:sz="4" w:space="0"/>
            </w:tcBorders>
            <w:noWrap w:val="0"/>
            <w:vAlign w:val="center"/>
          </w:tcPr>
          <w:p w14:paraId="22C1818C">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中长期规划（名称、文号，仅指</w:t>
            </w:r>
          </w:p>
          <w:p w14:paraId="6668A186">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常年项目）</w:t>
            </w:r>
          </w:p>
        </w:tc>
        <w:tc>
          <w:tcPr>
            <w:tcW w:w="5570" w:type="dxa"/>
            <w:gridSpan w:val="5"/>
            <w:tcBorders>
              <w:top w:val="single" w:color="000000" w:sz="4" w:space="0"/>
              <w:left w:val="single" w:color="000000" w:sz="4" w:space="0"/>
              <w:bottom w:val="single" w:color="000000" w:sz="4" w:space="0"/>
              <w:right w:val="single" w:color="000000" w:sz="4" w:space="0"/>
            </w:tcBorders>
            <w:noWrap w:val="0"/>
            <w:vAlign w:val="center"/>
          </w:tcPr>
          <w:p w14:paraId="3C3D3FCD">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r>
      <w:tr w14:paraId="4B12CF50">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80081A">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4011" w:type="dxa"/>
            <w:gridSpan w:val="3"/>
            <w:tcBorders>
              <w:top w:val="single" w:color="000000" w:sz="4" w:space="0"/>
              <w:left w:val="single" w:color="000000" w:sz="4" w:space="0"/>
              <w:bottom w:val="single" w:color="000000" w:sz="4" w:space="0"/>
              <w:right w:val="single" w:color="000000" w:sz="4" w:space="0"/>
            </w:tcBorders>
            <w:noWrap w:val="0"/>
            <w:vAlign w:val="center"/>
          </w:tcPr>
          <w:p w14:paraId="6444E8C2">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资金管理办法（名称、文号）</w:t>
            </w:r>
          </w:p>
        </w:tc>
        <w:tc>
          <w:tcPr>
            <w:tcW w:w="5570" w:type="dxa"/>
            <w:gridSpan w:val="5"/>
            <w:tcBorders>
              <w:top w:val="single" w:color="000000" w:sz="4" w:space="0"/>
              <w:left w:val="single" w:color="000000" w:sz="4" w:space="0"/>
              <w:bottom w:val="single" w:color="000000" w:sz="4" w:space="0"/>
              <w:right w:val="single" w:color="000000" w:sz="4" w:space="0"/>
            </w:tcBorders>
            <w:noWrap w:val="0"/>
            <w:vAlign w:val="center"/>
          </w:tcPr>
          <w:p w14:paraId="544A53DD">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《四川省财政厅 四川省民政厅关于印发省级财政社会救助救济补助资金管理办法的通知》（川财社〔2024〕130号）</w:t>
            </w:r>
          </w:p>
        </w:tc>
      </w:tr>
      <w:tr w14:paraId="5263364C">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679419">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4011" w:type="dxa"/>
            <w:gridSpan w:val="3"/>
            <w:tcBorders>
              <w:top w:val="single" w:color="000000" w:sz="4" w:space="0"/>
              <w:left w:val="single" w:color="000000" w:sz="4" w:space="0"/>
              <w:bottom w:val="single" w:color="000000" w:sz="4" w:space="0"/>
              <w:right w:val="single" w:color="000000" w:sz="4" w:space="0"/>
            </w:tcBorders>
            <w:noWrap w:val="0"/>
            <w:vAlign w:val="center"/>
          </w:tcPr>
          <w:p w14:paraId="00CDBDBE">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绩效分配方式</w:t>
            </w:r>
          </w:p>
        </w:tc>
        <w:tc>
          <w:tcPr>
            <w:tcW w:w="5570" w:type="dxa"/>
            <w:gridSpan w:val="5"/>
            <w:tcBorders>
              <w:top w:val="single" w:color="000000" w:sz="4" w:space="0"/>
              <w:left w:val="single" w:color="000000" w:sz="4" w:space="0"/>
              <w:bottom w:val="single" w:color="000000" w:sz="4" w:space="0"/>
              <w:right w:val="single" w:color="000000" w:sz="4" w:space="0"/>
            </w:tcBorders>
            <w:noWrap w:val="0"/>
            <w:vAlign w:val="center"/>
          </w:tcPr>
          <w:p w14:paraId="4FBE74C0">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因素法</w:t>
            </w:r>
          </w:p>
        </w:tc>
      </w:tr>
      <w:tr w14:paraId="21419DB8">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10A15A">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4011" w:type="dxa"/>
            <w:gridSpan w:val="3"/>
            <w:tcBorders>
              <w:top w:val="single" w:color="000000" w:sz="4" w:space="0"/>
              <w:left w:val="single" w:color="000000" w:sz="4" w:space="0"/>
              <w:bottom w:val="single" w:color="000000" w:sz="4" w:space="0"/>
              <w:right w:val="single" w:color="000000" w:sz="4" w:space="0"/>
            </w:tcBorders>
            <w:noWrap w:val="0"/>
            <w:vAlign w:val="center"/>
          </w:tcPr>
          <w:p w14:paraId="7E2489B7">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立项依据</w:t>
            </w:r>
          </w:p>
        </w:tc>
        <w:tc>
          <w:tcPr>
            <w:tcW w:w="5570" w:type="dxa"/>
            <w:gridSpan w:val="5"/>
            <w:tcBorders>
              <w:top w:val="single" w:color="000000" w:sz="4" w:space="0"/>
              <w:left w:val="single" w:color="000000" w:sz="4" w:space="0"/>
              <w:bottom w:val="single" w:color="000000" w:sz="4" w:space="0"/>
              <w:right w:val="single" w:color="000000" w:sz="4" w:space="0"/>
            </w:tcBorders>
            <w:noWrap w:val="0"/>
            <w:vAlign w:val="center"/>
          </w:tcPr>
          <w:p w14:paraId="5CB568E8">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《四川省财政厅 四川省民政厅关于调整上世纪六十年代精减退职老职工生活困难救济标准的通知》（川民发〔2023〕95号）、《四川省财政厅 四川省民政厅关于印发省级财政社会救助救济补助资金管理办法的通知》（川财社〔2024〕130号）</w:t>
            </w:r>
          </w:p>
        </w:tc>
      </w:tr>
      <w:tr w14:paraId="41601288">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AAE5AC">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4011" w:type="dxa"/>
            <w:gridSpan w:val="3"/>
            <w:tcBorders>
              <w:top w:val="single" w:color="000000" w:sz="4" w:space="0"/>
              <w:left w:val="single" w:color="000000" w:sz="4" w:space="0"/>
              <w:bottom w:val="single" w:color="000000" w:sz="4" w:space="0"/>
              <w:right w:val="single" w:color="000000" w:sz="4" w:space="0"/>
            </w:tcBorders>
            <w:noWrap w:val="0"/>
            <w:vAlign w:val="center"/>
          </w:tcPr>
          <w:p w14:paraId="6DA50D03">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使用范围</w:t>
            </w:r>
          </w:p>
        </w:tc>
        <w:tc>
          <w:tcPr>
            <w:tcW w:w="5570" w:type="dxa"/>
            <w:gridSpan w:val="5"/>
            <w:tcBorders>
              <w:top w:val="single" w:color="000000" w:sz="4" w:space="0"/>
              <w:left w:val="single" w:color="000000" w:sz="4" w:space="0"/>
              <w:bottom w:val="single" w:color="000000" w:sz="4" w:space="0"/>
              <w:right w:val="single" w:color="000000" w:sz="4" w:space="0"/>
            </w:tcBorders>
            <w:noWrap w:val="0"/>
            <w:vAlign w:val="center"/>
          </w:tcPr>
          <w:p w14:paraId="0095D223">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精减退职老职工生活困难救济</w:t>
            </w:r>
          </w:p>
        </w:tc>
      </w:tr>
      <w:tr w14:paraId="7873D1EF">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07DC25">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4011" w:type="dxa"/>
            <w:gridSpan w:val="3"/>
            <w:tcBorders>
              <w:top w:val="single" w:color="000000" w:sz="4" w:space="0"/>
              <w:left w:val="single" w:color="000000" w:sz="4" w:space="0"/>
              <w:bottom w:val="single" w:color="000000" w:sz="4" w:space="0"/>
              <w:right w:val="single" w:color="000000" w:sz="4" w:space="0"/>
            </w:tcBorders>
            <w:noWrap w:val="0"/>
            <w:vAlign w:val="center"/>
          </w:tcPr>
          <w:p w14:paraId="4B90F481">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申报（补助）条件</w:t>
            </w:r>
          </w:p>
        </w:tc>
        <w:tc>
          <w:tcPr>
            <w:tcW w:w="5570" w:type="dxa"/>
            <w:gridSpan w:val="5"/>
            <w:tcBorders>
              <w:top w:val="single" w:color="000000" w:sz="4" w:space="0"/>
              <w:left w:val="single" w:color="000000" w:sz="4" w:space="0"/>
              <w:bottom w:val="single" w:color="000000" w:sz="4" w:space="0"/>
              <w:right w:val="single" w:color="000000" w:sz="4" w:space="0"/>
            </w:tcBorders>
            <w:noWrap w:val="0"/>
            <w:vAlign w:val="center"/>
          </w:tcPr>
          <w:p w14:paraId="3B6B37C9">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上世纪六十年代精减退职老职工</w:t>
            </w:r>
          </w:p>
        </w:tc>
      </w:tr>
      <w:tr w14:paraId="703A739B">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D17E53">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4011" w:type="dxa"/>
            <w:gridSpan w:val="3"/>
            <w:tcBorders>
              <w:top w:val="single" w:color="000000" w:sz="4" w:space="0"/>
              <w:left w:val="single" w:color="000000" w:sz="4" w:space="0"/>
              <w:bottom w:val="single" w:color="000000" w:sz="4" w:space="0"/>
              <w:right w:val="single" w:color="000000" w:sz="4" w:space="0"/>
            </w:tcBorders>
            <w:noWrap w:val="0"/>
            <w:vAlign w:val="center"/>
          </w:tcPr>
          <w:p w14:paraId="58DE08C1">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项目起止年限</w:t>
            </w:r>
          </w:p>
        </w:tc>
        <w:tc>
          <w:tcPr>
            <w:tcW w:w="5570" w:type="dxa"/>
            <w:gridSpan w:val="5"/>
            <w:tcBorders>
              <w:top w:val="single" w:color="000000" w:sz="4" w:space="0"/>
              <w:left w:val="single" w:color="000000" w:sz="4" w:space="0"/>
              <w:bottom w:val="single" w:color="000000" w:sz="4" w:space="0"/>
              <w:right w:val="single" w:color="000000" w:sz="4" w:space="0"/>
            </w:tcBorders>
            <w:noWrap w:val="0"/>
            <w:vAlign w:val="center"/>
          </w:tcPr>
          <w:p w14:paraId="3CEB8492">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2025.01—2025.12</w:t>
            </w:r>
          </w:p>
        </w:tc>
      </w:tr>
      <w:tr w14:paraId="5926ADE1">
        <w:tblPrEx>
          <w:tblCellMar>
            <w:top w:w="15" w:type="dxa"/>
            <w:left w:w="15" w:type="dxa"/>
            <w:bottom w:w="15" w:type="dxa"/>
            <w:right w:w="15" w:type="dxa"/>
          </w:tblCellMar>
        </w:tblPrEx>
        <w:trPr>
          <w:trHeight w:val="306"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ED07EA8">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项目资金</w:t>
            </w:r>
          </w:p>
          <w:p w14:paraId="00E28CF4">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（万元）</w:t>
            </w:r>
          </w:p>
        </w:tc>
        <w:tc>
          <w:tcPr>
            <w:tcW w:w="2930" w:type="dxa"/>
            <w:gridSpan w:val="2"/>
            <w:tcBorders>
              <w:top w:val="single" w:color="000000" w:sz="4" w:space="0"/>
              <w:left w:val="single" w:color="000000" w:sz="4" w:space="0"/>
              <w:bottom w:val="single" w:color="000000" w:sz="4" w:space="0"/>
              <w:right w:val="single" w:color="000000" w:sz="4" w:space="0"/>
            </w:tcBorders>
            <w:noWrap w:val="0"/>
            <w:vAlign w:val="center"/>
          </w:tcPr>
          <w:p w14:paraId="5939FC01">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 xml:space="preserve">  年度资金总额：</w:t>
            </w:r>
          </w:p>
        </w:tc>
        <w:tc>
          <w:tcPr>
            <w:tcW w:w="5570" w:type="dxa"/>
            <w:gridSpan w:val="5"/>
            <w:tcBorders>
              <w:top w:val="single" w:color="000000" w:sz="4" w:space="0"/>
              <w:left w:val="single" w:color="000000" w:sz="4" w:space="0"/>
              <w:bottom w:val="single" w:color="000000" w:sz="4" w:space="0"/>
              <w:right w:val="single" w:color="000000" w:sz="4" w:space="0"/>
            </w:tcBorders>
            <w:noWrap w:val="0"/>
            <w:vAlign w:val="center"/>
          </w:tcPr>
          <w:p w14:paraId="1A64E154">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实际支出14.46万元（省级预算下达10万元，县区预算8.54万元）</w:t>
            </w:r>
          </w:p>
        </w:tc>
      </w:tr>
      <w:tr w14:paraId="5345235B">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5C2FE5">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2930" w:type="dxa"/>
            <w:gridSpan w:val="2"/>
            <w:tcBorders>
              <w:top w:val="single" w:color="000000" w:sz="4" w:space="0"/>
              <w:left w:val="single" w:color="000000" w:sz="4" w:space="0"/>
              <w:bottom w:val="single" w:color="000000" w:sz="4" w:space="0"/>
              <w:right w:val="single" w:color="000000" w:sz="4" w:space="0"/>
            </w:tcBorders>
            <w:noWrap w:val="0"/>
            <w:vAlign w:val="center"/>
          </w:tcPr>
          <w:p w14:paraId="052F593A">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 xml:space="preserve">      其中：财政拨款</w:t>
            </w:r>
          </w:p>
        </w:tc>
        <w:tc>
          <w:tcPr>
            <w:tcW w:w="5570" w:type="dxa"/>
            <w:gridSpan w:val="5"/>
            <w:tcBorders>
              <w:top w:val="single" w:color="000000" w:sz="4" w:space="0"/>
              <w:left w:val="single" w:color="000000" w:sz="4" w:space="0"/>
              <w:bottom w:val="single" w:color="000000" w:sz="4" w:space="0"/>
              <w:right w:val="single" w:color="000000" w:sz="4" w:space="0"/>
            </w:tcBorders>
            <w:noWrap w:val="0"/>
            <w:vAlign w:val="center"/>
          </w:tcPr>
          <w:p w14:paraId="14943274">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14.46万元</w:t>
            </w:r>
          </w:p>
        </w:tc>
      </w:tr>
      <w:tr w14:paraId="75EA9D29">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003480">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2930" w:type="dxa"/>
            <w:gridSpan w:val="2"/>
            <w:tcBorders>
              <w:top w:val="single" w:color="000000" w:sz="4" w:space="0"/>
              <w:left w:val="single" w:color="000000" w:sz="4" w:space="0"/>
              <w:bottom w:val="single" w:color="000000" w:sz="4" w:space="0"/>
              <w:right w:val="single" w:color="000000" w:sz="4" w:space="0"/>
            </w:tcBorders>
            <w:noWrap w:val="0"/>
            <w:vAlign w:val="center"/>
          </w:tcPr>
          <w:p w14:paraId="71FD51A0">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 xml:space="preserve">            其他资金</w:t>
            </w:r>
          </w:p>
        </w:tc>
        <w:tc>
          <w:tcPr>
            <w:tcW w:w="5570" w:type="dxa"/>
            <w:gridSpan w:val="5"/>
            <w:tcBorders>
              <w:top w:val="single" w:color="000000" w:sz="4" w:space="0"/>
              <w:left w:val="single" w:color="000000" w:sz="4" w:space="0"/>
              <w:bottom w:val="single" w:color="000000" w:sz="4" w:space="0"/>
              <w:right w:val="single" w:color="000000" w:sz="4" w:space="0"/>
            </w:tcBorders>
            <w:noWrap w:val="0"/>
            <w:vAlign w:val="center"/>
          </w:tcPr>
          <w:p w14:paraId="4F2A1B8C">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r>
      <w:tr w14:paraId="12EA7C02">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8289C91">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6912CFE4">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年度目标</w:t>
            </w:r>
          </w:p>
        </w:tc>
      </w:tr>
      <w:tr w14:paraId="0AA56720">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auto" w:sz="4" w:space="0"/>
              <w:right w:val="single" w:color="000000" w:sz="4" w:space="0"/>
            </w:tcBorders>
            <w:noWrap w:val="0"/>
            <w:vAlign w:val="center"/>
          </w:tcPr>
          <w:p w14:paraId="1E2AC4D9">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9581" w:type="dxa"/>
            <w:gridSpan w:val="8"/>
            <w:tcBorders>
              <w:top w:val="single" w:color="000000" w:sz="4" w:space="0"/>
              <w:left w:val="single" w:color="000000" w:sz="4" w:space="0"/>
              <w:bottom w:val="single" w:color="auto" w:sz="4" w:space="0"/>
              <w:right w:val="single" w:color="000000" w:sz="4" w:space="0"/>
            </w:tcBorders>
            <w:noWrap w:val="0"/>
            <w:vAlign w:val="center"/>
          </w:tcPr>
          <w:p w14:paraId="3F741105">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保障精减退职职工基本生活</w:t>
            </w:r>
          </w:p>
        </w:tc>
      </w:tr>
      <w:tr w14:paraId="59245258">
        <w:tblPrEx>
          <w:tblCellMar>
            <w:top w:w="15" w:type="dxa"/>
            <w:left w:w="15" w:type="dxa"/>
            <w:bottom w:w="15" w:type="dxa"/>
            <w:right w:w="15" w:type="dxa"/>
          </w:tblCellMar>
        </w:tblPrEx>
        <w:trPr>
          <w:trHeight w:val="23" w:hRule="atLeast"/>
          <w:jc w:val="center"/>
        </w:trPr>
        <w:tc>
          <w:tcPr>
            <w:tcW w:w="652" w:type="dxa"/>
            <w:vMerge w:val="restart"/>
            <w:tcBorders>
              <w:top w:val="single" w:color="auto" w:sz="4" w:space="0"/>
              <w:left w:val="single" w:color="auto" w:sz="4" w:space="0"/>
              <w:bottom w:val="single" w:color="auto" w:sz="4" w:space="0"/>
              <w:right w:val="single" w:color="auto" w:sz="4" w:space="0"/>
            </w:tcBorders>
            <w:noWrap w:val="0"/>
            <w:vAlign w:val="center"/>
          </w:tcPr>
          <w:p w14:paraId="52DF79FF">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绩效 指标</w:t>
            </w:r>
          </w:p>
        </w:tc>
        <w:tc>
          <w:tcPr>
            <w:tcW w:w="1081" w:type="dxa"/>
            <w:tcBorders>
              <w:top w:val="single" w:color="auto" w:sz="4" w:space="0"/>
              <w:left w:val="single" w:color="auto" w:sz="4" w:space="0"/>
              <w:bottom w:val="single" w:color="auto" w:sz="4" w:space="0"/>
              <w:right w:val="single" w:color="auto" w:sz="4" w:space="0"/>
            </w:tcBorders>
            <w:noWrap w:val="0"/>
            <w:vAlign w:val="center"/>
          </w:tcPr>
          <w:p w14:paraId="523E5ED3">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一级指标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2835E330">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二级指标</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26EBF25B">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三级指标</w:t>
            </w:r>
          </w:p>
        </w:tc>
        <w:tc>
          <w:tcPr>
            <w:tcW w:w="759" w:type="dxa"/>
            <w:tcBorders>
              <w:top w:val="single" w:color="auto" w:sz="4" w:space="0"/>
              <w:left w:val="single" w:color="auto" w:sz="4" w:space="0"/>
              <w:bottom w:val="single" w:color="auto" w:sz="4" w:space="0"/>
              <w:right w:val="single" w:color="auto" w:sz="4" w:space="0"/>
            </w:tcBorders>
            <w:noWrap w:val="0"/>
            <w:vAlign w:val="center"/>
          </w:tcPr>
          <w:p w14:paraId="5CF8190D">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指标性质</w:t>
            </w:r>
          </w:p>
        </w:tc>
        <w:tc>
          <w:tcPr>
            <w:tcW w:w="971" w:type="dxa"/>
            <w:tcBorders>
              <w:top w:val="single" w:color="auto" w:sz="4" w:space="0"/>
              <w:left w:val="single" w:color="auto" w:sz="4" w:space="0"/>
              <w:bottom w:val="single" w:color="auto" w:sz="4" w:space="0"/>
              <w:right w:val="single" w:color="auto" w:sz="4" w:space="0"/>
            </w:tcBorders>
            <w:noWrap w:val="0"/>
            <w:vAlign w:val="center"/>
          </w:tcPr>
          <w:p w14:paraId="3913B107">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指标值</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52A4C432">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度量单位</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12FAA37E">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权重</w:t>
            </w:r>
          </w:p>
        </w:tc>
        <w:tc>
          <w:tcPr>
            <w:tcW w:w="1841" w:type="dxa"/>
            <w:tcBorders>
              <w:top w:val="single" w:color="auto" w:sz="4" w:space="0"/>
              <w:left w:val="single" w:color="auto" w:sz="4" w:space="0"/>
              <w:bottom w:val="single" w:color="auto" w:sz="4" w:space="0"/>
              <w:right w:val="single" w:color="auto" w:sz="4" w:space="0"/>
            </w:tcBorders>
            <w:noWrap w:val="0"/>
            <w:vAlign w:val="center"/>
          </w:tcPr>
          <w:p w14:paraId="3CA86562">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实际完成指标值</w:t>
            </w:r>
          </w:p>
        </w:tc>
      </w:tr>
      <w:tr w14:paraId="05C1380F">
        <w:tblPrEx>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7FC9D056">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081" w:type="dxa"/>
            <w:vMerge w:val="restart"/>
            <w:tcBorders>
              <w:top w:val="single" w:color="auto" w:sz="4" w:space="0"/>
              <w:left w:val="single" w:color="auto" w:sz="4" w:space="0"/>
              <w:bottom w:val="single" w:color="auto" w:sz="4" w:space="0"/>
              <w:right w:val="single" w:color="auto" w:sz="4" w:space="0"/>
            </w:tcBorders>
            <w:noWrap w:val="0"/>
            <w:vAlign w:val="center"/>
          </w:tcPr>
          <w:p w14:paraId="35AEDCCD">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产出指标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1220DD4A">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数量指标</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49C0173C">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享受精减退职补助人数</w:t>
            </w:r>
          </w:p>
        </w:tc>
        <w:tc>
          <w:tcPr>
            <w:tcW w:w="759" w:type="dxa"/>
            <w:tcBorders>
              <w:top w:val="single" w:color="auto" w:sz="4" w:space="0"/>
              <w:left w:val="single" w:color="auto" w:sz="4" w:space="0"/>
              <w:bottom w:val="single" w:color="auto" w:sz="4" w:space="0"/>
              <w:right w:val="single" w:color="auto" w:sz="4" w:space="0"/>
            </w:tcBorders>
            <w:noWrap w:val="0"/>
            <w:vAlign w:val="center"/>
          </w:tcPr>
          <w:p w14:paraId="61FD23B0">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971" w:type="dxa"/>
            <w:tcBorders>
              <w:top w:val="single" w:color="auto" w:sz="4" w:space="0"/>
              <w:left w:val="single" w:color="auto" w:sz="4" w:space="0"/>
              <w:bottom w:val="single" w:color="auto" w:sz="4" w:space="0"/>
              <w:right w:val="single" w:color="auto" w:sz="4" w:space="0"/>
            </w:tcBorders>
            <w:noWrap w:val="0"/>
            <w:vAlign w:val="center"/>
          </w:tcPr>
          <w:p w14:paraId="3605919E">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≥15人</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4ADCFC5B">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938" w:type="dxa"/>
            <w:tcBorders>
              <w:top w:val="single" w:color="auto" w:sz="4" w:space="0"/>
              <w:left w:val="single" w:color="auto" w:sz="4" w:space="0"/>
              <w:bottom w:val="single" w:color="auto" w:sz="4" w:space="0"/>
              <w:right w:val="single" w:color="auto" w:sz="4" w:space="0"/>
            </w:tcBorders>
            <w:noWrap w:val="0"/>
            <w:vAlign w:val="center"/>
          </w:tcPr>
          <w:p w14:paraId="75502737">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841" w:type="dxa"/>
            <w:tcBorders>
              <w:top w:val="single" w:color="auto" w:sz="4" w:space="0"/>
              <w:left w:val="single" w:color="auto" w:sz="4" w:space="0"/>
              <w:bottom w:val="single" w:color="auto" w:sz="4" w:space="0"/>
              <w:right w:val="single" w:color="auto" w:sz="4" w:space="0"/>
            </w:tcBorders>
            <w:noWrap w:val="0"/>
            <w:vAlign w:val="center"/>
          </w:tcPr>
          <w:p w14:paraId="4594D674">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20人</w:t>
            </w:r>
          </w:p>
        </w:tc>
      </w:tr>
      <w:tr w14:paraId="090FC3CF">
        <w:tblPrEx>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654BB27E">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081" w:type="dxa"/>
            <w:vMerge w:val="continue"/>
            <w:tcBorders>
              <w:top w:val="single" w:color="auto" w:sz="4" w:space="0"/>
              <w:left w:val="single" w:color="auto" w:sz="4" w:space="0"/>
              <w:bottom w:val="single" w:color="auto" w:sz="4" w:space="0"/>
              <w:right w:val="single" w:color="auto" w:sz="4" w:space="0"/>
            </w:tcBorders>
            <w:noWrap w:val="0"/>
            <w:vAlign w:val="center"/>
          </w:tcPr>
          <w:p w14:paraId="44790BE8">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1AF47324">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质量指标</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54F6994B">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精减退职人员基本生活补助标准</w:t>
            </w:r>
          </w:p>
        </w:tc>
        <w:tc>
          <w:tcPr>
            <w:tcW w:w="759" w:type="dxa"/>
            <w:tcBorders>
              <w:top w:val="single" w:color="auto" w:sz="4" w:space="0"/>
              <w:left w:val="single" w:color="auto" w:sz="4" w:space="0"/>
              <w:bottom w:val="single" w:color="auto" w:sz="4" w:space="0"/>
              <w:right w:val="single" w:color="auto" w:sz="4" w:space="0"/>
            </w:tcBorders>
            <w:noWrap w:val="0"/>
            <w:vAlign w:val="center"/>
          </w:tcPr>
          <w:p w14:paraId="09E7A595">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971" w:type="dxa"/>
            <w:tcBorders>
              <w:top w:val="single" w:color="auto" w:sz="4" w:space="0"/>
              <w:left w:val="single" w:color="auto" w:sz="4" w:space="0"/>
              <w:bottom w:val="single" w:color="auto" w:sz="4" w:space="0"/>
              <w:right w:val="single" w:color="auto" w:sz="4" w:space="0"/>
            </w:tcBorders>
            <w:noWrap w:val="0"/>
            <w:vAlign w:val="center"/>
          </w:tcPr>
          <w:p w14:paraId="05AE2232">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不低于600元/月</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05A74379">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938" w:type="dxa"/>
            <w:tcBorders>
              <w:top w:val="single" w:color="auto" w:sz="4" w:space="0"/>
              <w:left w:val="single" w:color="auto" w:sz="4" w:space="0"/>
              <w:bottom w:val="single" w:color="auto" w:sz="4" w:space="0"/>
              <w:right w:val="single" w:color="auto" w:sz="4" w:space="0"/>
            </w:tcBorders>
            <w:noWrap w:val="0"/>
            <w:vAlign w:val="center"/>
          </w:tcPr>
          <w:p w14:paraId="7E808BC3">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841" w:type="dxa"/>
            <w:tcBorders>
              <w:top w:val="single" w:color="auto" w:sz="4" w:space="0"/>
              <w:left w:val="single" w:color="auto" w:sz="4" w:space="0"/>
              <w:bottom w:val="single" w:color="auto" w:sz="4" w:space="0"/>
              <w:right w:val="single" w:color="auto" w:sz="4" w:space="0"/>
            </w:tcBorders>
            <w:noWrap w:val="0"/>
            <w:vAlign w:val="center"/>
          </w:tcPr>
          <w:p w14:paraId="4FA5CBA6">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600元/月</w:t>
            </w:r>
          </w:p>
        </w:tc>
      </w:tr>
      <w:tr w14:paraId="7CC0C8F3">
        <w:tblPrEx>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3FA01C4C">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081" w:type="dxa"/>
            <w:vMerge w:val="continue"/>
            <w:tcBorders>
              <w:top w:val="single" w:color="auto" w:sz="4" w:space="0"/>
              <w:left w:val="single" w:color="auto" w:sz="4" w:space="0"/>
              <w:bottom w:val="single" w:color="auto" w:sz="4" w:space="0"/>
              <w:right w:val="single" w:color="auto" w:sz="4" w:space="0"/>
            </w:tcBorders>
            <w:noWrap w:val="0"/>
            <w:vAlign w:val="center"/>
          </w:tcPr>
          <w:p w14:paraId="16D075FC">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64AAFDA1">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时效指标</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4A2FED85">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资金拨付及时率</w:t>
            </w:r>
          </w:p>
        </w:tc>
        <w:tc>
          <w:tcPr>
            <w:tcW w:w="759" w:type="dxa"/>
            <w:tcBorders>
              <w:top w:val="single" w:color="auto" w:sz="4" w:space="0"/>
              <w:left w:val="single" w:color="auto" w:sz="4" w:space="0"/>
              <w:bottom w:val="single" w:color="auto" w:sz="4" w:space="0"/>
              <w:right w:val="single" w:color="auto" w:sz="4" w:space="0"/>
            </w:tcBorders>
            <w:noWrap w:val="0"/>
            <w:vAlign w:val="center"/>
          </w:tcPr>
          <w:p w14:paraId="3C072F77">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971" w:type="dxa"/>
            <w:tcBorders>
              <w:top w:val="single" w:color="auto" w:sz="4" w:space="0"/>
              <w:left w:val="single" w:color="auto" w:sz="4" w:space="0"/>
              <w:bottom w:val="single" w:color="auto" w:sz="4" w:space="0"/>
              <w:right w:val="single" w:color="auto" w:sz="4" w:space="0"/>
            </w:tcBorders>
            <w:noWrap w:val="0"/>
            <w:vAlign w:val="center"/>
          </w:tcPr>
          <w:p w14:paraId="041723D8">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≥90%</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64C99B32">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938" w:type="dxa"/>
            <w:tcBorders>
              <w:top w:val="single" w:color="auto" w:sz="4" w:space="0"/>
              <w:left w:val="single" w:color="auto" w:sz="4" w:space="0"/>
              <w:bottom w:val="single" w:color="auto" w:sz="4" w:space="0"/>
              <w:right w:val="single" w:color="auto" w:sz="4" w:space="0"/>
            </w:tcBorders>
            <w:noWrap w:val="0"/>
            <w:vAlign w:val="center"/>
          </w:tcPr>
          <w:p w14:paraId="384C1DAB">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841" w:type="dxa"/>
            <w:tcBorders>
              <w:top w:val="single" w:color="auto" w:sz="4" w:space="0"/>
              <w:left w:val="single" w:color="auto" w:sz="4" w:space="0"/>
              <w:bottom w:val="single" w:color="auto" w:sz="4" w:space="0"/>
              <w:right w:val="single" w:color="auto" w:sz="4" w:space="0"/>
            </w:tcBorders>
            <w:noWrap w:val="0"/>
            <w:vAlign w:val="center"/>
          </w:tcPr>
          <w:p w14:paraId="0CA01C43">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100%</w:t>
            </w:r>
          </w:p>
        </w:tc>
      </w:tr>
      <w:tr w14:paraId="55D46F4A">
        <w:tblPrEx>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34420B7F">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081" w:type="dxa"/>
            <w:vMerge w:val="restart"/>
            <w:tcBorders>
              <w:top w:val="single" w:color="auto" w:sz="4" w:space="0"/>
              <w:left w:val="single" w:color="auto" w:sz="4" w:space="0"/>
              <w:bottom w:val="single" w:color="auto" w:sz="4" w:space="0"/>
              <w:right w:val="single" w:color="auto" w:sz="4" w:space="0"/>
            </w:tcBorders>
            <w:noWrap w:val="0"/>
            <w:vAlign w:val="center"/>
          </w:tcPr>
          <w:p w14:paraId="6D803567">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效益指标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1CAD5029">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社会效益</w:t>
            </w:r>
          </w:p>
          <w:p w14:paraId="2DF0710B">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指标</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47270F1F">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受助人员基本生活</w:t>
            </w:r>
          </w:p>
        </w:tc>
        <w:tc>
          <w:tcPr>
            <w:tcW w:w="759" w:type="dxa"/>
            <w:tcBorders>
              <w:top w:val="single" w:color="auto" w:sz="4" w:space="0"/>
              <w:left w:val="single" w:color="auto" w:sz="4" w:space="0"/>
              <w:bottom w:val="single" w:color="auto" w:sz="4" w:space="0"/>
              <w:right w:val="single" w:color="auto" w:sz="4" w:space="0"/>
            </w:tcBorders>
            <w:noWrap w:val="0"/>
            <w:vAlign w:val="center"/>
          </w:tcPr>
          <w:p w14:paraId="121BC8ED">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971" w:type="dxa"/>
            <w:tcBorders>
              <w:top w:val="single" w:color="auto" w:sz="4" w:space="0"/>
              <w:left w:val="single" w:color="auto" w:sz="4" w:space="0"/>
              <w:bottom w:val="single" w:color="auto" w:sz="4" w:space="0"/>
              <w:right w:val="single" w:color="auto" w:sz="4" w:space="0"/>
            </w:tcBorders>
            <w:noWrap w:val="0"/>
            <w:vAlign w:val="center"/>
          </w:tcPr>
          <w:p w14:paraId="47D15BDC">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有效改善</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188BDB33">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938" w:type="dxa"/>
            <w:tcBorders>
              <w:top w:val="single" w:color="auto" w:sz="4" w:space="0"/>
              <w:left w:val="single" w:color="auto" w:sz="4" w:space="0"/>
              <w:bottom w:val="single" w:color="auto" w:sz="4" w:space="0"/>
              <w:right w:val="single" w:color="auto" w:sz="4" w:space="0"/>
            </w:tcBorders>
            <w:noWrap w:val="0"/>
            <w:vAlign w:val="center"/>
          </w:tcPr>
          <w:p w14:paraId="1D4BB665">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841" w:type="dxa"/>
            <w:tcBorders>
              <w:top w:val="single" w:color="auto" w:sz="4" w:space="0"/>
              <w:left w:val="single" w:color="auto" w:sz="4" w:space="0"/>
              <w:bottom w:val="single" w:color="auto" w:sz="4" w:space="0"/>
              <w:right w:val="single" w:color="auto" w:sz="4" w:space="0"/>
            </w:tcBorders>
            <w:noWrap w:val="0"/>
            <w:vAlign w:val="center"/>
          </w:tcPr>
          <w:p w14:paraId="38ACF0C9">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有效改善</w:t>
            </w:r>
          </w:p>
        </w:tc>
      </w:tr>
      <w:tr w14:paraId="7F8CE541">
        <w:tblPrEx>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0D39D72E">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081" w:type="dxa"/>
            <w:vMerge w:val="continue"/>
            <w:tcBorders>
              <w:top w:val="single" w:color="auto" w:sz="4" w:space="0"/>
              <w:left w:val="single" w:color="auto" w:sz="4" w:space="0"/>
              <w:bottom w:val="single" w:color="auto" w:sz="4" w:space="0"/>
              <w:right w:val="single" w:color="auto" w:sz="4" w:space="0"/>
            </w:tcBorders>
            <w:noWrap w:val="0"/>
            <w:vAlign w:val="center"/>
          </w:tcPr>
          <w:p w14:paraId="7376966F">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142ADCB7">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可持续影响   指标</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0D2E380F">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符合条件的受助对象幸福感</w:t>
            </w:r>
          </w:p>
        </w:tc>
        <w:tc>
          <w:tcPr>
            <w:tcW w:w="759" w:type="dxa"/>
            <w:tcBorders>
              <w:top w:val="single" w:color="auto" w:sz="4" w:space="0"/>
              <w:left w:val="single" w:color="auto" w:sz="4" w:space="0"/>
              <w:bottom w:val="single" w:color="auto" w:sz="4" w:space="0"/>
              <w:right w:val="single" w:color="auto" w:sz="4" w:space="0"/>
            </w:tcBorders>
            <w:noWrap w:val="0"/>
            <w:vAlign w:val="center"/>
          </w:tcPr>
          <w:p w14:paraId="62FD84E2">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971" w:type="dxa"/>
            <w:tcBorders>
              <w:top w:val="single" w:color="auto" w:sz="4" w:space="0"/>
              <w:left w:val="single" w:color="auto" w:sz="4" w:space="0"/>
              <w:bottom w:val="single" w:color="auto" w:sz="4" w:space="0"/>
              <w:right w:val="single" w:color="auto" w:sz="4" w:space="0"/>
            </w:tcBorders>
            <w:noWrap w:val="0"/>
            <w:vAlign w:val="center"/>
          </w:tcPr>
          <w:p w14:paraId="2C48045C">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显著提高</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7D4804D1">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938" w:type="dxa"/>
            <w:tcBorders>
              <w:top w:val="single" w:color="auto" w:sz="4" w:space="0"/>
              <w:left w:val="single" w:color="auto" w:sz="4" w:space="0"/>
              <w:bottom w:val="single" w:color="auto" w:sz="4" w:space="0"/>
              <w:right w:val="single" w:color="auto" w:sz="4" w:space="0"/>
            </w:tcBorders>
            <w:noWrap w:val="0"/>
            <w:vAlign w:val="center"/>
          </w:tcPr>
          <w:p w14:paraId="661114E5">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841" w:type="dxa"/>
            <w:tcBorders>
              <w:top w:val="single" w:color="auto" w:sz="4" w:space="0"/>
              <w:left w:val="single" w:color="auto" w:sz="4" w:space="0"/>
              <w:bottom w:val="single" w:color="auto" w:sz="4" w:space="0"/>
              <w:right w:val="single" w:color="auto" w:sz="4" w:space="0"/>
            </w:tcBorders>
            <w:noWrap w:val="0"/>
            <w:vAlign w:val="center"/>
          </w:tcPr>
          <w:p w14:paraId="2FB95C06">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显著提高</w:t>
            </w:r>
          </w:p>
        </w:tc>
      </w:tr>
      <w:tr w14:paraId="2593255E">
        <w:tblPrEx>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1049D124">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209AAF41">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满意度</w:t>
            </w:r>
          </w:p>
          <w:p w14:paraId="74347D9B">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1DC322A2">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服务对象</w:t>
            </w:r>
          </w:p>
          <w:p w14:paraId="76E36E99">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满意度指标</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4AF6378F">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精减退职人员满意度</w:t>
            </w:r>
          </w:p>
        </w:tc>
        <w:tc>
          <w:tcPr>
            <w:tcW w:w="759" w:type="dxa"/>
            <w:tcBorders>
              <w:top w:val="single" w:color="auto" w:sz="4" w:space="0"/>
              <w:left w:val="single" w:color="auto" w:sz="4" w:space="0"/>
              <w:bottom w:val="single" w:color="auto" w:sz="4" w:space="0"/>
              <w:right w:val="single" w:color="auto" w:sz="4" w:space="0"/>
            </w:tcBorders>
            <w:noWrap w:val="0"/>
            <w:vAlign w:val="center"/>
          </w:tcPr>
          <w:p w14:paraId="6A31E528">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971" w:type="dxa"/>
            <w:tcBorders>
              <w:top w:val="single" w:color="auto" w:sz="4" w:space="0"/>
              <w:left w:val="single" w:color="auto" w:sz="4" w:space="0"/>
              <w:bottom w:val="single" w:color="auto" w:sz="4" w:space="0"/>
              <w:right w:val="single" w:color="auto" w:sz="4" w:space="0"/>
            </w:tcBorders>
            <w:noWrap w:val="0"/>
            <w:vAlign w:val="center"/>
          </w:tcPr>
          <w:p w14:paraId="0DA16999">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≥90%</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6960DA4B">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938" w:type="dxa"/>
            <w:tcBorders>
              <w:top w:val="single" w:color="auto" w:sz="4" w:space="0"/>
              <w:left w:val="single" w:color="auto" w:sz="4" w:space="0"/>
              <w:bottom w:val="single" w:color="auto" w:sz="4" w:space="0"/>
              <w:right w:val="single" w:color="auto" w:sz="4" w:space="0"/>
            </w:tcBorders>
            <w:noWrap w:val="0"/>
            <w:vAlign w:val="center"/>
          </w:tcPr>
          <w:p w14:paraId="2DA10699">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p>
        </w:tc>
        <w:tc>
          <w:tcPr>
            <w:tcW w:w="1841" w:type="dxa"/>
            <w:tcBorders>
              <w:top w:val="single" w:color="auto" w:sz="4" w:space="0"/>
              <w:left w:val="single" w:color="auto" w:sz="4" w:space="0"/>
              <w:bottom w:val="single" w:color="auto" w:sz="4" w:space="0"/>
              <w:right w:val="single" w:color="auto" w:sz="4" w:space="0"/>
            </w:tcBorders>
            <w:noWrap w:val="0"/>
            <w:vAlign w:val="center"/>
          </w:tcPr>
          <w:p w14:paraId="7FCC442F">
            <w:pPr>
              <w:keepNext w:val="0"/>
              <w:keepLines w:val="0"/>
              <w:pageBreakBefore w:val="0"/>
              <w:widowControl/>
              <w:suppressLineNumbers w:val="0"/>
              <w:kinsoku/>
              <w:wordWrap/>
              <w:overflowPunct/>
              <w:topLinePunct w:val="0"/>
              <w:autoSpaceDE/>
              <w:autoSpaceDN/>
              <w:bidi w:val="0"/>
              <w:adjustRightInd/>
              <w:snapToGrid/>
              <w:spacing w:line="260" w:lineRule="exact"/>
              <w:ind w:left="0"/>
              <w:jc w:val="center"/>
              <w:textAlignment w:val="center"/>
              <w:rPr>
                <w:rFonts w:hint="default" w:ascii="Times New Roman" w:hAnsi="Times New Roman" w:eastAsia="方正仿宋_GBK" w:cs="Times New Roman"/>
                <w:i w:val="0"/>
                <w:color w:val="000000"/>
                <w:kern w:val="0"/>
                <w:sz w:val="21"/>
                <w:szCs w:val="21"/>
                <w:u w:val="none"/>
                <w:lang w:val="en-US" w:eastAsia="zh-CN"/>
              </w:rPr>
            </w:pPr>
            <w:r>
              <w:rPr>
                <w:rFonts w:hint="default" w:ascii="Times New Roman" w:hAnsi="Times New Roman" w:eastAsia="方正仿宋_GBK" w:cs="Times New Roman"/>
                <w:i w:val="0"/>
                <w:color w:val="000000"/>
                <w:kern w:val="0"/>
                <w:sz w:val="21"/>
                <w:szCs w:val="21"/>
                <w:u w:val="none"/>
                <w:lang w:val="en-US" w:eastAsia="zh-CN"/>
              </w:rPr>
              <w:t>100%</w:t>
            </w:r>
          </w:p>
        </w:tc>
      </w:tr>
    </w:tbl>
    <w:p w14:paraId="0AA85697">
      <w:pPr>
        <w:widowControl/>
        <w:jc w:val="center"/>
        <w:rPr>
          <w:rFonts w:hint="eastAsia" w:eastAsia="黑体"/>
          <w:sz w:val="44"/>
          <w:szCs w:val="44"/>
        </w:rPr>
      </w:pPr>
    </w:p>
    <w:p w14:paraId="465CAB0E">
      <w:pPr>
        <w:pStyle w:val="5"/>
        <w:widowControl w:val="0"/>
        <w:tabs>
          <w:tab w:val="left" w:pos="2160"/>
        </w:tabs>
        <w:spacing w:line="0" w:lineRule="atLeast"/>
        <w:jc w:val="left"/>
        <w:rPr>
          <w:rFonts w:hint="default" w:ascii="Times New Roman" w:hAnsi="Times New Roman" w:eastAsia="黑体" w:cs="Times New Roman"/>
          <w:b w:val="0"/>
          <w:bCs/>
          <w:kern w:val="2"/>
          <w:position w:val="0"/>
          <w:sz w:val="32"/>
          <w:szCs w:val="32"/>
          <w:lang w:val="en-US" w:eastAsia="zh-CN" w:bidi="ar-SA"/>
        </w:rPr>
      </w:pPr>
    </w:p>
    <w:p w14:paraId="5FF4E9D3">
      <w:pPr>
        <w:pStyle w:val="5"/>
        <w:widowControl w:val="0"/>
        <w:tabs>
          <w:tab w:val="left" w:pos="2160"/>
        </w:tabs>
        <w:spacing w:line="0" w:lineRule="atLeast"/>
        <w:jc w:val="left"/>
        <w:rPr>
          <w:rFonts w:hint="default" w:ascii="Times New Roman" w:hAnsi="Times New Roman" w:eastAsia="黑体" w:cs="Times New Roman"/>
          <w:b w:val="0"/>
          <w:bCs/>
          <w:kern w:val="2"/>
          <w:position w:val="0"/>
          <w:sz w:val="32"/>
          <w:szCs w:val="32"/>
          <w:lang w:val="en-US" w:eastAsia="zh-CN" w:bidi="ar-SA"/>
        </w:rPr>
      </w:pPr>
    </w:p>
    <w:p w14:paraId="5EAAC5E9">
      <w:pPr>
        <w:pStyle w:val="5"/>
        <w:widowControl w:val="0"/>
        <w:tabs>
          <w:tab w:val="left" w:pos="2160"/>
        </w:tabs>
        <w:spacing w:line="0" w:lineRule="atLeast"/>
        <w:jc w:val="left"/>
        <w:rPr>
          <w:rFonts w:hint="default" w:ascii="Times New Roman" w:hAnsi="Times New Roman" w:eastAsia="黑体" w:cs="Times New Roman"/>
          <w:b w:val="0"/>
          <w:bCs/>
          <w:kern w:val="2"/>
          <w:position w:val="0"/>
          <w:sz w:val="32"/>
          <w:szCs w:val="32"/>
          <w:lang w:val="en-US" w:eastAsia="zh-CN" w:bidi="ar-SA"/>
        </w:rPr>
      </w:pPr>
    </w:p>
    <w:p w14:paraId="01C24AA5">
      <w:pPr>
        <w:pStyle w:val="5"/>
        <w:widowControl w:val="0"/>
        <w:tabs>
          <w:tab w:val="left" w:pos="2160"/>
        </w:tabs>
        <w:spacing w:line="0" w:lineRule="atLeast"/>
        <w:jc w:val="left"/>
        <w:rPr>
          <w:rFonts w:hint="default" w:ascii="Times New Roman" w:hAnsi="Times New Roman" w:eastAsia="黑体" w:cs="Times New Roman"/>
          <w:b w:val="0"/>
          <w:bCs/>
          <w:kern w:val="2"/>
          <w:position w:val="0"/>
          <w:sz w:val="32"/>
          <w:szCs w:val="32"/>
          <w:lang w:val="en-US" w:eastAsia="zh-CN" w:bidi="ar-SA"/>
        </w:rPr>
      </w:pPr>
    </w:p>
    <w:p w14:paraId="41A5869B">
      <w:pPr>
        <w:pStyle w:val="5"/>
        <w:widowControl w:val="0"/>
        <w:tabs>
          <w:tab w:val="left" w:pos="2160"/>
        </w:tabs>
        <w:spacing w:line="0" w:lineRule="atLeast"/>
        <w:jc w:val="left"/>
        <w:rPr>
          <w:rFonts w:hint="default" w:ascii="Times New Roman" w:hAnsi="Times New Roman" w:eastAsia="黑体" w:cs="Times New Roman"/>
          <w:b w:val="0"/>
          <w:bCs/>
          <w:kern w:val="2"/>
          <w:position w:val="0"/>
          <w:sz w:val="32"/>
          <w:szCs w:val="32"/>
          <w:lang w:val="en-US" w:eastAsia="zh-CN" w:bidi="ar-SA"/>
        </w:rPr>
      </w:pPr>
      <w:r>
        <w:rPr>
          <w:rFonts w:hint="default" w:ascii="Times New Roman" w:hAnsi="Times New Roman" w:eastAsia="黑体" w:cs="Times New Roman"/>
          <w:b w:val="0"/>
          <w:bCs/>
          <w:kern w:val="2"/>
          <w:position w:val="0"/>
          <w:sz w:val="32"/>
          <w:szCs w:val="32"/>
          <w:lang w:val="en-US" w:eastAsia="zh-CN" w:bidi="ar-SA"/>
        </w:rPr>
        <w:t>附件2-2</w:t>
      </w:r>
    </w:p>
    <w:p w14:paraId="0C5DF0DD">
      <w:pPr>
        <w:pStyle w:val="5"/>
        <w:widowControl w:val="0"/>
        <w:tabs>
          <w:tab w:val="left" w:pos="2160"/>
        </w:tabs>
        <w:spacing w:line="0" w:lineRule="atLeast"/>
        <w:jc w:val="center"/>
        <w:rPr>
          <w:rFonts w:hint="default" w:ascii="Times New Roman" w:hAnsi="Times New Roman" w:eastAsia="方正小标宋_GBK" w:cs="Times New Roman"/>
          <w:b w:val="0"/>
          <w:bCs/>
          <w:kern w:val="2"/>
          <w:position w:val="0"/>
          <w:sz w:val="44"/>
          <w:szCs w:val="44"/>
          <w:lang w:val="en-US" w:eastAsia="zh-CN" w:bidi="ar-SA"/>
        </w:rPr>
      </w:pPr>
      <w:r>
        <w:rPr>
          <w:rFonts w:hint="default" w:ascii="Times New Roman" w:hAnsi="Times New Roman" w:eastAsia="方正小标宋_GBK" w:cs="Times New Roman"/>
          <w:b w:val="0"/>
          <w:bCs/>
          <w:kern w:val="2"/>
          <w:position w:val="0"/>
          <w:sz w:val="44"/>
          <w:szCs w:val="44"/>
          <w:lang w:val="en-US" w:eastAsia="zh-CN" w:bidi="ar-SA"/>
        </w:rPr>
        <w:t>攀枝花市民政局</w:t>
      </w:r>
    </w:p>
    <w:p w14:paraId="3D6518C1">
      <w:pPr>
        <w:pStyle w:val="5"/>
        <w:widowControl w:val="0"/>
        <w:tabs>
          <w:tab w:val="left" w:pos="2160"/>
        </w:tabs>
        <w:spacing w:line="0" w:lineRule="atLeast"/>
        <w:jc w:val="center"/>
        <w:rPr>
          <w:rFonts w:hint="default" w:ascii="Times New Roman" w:hAnsi="Times New Roman" w:eastAsia="方正小标宋_GBK" w:cs="Times New Roman"/>
          <w:b w:val="0"/>
          <w:bCs/>
          <w:kern w:val="2"/>
          <w:position w:val="0"/>
          <w:sz w:val="44"/>
          <w:szCs w:val="44"/>
          <w:lang w:val="en-US" w:eastAsia="zh-CN" w:bidi="ar-SA"/>
        </w:rPr>
      </w:pPr>
      <w:r>
        <w:rPr>
          <w:rFonts w:hint="default" w:ascii="Times New Roman" w:hAnsi="Times New Roman" w:eastAsia="方正小标宋_GBK" w:cs="Times New Roman"/>
          <w:b w:val="0"/>
          <w:bCs/>
          <w:kern w:val="2"/>
          <w:position w:val="0"/>
          <w:sz w:val="44"/>
          <w:szCs w:val="44"/>
          <w:lang w:val="en-US" w:eastAsia="zh-CN" w:bidi="ar-SA"/>
        </w:rPr>
        <w:t>关于2025年养老服务发展补助资金专项</w:t>
      </w:r>
    </w:p>
    <w:p w14:paraId="1DA842BE">
      <w:pPr>
        <w:pStyle w:val="5"/>
        <w:numPr>
          <w:ilvl w:val="0"/>
          <w:numId w:val="0"/>
        </w:numPr>
        <w:tabs>
          <w:tab w:val="left" w:pos="2160"/>
        </w:tabs>
        <w:spacing w:line="560" w:lineRule="exact"/>
        <w:ind w:left="1596" w:leftChars="760" w:firstLine="0" w:firstLineChars="0"/>
        <w:jc w:val="left"/>
        <w:rPr>
          <w:rFonts w:hint="default" w:ascii="Times New Roman" w:hAnsi="Times New Roman" w:eastAsia="方正仿宋简体" w:cs="Times New Roman"/>
          <w:sz w:val="32"/>
          <w:szCs w:val="32"/>
          <w:lang w:eastAsia="zh-CN" w:bidi="ar-SA"/>
        </w:rPr>
      </w:pPr>
      <w:r>
        <w:rPr>
          <w:rFonts w:hint="default" w:ascii="Times New Roman" w:hAnsi="Times New Roman" w:eastAsia="方正小标宋_GBK" w:cs="Times New Roman"/>
          <w:b w:val="0"/>
          <w:bCs/>
          <w:kern w:val="2"/>
          <w:position w:val="0"/>
          <w:sz w:val="44"/>
          <w:szCs w:val="44"/>
          <w:lang w:val="en-US" w:eastAsia="zh-CN" w:bidi="ar-SA"/>
        </w:rPr>
        <w:t>绩效自评情况的报告</w:t>
      </w:r>
    </w:p>
    <w:p w14:paraId="4ABD1C9E">
      <w:pPr>
        <w:pStyle w:val="5"/>
        <w:widowControl w:val="0"/>
        <w:tabs>
          <w:tab w:val="left" w:pos="2160"/>
        </w:tabs>
        <w:spacing w:line="0" w:lineRule="atLeast"/>
        <w:jc w:val="center"/>
        <w:rPr>
          <w:rFonts w:hint="default" w:ascii="Times New Roman" w:hAnsi="Times New Roman" w:eastAsia="方正小标宋_GBK" w:cs="Times New Roman"/>
          <w:b w:val="0"/>
          <w:bCs/>
          <w:kern w:val="2"/>
          <w:position w:val="0"/>
          <w:sz w:val="44"/>
          <w:szCs w:val="44"/>
          <w:lang w:val="en-US" w:eastAsia="zh-CN" w:bidi="ar-SA"/>
        </w:rPr>
      </w:pPr>
    </w:p>
    <w:p w14:paraId="589493E1">
      <w:pPr>
        <w:pStyle w:val="37"/>
        <w:keepNext w:val="0"/>
        <w:keepLines w:val="0"/>
        <w:pageBreakBefore w:val="0"/>
        <w:widowControl w:val="0"/>
        <w:kinsoku/>
        <w:wordWrap/>
        <w:overflowPunct/>
        <w:topLinePunct w:val="0"/>
        <w:autoSpaceDE/>
        <w:autoSpaceDN/>
        <w:bidi w:val="0"/>
        <w:spacing w:line="578" w:lineRule="exact"/>
        <w:ind w:left="0" w:firstLine="640"/>
        <w:jc w:val="left"/>
        <w:textAlignment w:val="auto"/>
        <w:rPr>
          <w:rFonts w:hint="default" w:ascii="Times New Roman" w:hAnsi="Times New Roman" w:cs="Times New Roman"/>
          <w:color w:val="auto"/>
          <w:kern w:val="2"/>
          <w:sz w:val="32"/>
          <w:szCs w:val="32"/>
          <w:highlight w:val="none"/>
          <w:lang w:bidi="ar-SA"/>
        </w:rPr>
      </w:pPr>
    </w:p>
    <w:p w14:paraId="7FD6B83D">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黑体_GBK" w:cs="Times New Roman"/>
          <w:kern w:val="2"/>
          <w:sz w:val="32"/>
          <w:szCs w:val="32"/>
          <w:lang w:val="zh-CN" w:eastAsia="zh-CN" w:bidi="ar-SA"/>
        </w:rPr>
      </w:pPr>
      <w:r>
        <w:rPr>
          <w:rFonts w:hint="default" w:ascii="Times New Roman" w:hAnsi="Times New Roman" w:eastAsia="方正黑体_GBK" w:cs="Times New Roman"/>
          <w:kern w:val="2"/>
          <w:sz w:val="32"/>
          <w:szCs w:val="32"/>
          <w:lang w:val="en-US" w:eastAsia="zh-CN" w:bidi="ar-SA"/>
        </w:rPr>
        <w:t>一、</w:t>
      </w:r>
      <w:r>
        <w:rPr>
          <w:rFonts w:hint="default" w:ascii="Times New Roman" w:hAnsi="Times New Roman" w:eastAsia="方正黑体_GBK" w:cs="Times New Roman"/>
          <w:kern w:val="2"/>
          <w:sz w:val="32"/>
          <w:szCs w:val="32"/>
          <w:lang w:val="zh-CN" w:eastAsia="zh-CN" w:bidi="ar-SA"/>
        </w:rPr>
        <w:t>项目概况</w:t>
      </w:r>
    </w:p>
    <w:p w14:paraId="77A4C838">
      <w:pPr>
        <w:keepNext w:val="0"/>
        <w:keepLines w:val="0"/>
        <w:pageBreakBefore w:val="0"/>
        <w:widowControl/>
        <w:kinsoku/>
        <w:wordWrap/>
        <w:overflowPunct/>
        <w:topLinePunct w:val="0"/>
        <w:autoSpaceDE/>
        <w:autoSpaceDN/>
        <w:bidi w:val="0"/>
        <w:adjustRightInd w:val="0"/>
        <w:snapToGrid w:val="0"/>
        <w:spacing w:line="240" w:lineRule="auto"/>
        <w:ind w:left="0" w:firstLine="643" w:firstLineChars="200"/>
        <w:contextualSpacing/>
        <w:jc w:val="both"/>
        <w:textAlignment w:val="auto"/>
        <w:rPr>
          <w:rFonts w:hint="default" w:ascii="Times New Roman" w:hAnsi="Times New Roman" w:eastAsia="方正仿宋_GBK" w:cs="Times New Roman"/>
          <w:kern w:val="2"/>
          <w:position w:val="0"/>
          <w:sz w:val="32"/>
          <w:szCs w:val="32"/>
          <w:lang w:val="zh-CN" w:eastAsia="zh-CN" w:bidi="ar-SA"/>
        </w:rPr>
      </w:pPr>
      <w:r>
        <w:rPr>
          <w:rFonts w:hint="default" w:ascii="Times New Roman" w:hAnsi="Times New Roman" w:eastAsia="方正楷体_GBK" w:cs="Times New Roman"/>
          <w:b/>
          <w:color w:val="auto"/>
          <w:sz w:val="32"/>
          <w:szCs w:val="32"/>
          <w:highlight w:val="none"/>
          <w:u w:val="none"/>
          <w:lang w:val="zh-CN" w:eastAsia="zh-CN" w:bidi="ar-SA"/>
        </w:rPr>
        <w:t>（一）设立背景及基本情况。</w:t>
      </w:r>
      <w:r>
        <w:rPr>
          <w:rFonts w:hint="default" w:ascii="Times New Roman" w:hAnsi="Times New Roman" w:eastAsia="方正仿宋_GBK" w:cs="Times New Roman"/>
          <w:kern w:val="2"/>
          <w:position w:val="0"/>
          <w:sz w:val="32"/>
          <w:szCs w:val="32"/>
          <w:lang w:val="zh-CN" w:eastAsia="zh-CN" w:bidi="ar-SA"/>
        </w:rPr>
        <w:t>为积极应对人口老龄化，满足老年人多样化、多层次服务需求，依据《“十四五”国家老龄事业发展和养老服务体系规划》《四川省老龄事业发展和养老服务体系规划（</w:t>
      </w:r>
      <w:r>
        <w:rPr>
          <w:rFonts w:hint="default" w:ascii="Times New Roman" w:hAnsi="Times New Roman" w:eastAsia="方正仿宋_GBK" w:cs="Times New Roman"/>
          <w:kern w:val="2"/>
          <w:position w:val="0"/>
          <w:sz w:val="32"/>
          <w:szCs w:val="32"/>
          <w:lang w:val="en-US" w:eastAsia="zh-CN" w:bidi="ar-SA"/>
        </w:rPr>
        <w:t>2023-2025</w:t>
      </w:r>
      <w:r>
        <w:rPr>
          <w:rFonts w:hint="default" w:ascii="Times New Roman" w:hAnsi="Times New Roman" w:eastAsia="方正仿宋_GBK" w:cs="Times New Roman"/>
          <w:kern w:val="2"/>
          <w:position w:val="0"/>
          <w:sz w:val="32"/>
          <w:szCs w:val="32"/>
          <w:lang w:val="zh-CN" w:eastAsia="zh-CN" w:bidi="ar-SA"/>
        </w:rPr>
        <w:t>）》《关于深入开展新时代“天府银龄行动”的通知》等政策，养老服务项目紧扣四川省养老服务业发展相关部署，以攀枝花市高质量发展建设共同富裕试验区为核心抓手，聚焦养老服务提质增效核心目标，统筹推进攀枝花市养老服务体系建设。整合市、县（区）、乡（镇、街道）三级养老服务资源，构建“政策引领、资金保障、阵地支撑、服务落地”的养老服务业发展体系，推动养老服务标准化、专业化、多元化发展，切实提升老年人养老服务获得感、幸福感。</w:t>
      </w:r>
    </w:p>
    <w:p w14:paraId="1047ED6D">
      <w:pPr>
        <w:keepNext w:val="0"/>
        <w:keepLines w:val="0"/>
        <w:pageBreakBefore w:val="0"/>
        <w:widowControl/>
        <w:kinsoku/>
        <w:wordWrap/>
        <w:overflowPunct/>
        <w:topLinePunct w:val="0"/>
        <w:autoSpaceDE/>
        <w:autoSpaceDN/>
        <w:bidi w:val="0"/>
        <w:adjustRightInd w:val="0"/>
        <w:snapToGrid w:val="0"/>
        <w:spacing w:line="240" w:lineRule="auto"/>
        <w:ind w:left="0" w:firstLine="643" w:firstLineChars="200"/>
        <w:contextualSpacing/>
        <w:jc w:val="both"/>
        <w:textAlignment w:val="auto"/>
        <w:rPr>
          <w:rFonts w:hint="default" w:ascii="Times New Roman" w:hAnsi="Times New Roman" w:eastAsia="方正仿宋_GBK" w:cs="Times New Roman"/>
          <w:kern w:val="2"/>
          <w:position w:val="0"/>
          <w:sz w:val="32"/>
          <w:szCs w:val="32"/>
          <w:lang w:val="zh-CN" w:eastAsia="zh-CN" w:bidi="ar-SA"/>
        </w:rPr>
      </w:pPr>
      <w:r>
        <w:rPr>
          <w:rFonts w:hint="default" w:ascii="Times New Roman" w:hAnsi="Times New Roman" w:eastAsia="方正楷体_GBK" w:cs="Times New Roman"/>
          <w:b/>
          <w:color w:val="auto"/>
          <w:sz w:val="32"/>
          <w:szCs w:val="32"/>
          <w:highlight w:val="none"/>
          <w:u w:val="none"/>
          <w:lang w:val="zh-CN" w:eastAsia="zh-CN" w:bidi="ar-SA"/>
        </w:rPr>
        <w:t>（二）</w:t>
      </w:r>
      <w:r>
        <w:rPr>
          <w:rFonts w:hint="default" w:ascii="Times New Roman" w:hAnsi="Times New Roman" w:eastAsia="方正楷体_GBK" w:cs="Times New Roman"/>
          <w:b/>
          <w:color w:val="auto"/>
          <w:sz w:val="32"/>
          <w:szCs w:val="32"/>
          <w:highlight w:val="none"/>
          <w:u w:val="none"/>
          <w:lang w:val="en-US" w:eastAsia="zh-CN" w:bidi="ar-SA"/>
        </w:rPr>
        <w:t>实施目的及支持方向。</w:t>
      </w:r>
      <w:r>
        <w:rPr>
          <w:rFonts w:hint="default" w:ascii="Times New Roman" w:hAnsi="Times New Roman" w:eastAsia="方正仿宋_GBK" w:cs="Times New Roman"/>
          <w:kern w:val="2"/>
          <w:position w:val="0"/>
          <w:sz w:val="32"/>
          <w:szCs w:val="32"/>
          <w:lang w:val="zh-CN" w:eastAsia="zh-CN" w:bidi="ar-SA"/>
        </w:rPr>
        <w:t>补齐攀枝花市养老服务业发展短板，充分挖掘“银龄资源”，促进老年人社会参与，为区域发展注入银发力量，完善居家社区机构相协调、医养康养相结合的养老服务体系，满足老年人多层次、多样化养老服务需求，夯实养老服务民生保障基础。支持方向包括：</w:t>
      </w:r>
      <w:r>
        <w:rPr>
          <w:rFonts w:hint="default" w:ascii="Times New Roman" w:hAnsi="Times New Roman" w:eastAsia="方正仿宋_GBK" w:cs="Times New Roman"/>
          <w:kern w:val="2"/>
          <w:position w:val="0"/>
          <w:sz w:val="32"/>
          <w:szCs w:val="32"/>
          <w:lang w:val="en-US" w:eastAsia="zh-CN" w:bidi="ar-SA"/>
        </w:rPr>
        <w:t>社区养老服务综合体建设，</w:t>
      </w:r>
      <w:r>
        <w:rPr>
          <w:rFonts w:hint="default" w:ascii="Times New Roman" w:hAnsi="Times New Roman" w:eastAsia="方正仿宋_GBK" w:cs="Times New Roman"/>
          <w:kern w:val="2"/>
          <w:position w:val="0"/>
          <w:sz w:val="32"/>
          <w:szCs w:val="32"/>
          <w:lang w:val="zh-CN" w:eastAsia="zh-CN" w:bidi="ar-SA"/>
        </w:rPr>
        <w:t>示范性老年助餐服务网络建设，失能老年人家庭照护服务，困难老年人家庭适老化改造，老年人能力综合评估，服务补贴类项目及实施居家社区养老服务集成改革创新试点，</w:t>
      </w:r>
      <w:r>
        <w:rPr>
          <w:rFonts w:hint="default" w:ascii="Times New Roman" w:hAnsi="Times New Roman" w:eastAsia="方正仿宋_GBK" w:cs="Times New Roman"/>
          <w:kern w:val="2"/>
          <w:position w:val="0"/>
          <w:sz w:val="32"/>
          <w:szCs w:val="32"/>
          <w:lang w:val="en-US" w:eastAsia="zh-CN" w:bidi="ar-SA"/>
        </w:rPr>
        <w:t>助力积极应对人口老龄化国家战略。</w:t>
      </w:r>
    </w:p>
    <w:p w14:paraId="38BDA949">
      <w:pPr>
        <w:keepNext w:val="0"/>
        <w:keepLines w:val="0"/>
        <w:pageBreakBefore w:val="0"/>
        <w:widowControl/>
        <w:kinsoku/>
        <w:wordWrap/>
        <w:overflowPunct/>
        <w:topLinePunct w:val="0"/>
        <w:autoSpaceDE/>
        <w:autoSpaceDN/>
        <w:bidi w:val="0"/>
        <w:adjustRightInd w:val="0"/>
        <w:snapToGrid w:val="0"/>
        <w:spacing w:line="240" w:lineRule="auto"/>
        <w:ind w:left="0" w:firstLine="643" w:firstLineChars="200"/>
        <w:contextualSpacing/>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楷体_GBK" w:cs="Times New Roman"/>
          <w:b/>
          <w:color w:val="auto"/>
          <w:sz w:val="32"/>
          <w:szCs w:val="32"/>
          <w:highlight w:val="none"/>
          <w:u w:val="none"/>
          <w:lang w:val="zh-CN" w:eastAsia="zh-CN" w:bidi="ar-SA"/>
        </w:rPr>
        <w:t>（三）</w:t>
      </w:r>
      <w:r>
        <w:rPr>
          <w:rFonts w:hint="default" w:ascii="Times New Roman" w:hAnsi="Times New Roman" w:eastAsia="方正楷体_GBK" w:cs="Times New Roman"/>
          <w:b/>
          <w:color w:val="auto"/>
          <w:sz w:val="32"/>
          <w:szCs w:val="32"/>
          <w:highlight w:val="none"/>
          <w:u w:val="none"/>
          <w:lang w:val="en-US" w:eastAsia="zh-CN" w:bidi="ar-SA"/>
        </w:rPr>
        <w:t>预算安排及分配管理</w:t>
      </w:r>
      <w:r>
        <w:rPr>
          <w:rFonts w:hint="default" w:ascii="Times New Roman" w:hAnsi="Times New Roman" w:eastAsia="方正楷体_GBK" w:cs="Times New Roman"/>
          <w:b/>
          <w:color w:val="auto"/>
          <w:sz w:val="32"/>
          <w:szCs w:val="32"/>
          <w:highlight w:val="none"/>
          <w:u w:val="none"/>
          <w:lang w:val="zh-CN" w:eastAsia="zh-CN" w:bidi="ar-SA"/>
        </w:rPr>
        <w:t>。</w:t>
      </w:r>
      <w:r>
        <w:rPr>
          <w:rFonts w:hint="default" w:ascii="Times New Roman" w:hAnsi="Times New Roman" w:eastAsia="方正仿宋_GBK" w:cs="Times New Roman"/>
          <w:kern w:val="2"/>
          <w:position w:val="0"/>
          <w:sz w:val="32"/>
          <w:szCs w:val="32"/>
          <w:lang w:val="zh-CN" w:eastAsia="zh-CN" w:bidi="ar-SA"/>
        </w:rPr>
        <w:t>项目经费实行“财政统筹保障、专款专用管理”模式，资金全部来源于中央和省级财政养老服务发展补助资金，严格按照养老服务发展规划及年度工作重点分配。资金分配遵循“保基本、补短板、促均衡、提质量”原则，按“分级负责、按需分配”要求，优先保障重点领域和薄弱区域的服务需求，由市、县养老服务主管部门统筹制定资金分配方案后下达至各实施单位，确保资金使用精准对接养老服务需求。</w:t>
      </w:r>
    </w:p>
    <w:p w14:paraId="3EF2A025">
      <w:pPr>
        <w:keepNext w:val="0"/>
        <w:keepLines w:val="0"/>
        <w:pageBreakBefore w:val="0"/>
        <w:widowControl/>
        <w:kinsoku/>
        <w:wordWrap/>
        <w:overflowPunct/>
        <w:topLinePunct w:val="0"/>
        <w:autoSpaceDE/>
        <w:autoSpaceDN/>
        <w:bidi w:val="0"/>
        <w:adjustRightInd w:val="0"/>
        <w:snapToGrid w:val="0"/>
        <w:spacing w:line="240" w:lineRule="auto"/>
        <w:ind w:left="0" w:firstLine="643" w:firstLineChars="200"/>
        <w:contextualSpacing/>
        <w:jc w:val="both"/>
        <w:textAlignment w:val="auto"/>
        <w:rPr>
          <w:rFonts w:hint="default" w:ascii="Times New Roman" w:hAnsi="Times New Roman" w:eastAsia="方正楷体_GBK" w:cs="Times New Roman"/>
          <w:b/>
          <w:color w:val="auto"/>
          <w:sz w:val="32"/>
          <w:szCs w:val="32"/>
          <w:highlight w:val="none"/>
          <w:u w:val="none"/>
          <w:lang w:val="zh-CN" w:eastAsia="zh-CN" w:bidi="ar-SA"/>
        </w:rPr>
      </w:pPr>
      <w:r>
        <w:rPr>
          <w:rFonts w:hint="default" w:ascii="Times New Roman" w:hAnsi="Times New Roman" w:eastAsia="方正楷体_GBK" w:cs="Times New Roman"/>
          <w:b/>
          <w:color w:val="auto"/>
          <w:sz w:val="32"/>
          <w:szCs w:val="32"/>
          <w:highlight w:val="none"/>
          <w:u w:val="none"/>
          <w:lang w:val="zh-CN" w:eastAsia="zh-CN" w:bidi="ar-SA"/>
        </w:rPr>
        <w:t>（四）项目绩效目标设置。</w:t>
      </w:r>
    </w:p>
    <w:p w14:paraId="017C2698">
      <w:pPr>
        <w:pStyle w:val="5"/>
        <w:keepNext w:val="0"/>
        <w:keepLines w:val="0"/>
        <w:pageBreakBefore w:val="0"/>
        <w:widowControl w:val="0"/>
        <w:tabs>
          <w:tab w:val="left" w:pos="2160"/>
        </w:tabs>
        <w:kinsoku/>
        <w:wordWrap/>
        <w:overflowPunct/>
        <w:topLinePunct w:val="0"/>
        <w:autoSpaceDE/>
        <w:autoSpaceDN/>
        <w:bidi w:val="0"/>
        <w:adjustRightInd/>
        <w:snapToGrid/>
        <w:spacing w:line="240" w:lineRule="auto"/>
        <w:ind w:firstLine="643" w:firstLineChars="200"/>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仿宋_GBK" w:cs="Times New Roman"/>
          <w:b/>
          <w:bCs/>
          <w:kern w:val="2"/>
          <w:position w:val="0"/>
          <w:sz w:val="32"/>
          <w:szCs w:val="32"/>
          <w:lang w:val="en-US" w:eastAsia="zh-CN" w:bidi="ar-SA"/>
        </w:rPr>
        <w:t>总体目标：</w:t>
      </w:r>
      <w:r>
        <w:rPr>
          <w:rFonts w:hint="default" w:ascii="Times New Roman" w:hAnsi="Times New Roman" w:eastAsia="方正仿宋_GBK" w:cs="Times New Roman"/>
          <w:b/>
          <w:color w:val="auto"/>
          <w:kern w:val="2"/>
          <w:position w:val="0"/>
          <w:sz w:val="32"/>
          <w:szCs w:val="32"/>
          <w:highlight w:val="none"/>
          <w:u w:val="none"/>
          <w:lang w:val="en-US" w:eastAsia="zh-CN" w:bidi="ar-SA"/>
        </w:rPr>
        <w:t>一是</w:t>
      </w:r>
      <w:r>
        <w:rPr>
          <w:rFonts w:hint="default" w:ascii="Times New Roman" w:hAnsi="Times New Roman" w:eastAsia="方正仿宋_GBK" w:cs="Times New Roman"/>
          <w:kern w:val="2"/>
          <w:position w:val="0"/>
          <w:sz w:val="32"/>
          <w:szCs w:val="32"/>
          <w:lang w:val="en-US" w:eastAsia="zh-CN" w:bidi="ar-SA"/>
        </w:rPr>
        <w:t>积极支持构建以居家为基础、社区为依托、机构为补充、医养结合的社会养老服务体系，增加有效服务供给，提升养老服务质量，不断满足人民群众日益增长的养老服务需求。</w:t>
      </w:r>
      <w:r>
        <w:rPr>
          <w:rFonts w:hint="default" w:ascii="Times New Roman" w:hAnsi="Times New Roman" w:eastAsia="方正仿宋_GBK" w:cs="Times New Roman"/>
          <w:b/>
          <w:color w:val="auto"/>
          <w:kern w:val="2"/>
          <w:position w:val="0"/>
          <w:sz w:val="32"/>
          <w:szCs w:val="32"/>
          <w:highlight w:val="none"/>
          <w:u w:val="none"/>
          <w:lang w:val="en-US" w:eastAsia="zh-CN" w:bidi="ar-SA"/>
        </w:rPr>
        <w:t>二是</w:t>
      </w:r>
      <w:r>
        <w:rPr>
          <w:rFonts w:hint="default" w:ascii="Times New Roman" w:hAnsi="Times New Roman" w:eastAsia="方正仿宋_GBK" w:cs="Times New Roman"/>
          <w:kern w:val="2"/>
          <w:position w:val="0"/>
          <w:sz w:val="32"/>
          <w:szCs w:val="32"/>
          <w:lang w:val="en-US" w:eastAsia="zh-CN" w:bidi="ar-SA"/>
        </w:rPr>
        <w:t>通过支持当地老年助餐机构根据需要购置或更新助餐设施设备，提升居家和社区基本养老服务便捷性和可及性。</w:t>
      </w:r>
      <w:r>
        <w:rPr>
          <w:rFonts w:hint="default" w:ascii="Times New Roman" w:hAnsi="Times New Roman" w:eastAsia="方正仿宋_GBK" w:cs="Times New Roman"/>
          <w:b/>
          <w:color w:val="auto"/>
          <w:kern w:val="2"/>
          <w:position w:val="0"/>
          <w:sz w:val="32"/>
          <w:szCs w:val="32"/>
          <w:highlight w:val="none"/>
          <w:u w:val="none"/>
          <w:lang w:val="en-US" w:eastAsia="zh-CN" w:bidi="ar-SA"/>
        </w:rPr>
        <w:t>三是</w:t>
      </w:r>
      <w:r>
        <w:rPr>
          <w:rFonts w:hint="default" w:ascii="Times New Roman" w:hAnsi="Times New Roman" w:eastAsia="方正仿宋_GBK" w:cs="Times New Roman"/>
          <w:kern w:val="2"/>
          <w:position w:val="0"/>
          <w:sz w:val="32"/>
          <w:szCs w:val="32"/>
          <w:lang w:val="en-US" w:eastAsia="zh-CN" w:bidi="ar-SA"/>
        </w:rPr>
        <w:t>到2026年底，试点地区老年人能力综合评估实现100%覆盖，基本建成综合养老服务供需对接平台，统筹各类涉老服务资源，链接集中照料、居家照护等养老服务市场资源，实现“15分钟养老服务圈”覆盖率达到80%以上。</w:t>
      </w:r>
      <w:r>
        <w:rPr>
          <w:rFonts w:hint="default" w:ascii="Times New Roman" w:hAnsi="Times New Roman" w:eastAsia="方正仿宋_GBK" w:cs="Times New Roman"/>
          <w:b/>
          <w:color w:val="auto"/>
          <w:kern w:val="2"/>
          <w:position w:val="0"/>
          <w:sz w:val="32"/>
          <w:szCs w:val="32"/>
          <w:highlight w:val="none"/>
          <w:u w:val="none"/>
          <w:lang w:val="en-US" w:eastAsia="zh-CN" w:bidi="ar-SA"/>
        </w:rPr>
        <w:t>四是</w:t>
      </w:r>
      <w:r>
        <w:rPr>
          <w:rFonts w:hint="default" w:ascii="Times New Roman" w:hAnsi="Times New Roman" w:eastAsia="方正仿宋_GBK" w:cs="Times New Roman"/>
          <w:kern w:val="2"/>
          <w:position w:val="0"/>
          <w:sz w:val="32"/>
          <w:szCs w:val="32"/>
          <w:lang w:val="en-US" w:eastAsia="zh-CN" w:bidi="ar-SA"/>
        </w:rPr>
        <w:t>2026年“天府银龄行动”有序启动，2026年规范提升，2027年初步形成“银耀花城”特色品牌。</w:t>
      </w:r>
    </w:p>
    <w:p w14:paraId="4627E293">
      <w:pPr>
        <w:keepNext w:val="0"/>
        <w:keepLines w:val="0"/>
        <w:pageBreakBefore w:val="0"/>
        <w:widowControl w:val="0"/>
        <w:tabs>
          <w:tab w:val="left" w:pos="1911"/>
        </w:tabs>
        <w:kinsoku/>
        <w:wordWrap/>
        <w:overflowPunct/>
        <w:topLinePunct w:val="0"/>
        <w:autoSpaceDE/>
        <w:autoSpaceDN/>
        <w:bidi w:val="0"/>
        <w:adjustRightInd/>
        <w:snapToGrid/>
        <w:spacing w:line="240" w:lineRule="auto"/>
        <w:ind w:left="0" w:leftChars="0" w:firstLine="643" w:firstLineChars="200"/>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仿宋_GBK" w:cs="Times New Roman"/>
          <w:b/>
          <w:bCs/>
          <w:kern w:val="2"/>
          <w:position w:val="0"/>
          <w:sz w:val="32"/>
          <w:szCs w:val="32"/>
          <w:lang w:val="en-US" w:eastAsia="zh-CN" w:bidi="ar-SA"/>
        </w:rPr>
        <w:t>具体目标：</w:t>
      </w:r>
      <w:r>
        <w:rPr>
          <w:rFonts w:hint="default" w:ascii="Times New Roman" w:hAnsi="Times New Roman" w:eastAsia="方正仿宋_GBK" w:cs="Times New Roman"/>
          <w:b/>
          <w:color w:val="auto"/>
          <w:kern w:val="2"/>
          <w:position w:val="0"/>
          <w:sz w:val="32"/>
          <w:szCs w:val="32"/>
          <w:highlight w:val="none"/>
          <w:u w:val="none"/>
          <w:lang w:val="en-US" w:eastAsia="zh-CN" w:bidi="ar-SA"/>
        </w:rPr>
        <w:t>一是</w:t>
      </w:r>
      <w:r>
        <w:rPr>
          <w:rFonts w:hint="default" w:ascii="Times New Roman" w:hAnsi="Times New Roman" w:eastAsia="方正仿宋_GBK" w:cs="Times New Roman"/>
          <w:kern w:val="2"/>
          <w:position w:val="0"/>
          <w:sz w:val="32"/>
          <w:szCs w:val="32"/>
          <w:lang w:val="en-US" w:eastAsia="zh-CN" w:bidi="ar-SA"/>
        </w:rPr>
        <w:t>新增社区养老服务综合体不少于5个，新增示范性老年助餐网络不少于5个，新增失能老年人家庭照护服务点位不少于5个，困难老年人家庭适老化改造户数不少于184户，老年人能力评估人次不少于1.12万人次，受益老年人及家庭满意度不低于90%。</w:t>
      </w:r>
      <w:r>
        <w:rPr>
          <w:rFonts w:hint="default" w:ascii="Times New Roman" w:hAnsi="Times New Roman" w:eastAsia="方正仿宋_GBK" w:cs="Times New Roman"/>
          <w:b/>
          <w:bCs/>
          <w:kern w:val="2"/>
          <w:position w:val="0"/>
          <w:sz w:val="32"/>
          <w:szCs w:val="32"/>
          <w:lang w:val="en-US" w:eastAsia="zh-CN" w:bidi="ar-SA"/>
        </w:rPr>
        <w:t>二是</w:t>
      </w:r>
      <w:r>
        <w:rPr>
          <w:rFonts w:hint="default" w:ascii="Times New Roman" w:hAnsi="Times New Roman" w:eastAsia="方正仿宋_GBK" w:cs="Times New Roman"/>
          <w:kern w:val="2"/>
          <w:position w:val="0"/>
          <w:sz w:val="32"/>
          <w:szCs w:val="32"/>
          <w:lang w:val="en-US" w:eastAsia="zh-CN" w:bidi="ar-SA"/>
        </w:rPr>
        <w:t>添置更新设施设备的老年助餐点位不少于21个，通过支持老年助餐点添置更新设施设备，显著提升助餐服务覆盖率和老年人就餐便利度，受益家庭和老年人满意度不低于90%。</w:t>
      </w:r>
      <w:r>
        <w:rPr>
          <w:rFonts w:hint="default" w:ascii="Times New Roman" w:hAnsi="Times New Roman" w:eastAsia="方正仿宋_GBK" w:cs="Times New Roman"/>
          <w:b/>
          <w:color w:val="auto"/>
          <w:kern w:val="2"/>
          <w:position w:val="0"/>
          <w:sz w:val="32"/>
          <w:szCs w:val="32"/>
          <w:highlight w:val="none"/>
          <w:u w:val="none"/>
          <w:lang w:val="en-US" w:eastAsia="zh-CN" w:bidi="ar-SA"/>
        </w:rPr>
        <w:t>三是</w:t>
      </w:r>
      <w:r>
        <w:rPr>
          <w:rFonts w:hint="default" w:ascii="Times New Roman" w:hAnsi="Times New Roman" w:eastAsia="方正仿宋_GBK" w:cs="Times New Roman"/>
          <w:kern w:val="2"/>
          <w:position w:val="0"/>
          <w:sz w:val="32"/>
          <w:szCs w:val="32"/>
          <w:lang w:val="en-US" w:eastAsia="zh-CN" w:bidi="ar-SA"/>
        </w:rPr>
        <w:t>按照</w:t>
      </w:r>
      <w:r>
        <w:rPr>
          <w:rFonts w:hint="default" w:ascii="Times New Roman" w:hAnsi="Times New Roman" w:eastAsia="方正仿宋_GBK" w:cs="Times New Roman"/>
          <w:kern w:val="2"/>
          <w:position w:val="0"/>
          <w:sz w:val="32"/>
          <w:szCs w:val="32"/>
          <w:lang w:val="zh-CN" w:eastAsia="zh-CN" w:bidi="ar-SA"/>
        </w:rPr>
        <w:t>居家社区养老服务集成改革创新试点要求建设家庭养老床位</w:t>
      </w:r>
      <w:r>
        <w:rPr>
          <w:rFonts w:hint="default" w:ascii="Times New Roman" w:hAnsi="Times New Roman" w:eastAsia="方正仿宋_GBK" w:cs="Times New Roman"/>
          <w:kern w:val="2"/>
          <w:position w:val="0"/>
          <w:sz w:val="32"/>
          <w:szCs w:val="32"/>
          <w:lang w:val="en-US" w:eastAsia="zh-CN" w:bidi="ar-SA"/>
        </w:rPr>
        <w:t>不少于300张，实施高龄独居（空巢）老年人家庭智能化安全改造并提供日常安全监测服务覆盖人数不少于2000名，为失能老年人家庭提供喘息服务次数不少于3000人次，培育连锁化、品牌化、专业化的居家社区养老服务机构不少于1个，创建老年认知障碍友好社区不少于1个，建设老年认知障碍照护床位不少于100张，创建标志性老年产品用品市集不少于1个，举办“养老服务消费季”活动不少于6场，运行使用具有完善功能的养老服务信息平台不少于1个，享受居家社区养老服务的老年人满意度不低于95%。</w:t>
      </w:r>
      <w:r>
        <w:rPr>
          <w:rFonts w:hint="default" w:ascii="Times New Roman" w:hAnsi="Times New Roman" w:eastAsia="方正仿宋_GBK" w:cs="Times New Roman"/>
          <w:b/>
          <w:color w:val="auto"/>
          <w:kern w:val="2"/>
          <w:position w:val="0"/>
          <w:sz w:val="32"/>
          <w:szCs w:val="32"/>
          <w:highlight w:val="none"/>
          <w:u w:val="none"/>
          <w:lang w:val="en-US" w:eastAsia="zh-CN" w:bidi="ar-SA"/>
        </w:rPr>
        <w:t>四是</w:t>
      </w:r>
      <w:r>
        <w:rPr>
          <w:rFonts w:hint="default" w:ascii="Times New Roman" w:hAnsi="Times New Roman" w:eastAsia="方正仿宋_GBK" w:cs="Times New Roman"/>
          <w:kern w:val="2"/>
          <w:position w:val="0"/>
          <w:sz w:val="32"/>
          <w:szCs w:val="32"/>
          <w:lang w:val="en-US" w:eastAsia="zh-CN" w:bidi="ar-SA"/>
        </w:rPr>
        <w:t>开展志愿服务活动不少于180场次，老年志愿服务对象满意度不小于90%。</w:t>
      </w:r>
    </w:p>
    <w:p w14:paraId="4D1DCC4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黑体_GBK" w:cs="Times New Roman"/>
          <w:kern w:val="2"/>
          <w:sz w:val="32"/>
          <w:szCs w:val="32"/>
          <w:lang w:val="en-US" w:eastAsia="zh-CN" w:bidi="ar-SA"/>
        </w:rPr>
      </w:pPr>
      <w:r>
        <w:rPr>
          <w:rFonts w:hint="default" w:ascii="Times New Roman" w:hAnsi="Times New Roman" w:eastAsia="方正黑体_GBK" w:cs="Times New Roman"/>
          <w:kern w:val="2"/>
          <w:sz w:val="32"/>
          <w:szCs w:val="32"/>
          <w:lang w:val="en-US" w:eastAsia="zh-CN" w:bidi="ar-SA"/>
        </w:rPr>
        <w:t>二、评价实施</w:t>
      </w:r>
    </w:p>
    <w:p w14:paraId="71601AEE">
      <w:pPr>
        <w:keepNext w:val="0"/>
        <w:keepLines w:val="0"/>
        <w:pageBreakBefore w:val="0"/>
        <w:widowControl/>
        <w:kinsoku/>
        <w:wordWrap/>
        <w:overflowPunct/>
        <w:topLinePunct w:val="0"/>
        <w:autoSpaceDE/>
        <w:autoSpaceDN/>
        <w:bidi w:val="0"/>
        <w:adjustRightInd w:val="0"/>
        <w:snapToGrid w:val="0"/>
        <w:spacing w:line="560" w:lineRule="exact"/>
        <w:ind w:left="0" w:firstLine="643" w:firstLineChars="200"/>
        <w:contextualSpacing/>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楷体_GBK" w:cs="Times New Roman"/>
          <w:b/>
          <w:color w:val="auto"/>
          <w:sz w:val="32"/>
          <w:szCs w:val="32"/>
          <w:highlight w:val="none"/>
          <w:u w:val="none"/>
          <w:lang w:val="zh-CN" w:eastAsia="zh-CN" w:bidi="ar-SA"/>
        </w:rPr>
        <w:t>（一）评价目的</w:t>
      </w:r>
      <w:r>
        <w:rPr>
          <w:rFonts w:hint="default" w:ascii="Times New Roman" w:hAnsi="Times New Roman" w:eastAsia="方正仿宋_GBK" w:cs="Times New Roman"/>
          <w:b/>
          <w:color w:val="auto"/>
          <w:sz w:val="32"/>
          <w:szCs w:val="32"/>
          <w:highlight w:val="none"/>
          <w:u w:val="none"/>
          <w:lang w:val="zh-CN" w:eastAsia="zh-CN" w:bidi="ar-SA"/>
        </w:rPr>
        <w:t>。</w:t>
      </w:r>
      <w:r>
        <w:rPr>
          <w:rFonts w:hint="default" w:ascii="Times New Roman" w:hAnsi="Times New Roman" w:eastAsia="方正仿宋_GBK" w:cs="Times New Roman"/>
          <w:kern w:val="2"/>
          <w:position w:val="0"/>
          <w:sz w:val="32"/>
          <w:szCs w:val="32"/>
          <w:lang w:val="en-US" w:eastAsia="zh-CN" w:bidi="ar-SA"/>
        </w:rPr>
        <w:t>全面掌握攀枝花市养老服务专项资金使用与项目实施效果，检验资金使用的规范性、有效性与安全性，核实绩效目标完成情况，梳理项目实施及资金管理中的优势与问题，为优化养老服务业资金分配、完善项目管理机制、提升养老服务发展质量提供科学依据，分析项目管理中的优势与不足，核实绩效目标完成情况，为优化项目实施、提升资金使用效益提供依据，推动养老服务补助资金实现“精准投放、高效使用”。</w:t>
      </w:r>
    </w:p>
    <w:p w14:paraId="4691CF00">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outlineLvl w:val="9"/>
        <w:rPr>
          <w:rFonts w:hint="default" w:ascii="Times New Roman" w:hAnsi="Times New Roman" w:eastAsia="方正楷体_GBK" w:cs="Times New Roman"/>
          <w:b/>
          <w:szCs w:val="32"/>
          <w:lang w:eastAsia="zh-CN" w:bidi="ar-SA"/>
        </w:rPr>
      </w:pPr>
      <w:r>
        <w:rPr>
          <w:rFonts w:hint="default" w:ascii="Times New Roman" w:hAnsi="Times New Roman" w:eastAsia="方正楷体_GBK" w:cs="Times New Roman"/>
          <w:b/>
          <w:color w:val="auto"/>
          <w:sz w:val="32"/>
          <w:szCs w:val="32"/>
          <w:highlight w:val="none"/>
          <w:u w:val="none"/>
          <w:lang w:val="zh-CN" w:eastAsia="zh-CN" w:bidi="ar-SA"/>
        </w:rPr>
        <w:t>（二）预设问题及评价重点</w:t>
      </w:r>
      <w:r>
        <w:rPr>
          <w:rFonts w:hint="default" w:ascii="Times New Roman" w:hAnsi="Times New Roman" w:eastAsia="方正楷体_GBK" w:cs="Times New Roman"/>
          <w:b/>
          <w:szCs w:val="32"/>
          <w:lang w:val="en-US" w:eastAsia="zh-CN" w:bidi="ar-SA"/>
        </w:rPr>
        <w:t xml:space="preserve"> </w:t>
      </w:r>
    </w:p>
    <w:p w14:paraId="2541D09B">
      <w:pPr>
        <w:pStyle w:val="5"/>
        <w:keepNext w:val="0"/>
        <w:keepLines w:val="0"/>
        <w:pageBreakBefore w:val="0"/>
        <w:widowControl w:val="0"/>
        <w:tabs>
          <w:tab w:val="left" w:pos="2160"/>
        </w:tab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仿宋_GBK" w:cs="Times New Roman"/>
          <w:kern w:val="2"/>
          <w:position w:val="0"/>
          <w:sz w:val="32"/>
          <w:szCs w:val="32"/>
          <w:lang w:val="en-US" w:eastAsia="zh-CN" w:bidi="ar-SA"/>
        </w:rPr>
        <w:t>预设问题：养老服务项目实施是否贴合老年人实际需求，组织管理体系是否高效运转、队伍建设是否合理、长效机制是否健全，资金是否存在截留挪用、项目是否按计划推进。评价重点聚焦决策科学性、管理规范性、实施成效性、群众满意度四大维度。</w:t>
      </w:r>
    </w:p>
    <w:p w14:paraId="0CC2B895">
      <w:pPr>
        <w:pStyle w:val="5"/>
        <w:keepNext w:val="0"/>
        <w:keepLines w:val="0"/>
        <w:pageBreakBefore w:val="0"/>
        <w:widowControl w:val="0"/>
        <w:tabs>
          <w:tab w:val="left" w:pos="2160"/>
        </w:tab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仿宋_GBK" w:cs="Times New Roman"/>
          <w:kern w:val="2"/>
          <w:position w:val="0"/>
          <w:sz w:val="32"/>
          <w:szCs w:val="32"/>
          <w:lang w:val="en-US" w:eastAsia="zh-CN" w:bidi="ar-SA"/>
        </w:rPr>
        <w:t>评价重点：聚焦决策科学性、资金管理规范性、项目实施成效性、绩效目标完成程度、群众满意度。</w:t>
      </w:r>
    </w:p>
    <w:p w14:paraId="577CF16D">
      <w:pPr>
        <w:keepNext w:val="0"/>
        <w:keepLines w:val="0"/>
        <w:pageBreakBefore w:val="0"/>
        <w:widowControl/>
        <w:kinsoku/>
        <w:wordWrap/>
        <w:overflowPunct/>
        <w:topLinePunct w:val="0"/>
        <w:autoSpaceDE/>
        <w:autoSpaceDN/>
        <w:bidi w:val="0"/>
        <w:adjustRightInd w:val="0"/>
        <w:snapToGrid w:val="0"/>
        <w:spacing w:line="560" w:lineRule="exact"/>
        <w:ind w:left="0" w:firstLine="643" w:firstLineChars="200"/>
        <w:contextualSpacing/>
        <w:jc w:val="both"/>
        <w:textAlignment w:val="auto"/>
        <w:rPr>
          <w:rFonts w:hint="default" w:ascii="Times New Roman" w:hAnsi="Times New Roman" w:eastAsia="方正仿宋_GBK" w:cs="Times New Roman"/>
          <w:kern w:val="2"/>
          <w:position w:val="0"/>
          <w:sz w:val="32"/>
          <w:szCs w:val="32"/>
          <w:lang w:val="zh-CN" w:eastAsia="zh-CN" w:bidi="ar-SA"/>
        </w:rPr>
      </w:pPr>
      <w:r>
        <w:rPr>
          <w:rFonts w:hint="default" w:ascii="Times New Roman" w:hAnsi="Times New Roman" w:eastAsia="方正楷体_GBK" w:cs="Times New Roman"/>
          <w:b/>
          <w:color w:val="auto"/>
          <w:sz w:val="32"/>
          <w:szCs w:val="32"/>
          <w:highlight w:val="none"/>
          <w:u w:val="none"/>
          <w:lang w:val="zh-CN" w:eastAsia="zh-CN" w:bidi="ar-SA"/>
        </w:rPr>
        <w:t>（三）评价选点。</w:t>
      </w:r>
      <w:r>
        <w:rPr>
          <w:rFonts w:hint="default" w:ascii="Times New Roman" w:hAnsi="Times New Roman" w:eastAsia="方正仿宋_GBK" w:cs="Times New Roman"/>
          <w:kern w:val="2"/>
          <w:position w:val="0"/>
          <w:sz w:val="32"/>
          <w:szCs w:val="32"/>
          <w:lang w:val="en-US" w:eastAsia="zh-CN" w:bidi="ar-SA"/>
        </w:rPr>
        <w:t>本次自评严格按照要求，选取专项资金覆盖范围内的</w:t>
      </w:r>
      <w:r>
        <w:rPr>
          <w:rFonts w:hint="default" w:ascii="Times New Roman" w:hAnsi="Times New Roman" w:eastAsia="方正仿宋_GBK" w:cs="Times New Roman"/>
          <w:kern w:val="2"/>
          <w:position w:val="0"/>
          <w:sz w:val="32"/>
          <w:szCs w:val="32"/>
          <w:lang w:eastAsia="zh-CN" w:bidi="ar-SA"/>
        </w:rPr>
        <w:t>攀枝花市乐福康健康管理有限公司</w:t>
      </w:r>
      <w:r>
        <w:rPr>
          <w:rFonts w:hint="default" w:ascii="Times New Roman" w:hAnsi="Times New Roman" w:eastAsia="方正仿宋_GBK" w:cs="Times New Roman"/>
          <w:kern w:val="2"/>
          <w:position w:val="0"/>
          <w:sz w:val="32"/>
          <w:szCs w:val="32"/>
          <w:lang w:val="en-US" w:eastAsia="zh-CN" w:bidi="ar-SA"/>
        </w:rPr>
        <w:t>、攀枝花市长护养老服务有限公司（困难老年人家庭适老化改造服务方）、米易县撒莲镇示范性助餐网络、盐边县桐子林镇综合为老服务中心、“天府银龄”项目城区重点社区（米易县城北社区、河西社区）、乡村振兴服务点、青少年关爱阵地等点位开展实地踏勘。</w:t>
      </w:r>
    </w:p>
    <w:p w14:paraId="5CAC1AB0">
      <w:pPr>
        <w:keepNext w:val="0"/>
        <w:keepLines w:val="0"/>
        <w:pageBreakBefore w:val="0"/>
        <w:widowControl/>
        <w:kinsoku/>
        <w:wordWrap/>
        <w:overflowPunct/>
        <w:topLinePunct w:val="0"/>
        <w:autoSpaceDE/>
        <w:autoSpaceDN/>
        <w:bidi w:val="0"/>
        <w:adjustRightInd w:val="0"/>
        <w:snapToGrid w:val="0"/>
        <w:spacing w:line="560" w:lineRule="exact"/>
        <w:ind w:left="0" w:firstLine="643" w:firstLineChars="200"/>
        <w:contextualSpacing/>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楷体_GBK" w:cs="Times New Roman"/>
          <w:b/>
          <w:color w:val="auto"/>
          <w:sz w:val="32"/>
          <w:szCs w:val="32"/>
          <w:highlight w:val="none"/>
          <w:u w:val="none"/>
          <w:lang w:val="zh-CN" w:eastAsia="zh-CN" w:bidi="ar-SA"/>
        </w:rPr>
        <w:t>（四）评价方法。</w:t>
      </w:r>
      <w:r>
        <w:rPr>
          <w:rFonts w:hint="default" w:ascii="Times New Roman" w:hAnsi="Times New Roman" w:eastAsia="方正仿宋_GBK" w:cs="Times New Roman"/>
          <w:kern w:val="2"/>
          <w:position w:val="0"/>
          <w:sz w:val="32"/>
          <w:szCs w:val="32"/>
          <w:lang w:val="en-US" w:eastAsia="zh-CN" w:bidi="ar-SA"/>
        </w:rPr>
        <w:t>采用多种方法结合开展评价，梳理养老服务业补助资金管理文件、项目实施方案、资金拨付凭证等资料，了解项目实施过程，借助单位自评法收集各实施单位自评报告等资料，实地踏勘项目建设、服务开展情况，采用案卷研究法，结合攀枝花市工作开展情况报告、实施方案及省级政策文件，对照绩效目标进行定量与定性结合的综合评价。运用问卷调查法收集养老服务对象、工作人员满意度，对照绩效目标完成情况，进行定量核算与定性分析相结合的综合绩效评价。</w:t>
      </w:r>
    </w:p>
    <w:p w14:paraId="1D1F73FD">
      <w:pPr>
        <w:keepNext w:val="0"/>
        <w:keepLines w:val="0"/>
        <w:pageBreakBefore w:val="0"/>
        <w:widowControl/>
        <w:kinsoku/>
        <w:wordWrap/>
        <w:overflowPunct/>
        <w:topLinePunct w:val="0"/>
        <w:autoSpaceDE/>
        <w:autoSpaceDN/>
        <w:bidi w:val="0"/>
        <w:adjustRightInd w:val="0"/>
        <w:snapToGrid w:val="0"/>
        <w:spacing w:line="560" w:lineRule="exact"/>
        <w:ind w:left="0" w:firstLine="643" w:firstLineChars="200"/>
        <w:contextualSpacing/>
        <w:jc w:val="both"/>
        <w:textAlignment w:val="auto"/>
        <w:rPr>
          <w:rFonts w:hint="default" w:ascii="Times New Roman" w:hAnsi="Times New Roman" w:eastAsia="方正楷体_GBK" w:cs="Times New Roman"/>
          <w:b/>
          <w:color w:val="auto"/>
          <w:sz w:val="32"/>
          <w:szCs w:val="32"/>
          <w:highlight w:val="none"/>
          <w:u w:val="none"/>
          <w:lang w:val="zh-CN" w:eastAsia="zh-CN" w:bidi="ar-SA"/>
        </w:rPr>
      </w:pPr>
      <w:r>
        <w:rPr>
          <w:rFonts w:hint="default" w:ascii="Times New Roman" w:hAnsi="Times New Roman" w:eastAsia="方正楷体_GBK" w:cs="Times New Roman"/>
          <w:b/>
          <w:color w:val="auto"/>
          <w:sz w:val="32"/>
          <w:szCs w:val="32"/>
          <w:highlight w:val="none"/>
          <w:u w:val="none"/>
          <w:lang w:val="zh-CN" w:eastAsia="zh-CN" w:bidi="ar-SA"/>
        </w:rPr>
        <w:t>（五）评价组织</w:t>
      </w:r>
    </w:p>
    <w:p w14:paraId="507EE7D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lang w:val="en" w:eastAsia="zh-CN"/>
        </w:rPr>
      </w:pPr>
      <w:r>
        <w:rPr>
          <w:rFonts w:hint="default" w:ascii="Times New Roman" w:hAnsi="Times New Roman" w:eastAsia="方正仿宋_GBK" w:cs="Times New Roman"/>
          <w:sz w:val="32"/>
          <w:szCs w:val="32"/>
          <w:lang w:val="en" w:eastAsia="zh-CN"/>
        </w:rPr>
        <w:t>曹永军：攀枝花市民政局党组成员、副局长（</w:t>
      </w:r>
      <w:r>
        <w:rPr>
          <w:rFonts w:hint="default" w:ascii="Times New Roman" w:hAnsi="Times New Roman" w:eastAsia="方正仿宋_GBK" w:cs="Times New Roman"/>
          <w:sz w:val="32"/>
          <w:szCs w:val="32"/>
          <w:lang w:val="en-US" w:eastAsia="zh-CN"/>
        </w:rPr>
        <w:t>养老服务业发展专项补助</w:t>
      </w:r>
      <w:r>
        <w:rPr>
          <w:rFonts w:hint="default" w:ascii="Times New Roman" w:hAnsi="Times New Roman" w:eastAsia="方正仿宋_GBK" w:cs="Times New Roman"/>
          <w:sz w:val="32"/>
          <w:szCs w:val="32"/>
          <w:lang w:val="en" w:eastAsia="zh-CN"/>
        </w:rPr>
        <w:t>项目分管局领导）</w:t>
      </w:r>
    </w:p>
    <w:p w14:paraId="257BBD9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 w:eastAsia="zh-CN"/>
        </w:rPr>
      </w:pPr>
      <w:r>
        <w:rPr>
          <w:rFonts w:hint="default" w:ascii="Times New Roman" w:hAnsi="Times New Roman" w:eastAsia="方正仿宋_GBK" w:cs="Times New Roman"/>
          <w:sz w:val="32"/>
          <w:szCs w:val="32"/>
          <w:lang w:val="en" w:eastAsia="zh-CN"/>
        </w:rPr>
        <w:t>朱跃红：攀枝花市民政局规划财务（政策法规与行政审批科）科科长（绩效评价负责人）</w:t>
      </w:r>
    </w:p>
    <w:p w14:paraId="11D4A8E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 w:eastAsia="zh-CN"/>
        </w:rPr>
      </w:pPr>
      <w:r>
        <w:rPr>
          <w:rFonts w:hint="default" w:ascii="Times New Roman" w:hAnsi="Times New Roman" w:eastAsia="方正仿宋_GBK" w:cs="Times New Roman"/>
          <w:sz w:val="32"/>
          <w:szCs w:val="32"/>
          <w:lang w:val="en" w:eastAsia="zh-CN"/>
        </w:rPr>
        <w:t>苟宏：攀枝花市民政局养老服务与事业发展科（老龄工作科）科长（</w:t>
      </w:r>
      <w:r>
        <w:rPr>
          <w:rFonts w:hint="default" w:ascii="Times New Roman" w:hAnsi="Times New Roman" w:eastAsia="方正仿宋_GBK" w:cs="Times New Roman"/>
          <w:sz w:val="32"/>
          <w:szCs w:val="32"/>
          <w:lang w:val="en-US" w:eastAsia="zh-CN"/>
        </w:rPr>
        <w:t>养老服务业发展专项补助</w:t>
      </w:r>
      <w:r>
        <w:rPr>
          <w:rFonts w:hint="default" w:ascii="Times New Roman" w:hAnsi="Times New Roman" w:eastAsia="方正仿宋_GBK" w:cs="Times New Roman"/>
          <w:sz w:val="32"/>
          <w:szCs w:val="32"/>
          <w:lang w:val="en" w:eastAsia="zh-CN"/>
        </w:rPr>
        <w:t>项目负责人）</w:t>
      </w:r>
    </w:p>
    <w:p w14:paraId="439ECF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lang w:val="en" w:eastAsia="zh-CN"/>
        </w:rPr>
      </w:pPr>
      <w:r>
        <w:rPr>
          <w:rFonts w:hint="default" w:ascii="Times New Roman" w:hAnsi="Times New Roman" w:eastAsia="方正仿宋_GBK" w:cs="Times New Roman"/>
          <w:sz w:val="32"/>
          <w:szCs w:val="32"/>
          <w:lang w:val="en" w:eastAsia="zh-CN"/>
        </w:rPr>
        <w:t>罗琳：攀枝花市规划财务科（政策法规与行政审批科）会计</w:t>
      </w:r>
    </w:p>
    <w:p w14:paraId="60E6032E">
      <w:pPr>
        <w:pStyle w:val="5"/>
        <w:keepNext w:val="0"/>
        <w:keepLines w:val="0"/>
        <w:pageBreakBefore w:val="0"/>
        <w:widowControl w:val="0"/>
        <w:tabs>
          <w:tab w:val="left" w:pos="2160"/>
        </w:tab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仿宋_GBK" w:cs="Times New Roman"/>
          <w:kern w:val="2"/>
          <w:position w:val="0"/>
          <w:sz w:val="32"/>
          <w:szCs w:val="32"/>
          <w:lang w:val="en-US" w:eastAsia="zh-CN" w:bidi="ar-SA"/>
        </w:rPr>
        <w:t>资料收集组负责梳理政策文件、资金台账、项目实施资料等，确保基础数据真实完整；</w:t>
      </w:r>
    </w:p>
    <w:p w14:paraId="5A584315">
      <w:pPr>
        <w:pStyle w:val="5"/>
        <w:keepNext w:val="0"/>
        <w:keepLines w:val="0"/>
        <w:pageBreakBefore w:val="0"/>
        <w:widowControl w:val="0"/>
        <w:tabs>
          <w:tab w:val="left" w:pos="2160"/>
        </w:tab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仿宋_GBK" w:cs="Times New Roman"/>
          <w:kern w:val="2"/>
          <w:position w:val="0"/>
          <w:sz w:val="32"/>
          <w:szCs w:val="32"/>
          <w:lang w:val="en-US" w:eastAsia="zh-CN" w:bidi="ar-SA"/>
        </w:rPr>
        <w:t>实地踏勘组负责各评价点位现场核查，核实项目实际实施情况；市、县（区）民政局负责提供项目实施相关资料，介绍项目整体情况。</w:t>
      </w:r>
    </w:p>
    <w:p w14:paraId="4476AB6F">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黑体_GBK" w:cs="Times New Roman"/>
          <w:kern w:val="2"/>
          <w:sz w:val="32"/>
          <w:szCs w:val="32"/>
          <w:lang w:val="zh-CN" w:eastAsia="zh-CN" w:bidi="ar-SA"/>
        </w:rPr>
      </w:pPr>
      <w:r>
        <w:rPr>
          <w:rFonts w:hint="default" w:ascii="Times New Roman" w:hAnsi="Times New Roman" w:eastAsia="方正黑体_GBK" w:cs="Times New Roman"/>
          <w:kern w:val="2"/>
          <w:sz w:val="32"/>
          <w:szCs w:val="32"/>
          <w:lang w:val="en-US" w:eastAsia="zh-CN" w:bidi="ar-SA"/>
        </w:rPr>
        <w:t>三、绩效分析</w:t>
      </w:r>
      <w:r>
        <w:rPr>
          <w:rFonts w:hint="default" w:ascii="Times New Roman" w:hAnsi="Times New Roman" w:eastAsia="方正黑体_GBK" w:cs="Times New Roman"/>
          <w:kern w:val="2"/>
          <w:sz w:val="32"/>
          <w:szCs w:val="32"/>
          <w:lang w:val="zh-CN" w:eastAsia="zh-CN" w:bidi="ar-SA"/>
        </w:rPr>
        <w:tab/>
      </w:r>
    </w:p>
    <w:p w14:paraId="0CE3D8DC">
      <w:pPr>
        <w:keepNext w:val="0"/>
        <w:keepLines w:val="0"/>
        <w:pageBreakBefore w:val="0"/>
        <w:widowControl/>
        <w:kinsoku/>
        <w:wordWrap/>
        <w:overflowPunct/>
        <w:topLinePunct w:val="0"/>
        <w:autoSpaceDE/>
        <w:autoSpaceDN/>
        <w:bidi w:val="0"/>
        <w:adjustRightInd w:val="0"/>
        <w:snapToGrid w:val="0"/>
        <w:spacing w:line="240" w:lineRule="auto"/>
        <w:ind w:left="0" w:firstLine="643" w:firstLineChars="200"/>
        <w:contextualSpacing/>
        <w:jc w:val="both"/>
        <w:textAlignment w:val="auto"/>
        <w:rPr>
          <w:rFonts w:hint="default" w:ascii="Times New Roman" w:hAnsi="Times New Roman" w:eastAsia="方正仿宋_GBK" w:cs="Times New Roman"/>
          <w:b/>
          <w:color w:val="auto"/>
          <w:sz w:val="32"/>
          <w:szCs w:val="32"/>
          <w:highlight w:val="yellow"/>
          <w:u w:val="none"/>
          <w:lang w:val="en-US" w:eastAsia="zh-CN" w:bidi="ar-SA"/>
        </w:rPr>
      </w:pPr>
      <w:r>
        <w:rPr>
          <w:rFonts w:hint="default" w:ascii="Times New Roman" w:hAnsi="Times New Roman" w:eastAsia="方正仿宋_GBK" w:cs="Times New Roman"/>
          <w:b/>
          <w:color w:val="auto"/>
          <w:sz w:val="32"/>
          <w:szCs w:val="32"/>
          <w:highlight w:val="none"/>
          <w:u w:val="none"/>
          <w:lang w:val="zh-CN" w:eastAsia="zh-CN" w:bidi="ar-SA"/>
        </w:rPr>
        <w:t>（一）</w:t>
      </w:r>
      <w:r>
        <w:rPr>
          <w:rFonts w:hint="default" w:ascii="Times New Roman" w:hAnsi="Times New Roman" w:eastAsia="方正仿宋_GBK" w:cs="Times New Roman"/>
          <w:b/>
          <w:color w:val="auto"/>
          <w:sz w:val="32"/>
          <w:szCs w:val="32"/>
          <w:highlight w:val="none"/>
          <w:u w:val="none"/>
          <w:lang w:val="en-US" w:eastAsia="zh-CN" w:bidi="ar-SA"/>
        </w:rPr>
        <w:t>通用指标</w:t>
      </w:r>
      <w:r>
        <w:rPr>
          <w:rFonts w:hint="default" w:ascii="Times New Roman" w:hAnsi="Times New Roman" w:eastAsia="方正仿宋_GBK" w:cs="Times New Roman"/>
          <w:b/>
          <w:color w:val="auto"/>
          <w:sz w:val="32"/>
          <w:szCs w:val="32"/>
          <w:highlight w:val="none"/>
          <w:u w:val="none"/>
          <w:lang w:val="zh-CN" w:eastAsia="zh-CN" w:bidi="ar-SA"/>
        </w:rPr>
        <w:t>绩效分析</w:t>
      </w:r>
    </w:p>
    <w:p w14:paraId="3B62CD08">
      <w:pPr>
        <w:pStyle w:val="5"/>
        <w:keepNext w:val="0"/>
        <w:keepLines w:val="0"/>
        <w:pageBreakBefore w:val="0"/>
        <w:widowControl w:val="0"/>
        <w:tabs>
          <w:tab w:val="left" w:pos="2160"/>
        </w:tabs>
        <w:kinsoku/>
        <w:wordWrap/>
        <w:overflowPunct/>
        <w:topLinePunct w:val="0"/>
        <w:autoSpaceDE/>
        <w:autoSpaceDN/>
        <w:bidi w:val="0"/>
        <w:adjustRightInd/>
        <w:snapToGrid/>
        <w:spacing w:line="240" w:lineRule="auto"/>
        <w:ind w:firstLine="643" w:firstLineChars="200"/>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仿宋_GBK" w:cs="Times New Roman"/>
          <w:b/>
          <w:bCs/>
          <w:kern w:val="2"/>
          <w:position w:val="0"/>
          <w:sz w:val="32"/>
          <w:szCs w:val="32"/>
          <w:lang w:val="en-US" w:eastAsia="zh-CN" w:bidi="ar-SA"/>
        </w:rPr>
        <w:t>1.决策程序。</w:t>
      </w:r>
      <w:r>
        <w:rPr>
          <w:rFonts w:hint="default" w:ascii="Times New Roman" w:hAnsi="Times New Roman" w:eastAsia="方正仿宋_GBK" w:cs="Times New Roman"/>
          <w:kern w:val="2"/>
          <w:position w:val="0"/>
          <w:sz w:val="32"/>
          <w:szCs w:val="32"/>
          <w:lang w:val="en-US" w:eastAsia="zh-CN" w:bidi="ar-SA"/>
        </w:rPr>
        <w:t>养老服务项目依据中央、省级养老服务发展相关政策，契合区域人口老龄化特点及共同富裕试验区建设要求，项目规划论证符合中、省要求，聚焦养老服务重点，与区域发展和养老服务事业发展相匹配，资金分配按程序执行，分配方式合理，决策依据充分、程序严密。</w:t>
      </w:r>
    </w:p>
    <w:p w14:paraId="6B491FCF">
      <w:pPr>
        <w:pStyle w:val="5"/>
        <w:keepNext w:val="0"/>
        <w:keepLines w:val="0"/>
        <w:pageBreakBefore w:val="0"/>
        <w:widowControl w:val="0"/>
        <w:tabs>
          <w:tab w:val="left" w:pos="2160"/>
        </w:tabs>
        <w:kinsoku/>
        <w:wordWrap/>
        <w:overflowPunct/>
        <w:topLinePunct w:val="0"/>
        <w:autoSpaceDE/>
        <w:autoSpaceDN/>
        <w:bidi w:val="0"/>
        <w:adjustRightInd/>
        <w:snapToGrid/>
        <w:spacing w:line="240" w:lineRule="auto"/>
        <w:ind w:firstLine="643" w:firstLineChars="200"/>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仿宋_GBK" w:cs="Times New Roman"/>
          <w:b/>
          <w:bCs/>
          <w:kern w:val="2"/>
          <w:position w:val="0"/>
          <w:sz w:val="32"/>
          <w:szCs w:val="32"/>
          <w:lang w:val="en-US" w:eastAsia="zh-CN" w:bidi="ar-SA"/>
        </w:rPr>
        <w:t>2.项目管理。</w:t>
      </w:r>
      <w:r>
        <w:rPr>
          <w:rFonts w:hint="default" w:ascii="Times New Roman" w:hAnsi="Times New Roman" w:eastAsia="方正仿宋_GBK" w:cs="Times New Roman"/>
          <w:kern w:val="2"/>
          <w:position w:val="0"/>
          <w:sz w:val="32"/>
          <w:szCs w:val="32"/>
          <w:lang w:val="en-US" w:eastAsia="zh-CN" w:bidi="ar-SA"/>
        </w:rPr>
        <w:t>按照省级项目实施要求，制定实施方案、制度办法基本齐全，绩效目标科学合理。</w:t>
      </w:r>
    </w:p>
    <w:p w14:paraId="69B88372">
      <w:pPr>
        <w:pStyle w:val="5"/>
        <w:keepNext w:val="0"/>
        <w:keepLines w:val="0"/>
        <w:pageBreakBefore w:val="0"/>
        <w:widowControl w:val="0"/>
        <w:tabs>
          <w:tab w:val="left" w:pos="2160"/>
        </w:tabs>
        <w:kinsoku/>
        <w:wordWrap/>
        <w:overflowPunct/>
        <w:topLinePunct w:val="0"/>
        <w:autoSpaceDE/>
        <w:autoSpaceDN/>
        <w:bidi w:val="0"/>
        <w:adjustRightInd/>
        <w:snapToGrid/>
        <w:spacing w:line="240" w:lineRule="auto"/>
        <w:ind w:firstLine="643" w:firstLineChars="200"/>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仿宋_GBK" w:cs="Times New Roman"/>
          <w:b/>
          <w:bCs/>
          <w:kern w:val="2"/>
          <w:position w:val="0"/>
          <w:sz w:val="32"/>
          <w:szCs w:val="32"/>
          <w:lang w:val="en-US" w:eastAsia="zh-CN" w:bidi="ar-SA"/>
        </w:rPr>
        <w:t>3.项目实施。</w:t>
      </w:r>
      <w:r>
        <w:rPr>
          <w:rFonts w:hint="default" w:ascii="Times New Roman" w:hAnsi="Times New Roman" w:eastAsia="方正仿宋_GBK" w:cs="Times New Roman"/>
          <w:kern w:val="2"/>
          <w:position w:val="0"/>
          <w:sz w:val="32"/>
          <w:szCs w:val="32"/>
          <w:lang w:val="en-US" w:eastAsia="zh-CN" w:bidi="ar-SA"/>
        </w:rPr>
        <w:t>养老服务补助项目资金及时足额下达至各实施单位，保障项目有序推进，开展项目实施和资金使用日常跟踪检查，多种方式调度项目情况，严格执行专款专用，无截留、挤占、挪用资金情况，对下指导有力有效。</w:t>
      </w:r>
    </w:p>
    <w:p w14:paraId="496671E2">
      <w:pPr>
        <w:keepNext w:val="0"/>
        <w:keepLines w:val="0"/>
        <w:pageBreakBefore w:val="0"/>
        <w:widowControl w:val="0"/>
        <w:tabs>
          <w:tab w:val="left" w:pos="1911"/>
        </w:tabs>
        <w:kinsoku/>
        <w:wordWrap/>
        <w:overflowPunct/>
        <w:topLinePunct w:val="0"/>
        <w:autoSpaceDE/>
        <w:autoSpaceDN/>
        <w:bidi w:val="0"/>
        <w:adjustRightInd/>
        <w:snapToGrid/>
        <w:spacing w:line="240" w:lineRule="auto"/>
        <w:ind w:left="0" w:leftChars="0" w:firstLine="643" w:firstLineChars="200"/>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仿宋_GBK" w:cs="Times New Roman"/>
          <w:b/>
          <w:bCs/>
          <w:color w:val="auto"/>
          <w:kern w:val="2"/>
          <w:position w:val="0"/>
          <w:sz w:val="32"/>
          <w:szCs w:val="32"/>
          <w:highlight w:val="none"/>
          <w:lang w:val="en-US" w:eastAsia="zh-CN" w:bidi="ar-SA"/>
        </w:rPr>
        <w:t>4.项目结果。</w:t>
      </w:r>
      <w:r>
        <w:rPr>
          <w:rFonts w:hint="default" w:ascii="Times New Roman" w:hAnsi="Times New Roman" w:eastAsia="方正仿宋_GBK" w:cs="Times New Roman"/>
          <w:color w:val="auto"/>
          <w:kern w:val="2"/>
          <w:position w:val="0"/>
          <w:sz w:val="32"/>
          <w:szCs w:val="32"/>
          <w:highlight w:val="none"/>
          <w:lang w:val="en-US" w:eastAsia="zh-CN" w:bidi="ar-SA"/>
        </w:rPr>
        <w:t>完成</w:t>
      </w:r>
      <w:r>
        <w:rPr>
          <w:rFonts w:hint="default" w:ascii="Times New Roman" w:hAnsi="Times New Roman" w:eastAsia="方正仿宋_GBK" w:cs="Times New Roman"/>
          <w:kern w:val="2"/>
          <w:position w:val="0"/>
          <w:sz w:val="32"/>
          <w:szCs w:val="32"/>
          <w:lang w:val="en-US" w:eastAsia="zh-CN" w:bidi="ar-SA"/>
        </w:rPr>
        <w:t>新增社区养老服务综合体5个，新增示范性老年助餐网络5个，新增失能老年人家庭照护服务点位5个，完成困难老年人家庭适老化改造户数184户，老年人满意度90%；完成老年人能力评估人次</w:t>
      </w:r>
      <w:r>
        <w:rPr>
          <w:rFonts w:hint="default" w:ascii="Times New Roman" w:hAnsi="Times New Roman" w:eastAsia="方正仿宋_GBK" w:cs="Times New Roman"/>
          <w:color w:val="auto"/>
          <w:kern w:val="2"/>
          <w:position w:val="0"/>
          <w:sz w:val="32"/>
          <w:szCs w:val="32"/>
          <w:lang w:val="en-US" w:eastAsia="zh-CN" w:bidi="ar-SA"/>
        </w:rPr>
        <w:t>0.3</w:t>
      </w:r>
      <w:r>
        <w:rPr>
          <w:rFonts w:hint="default" w:ascii="Times New Roman" w:hAnsi="Times New Roman" w:eastAsia="方正仿宋_GBK" w:cs="Times New Roman"/>
          <w:kern w:val="2"/>
          <w:position w:val="0"/>
          <w:sz w:val="32"/>
          <w:szCs w:val="32"/>
          <w:lang w:val="en-US" w:eastAsia="zh-CN" w:bidi="ar-SA"/>
        </w:rPr>
        <w:t>万人次，老年人满意度90%；添置更新设施设备的老年助餐点位21个，</w:t>
      </w:r>
      <w:r>
        <w:rPr>
          <w:rFonts w:hint="default" w:ascii="Times New Roman" w:hAnsi="Times New Roman" w:eastAsia="方正仿宋_GBK" w:cs="Times New Roman"/>
          <w:kern w:val="2"/>
          <w:position w:val="0"/>
          <w:sz w:val="32"/>
          <w:szCs w:val="32"/>
          <w:lang w:val="zh-CN" w:eastAsia="zh-CN" w:bidi="ar-SA"/>
        </w:rPr>
        <w:t>建设家庭养老床位</w:t>
      </w:r>
      <w:r>
        <w:rPr>
          <w:rFonts w:hint="default" w:ascii="Times New Roman" w:hAnsi="Times New Roman" w:eastAsia="方正仿宋_GBK" w:cs="Times New Roman"/>
          <w:kern w:val="2"/>
          <w:position w:val="0"/>
          <w:sz w:val="32"/>
          <w:szCs w:val="32"/>
          <w:lang w:val="en-US" w:eastAsia="zh-CN" w:bidi="ar-SA"/>
        </w:rPr>
        <w:t>不少于300张，实施高龄独居（空巢）老年人家庭智能化安全改造并提供日常安全监测服务覆盖人数不少于2000名，为失能老年人家庭提供喘息服务</w:t>
      </w:r>
      <w:r>
        <w:rPr>
          <w:rFonts w:hint="default" w:ascii="Times New Roman" w:hAnsi="Times New Roman" w:eastAsia="方正仿宋_GBK" w:cs="Times New Roman"/>
          <w:color w:val="auto"/>
          <w:kern w:val="2"/>
          <w:position w:val="0"/>
          <w:sz w:val="32"/>
          <w:szCs w:val="32"/>
          <w:lang w:val="en-US" w:eastAsia="zh-CN" w:bidi="ar-SA"/>
        </w:rPr>
        <w:t>3000</w:t>
      </w:r>
      <w:r>
        <w:rPr>
          <w:rFonts w:hint="default" w:ascii="Times New Roman" w:hAnsi="Times New Roman" w:eastAsia="方正仿宋_GBK" w:cs="Times New Roman"/>
          <w:kern w:val="2"/>
          <w:position w:val="0"/>
          <w:sz w:val="32"/>
          <w:szCs w:val="32"/>
          <w:lang w:val="en-US" w:eastAsia="zh-CN" w:bidi="ar-SA"/>
        </w:rPr>
        <w:t>人次，培育连锁化、品牌化、专业化的居家社区养老服务机构1个，创建老年认知障碍友好社区3个，建设老年认知障碍照护床位不少于100张，创建标志性老年产品用品市集不少于1个，举办“养老服务消费季”活动不少于6场，运行使用具有完善功能的养老服务信息平台不少于1个，享受居家社区养老服务的老年人满意度95%；开展志愿服务活动197场次，老年志愿服务对象满意度不小于90%。</w:t>
      </w:r>
    </w:p>
    <w:p w14:paraId="25A8C4FD">
      <w:pPr>
        <w:keepNext w:val="0"/>
        <w:keepLines w:val="0"/>
        <w:pageBreakBefore w:val="0"/>
        <w:widowControl/>
        <w:kinsoku/>
        <w:wordWrap/>
        <w:overflowPunct/>
        <w:topLinePunct w:val="0"/>
        <w:autoSpaceDE/>
        <w:autoSpaceDN/>
        <w:bidi w:val="0"/>
        <w:adjustRightInd w:val="0"/>
        <w:snapToGrid w:val="0"/>
        <w:spacing w:line="240" w:lineRule="auto"/>
        <w:ind w:left="0" w:firstLine="643" w:firstLineChars="200"/>
        <w:contextualSpacing/>
        <w:jc w:val="both"/>
        <w:textAlignment w:val="auto"/>
        <w:rPr>
          <w:rFonts w:hint="default" w:ascii="Times New Roman" w:hAnsi="Times New Roman" w:eastAsia="方正仿宋_GBK" w:cs="Times New Roman"/>
          <w:b/>
          <w:color w:val="auto"/>
          <w:sz w:val="32"/>
          <w:szCs w:val="32"/>
          <w:highlight w:val="none"/>
          <w:u w:val="none"/>
          <w:lang w:val="zh-CN" w:eastAsia="zh-CN" w:bidi="ar-SA"/>
        </w:rPr>
      </w:pPr>
      <w:r>
        <w:rPr>
          <w:rFonts w:hint="default" w:ascii="Times New Roman" w:hAnsi="Times New Roman" w:eastAsia="方正楷体_GBK" w:cs="Times New Roman"/>
          <w:b/>
          <w:color w:val="auto"/>
          <w:sz w:val="32"/>
          <w:szCs w:val="32"/>
          <w:highlight w:val="none"/>
          <w:u w:val="none"/>
          <w:lang w:val="zh-CN" w:eastAsia="zh-CN" w:bidi="ar-SA"/>
        </w:rPr>
        <w:t>（二）</w:t>
      </w:r>
      <w:r>
        <w:rPr>
          <w:rFonts w:hint="default" w:ascii="Times New Roman" w:hAnsi="Times New Roman" w:eastAsia="方正楷体_GBK" w:cs="Times New Roman"/>
          <w:b/>
          <w:color w:val="auto"/>
          <w:sz w:val="32"/>
          <w:szCs w:val="32"/>
          <w:highlight w:val="none"/>
          <w:u w:val="none"/>
          <w:lang w:val="en-US" w:eastAsia="zh-CN" w:bidi="ar-SA"/>
        </w:rPr>
        <w:t>专用指标</w:t>
      </w:r>
      <w:r>
        <w:rPr>
          <w:rFonts w:hint="default" w:ascii="Times New Roman" w:hAnsi="Times New Roman" w:eastAsia="方正楷体_GBK" w:cs="Times New Roman"/>
          <w:b/>
          <w:color w:val="auto"/>
          <w:sz w:val="32"/>
          <w:szCs w:val="32"/>
          <w:highlight w:val="none"/>
          <w:u w:val="none"/>
          <w:lang w:val="zh-CN" w:eastAsia="zh-CN" w:bidi="ar-SA"/>
        </w:rPr>
        <w:t>绩效分析</w:t>
      </w:r>
    </w:p>
    <w:p w14:paraId="0891D708">
      <w:pPr>
        <w:pStyle w:val="5"/>
        <w:keepNext w:val="0"/>
        <w:keepLines w:val="0"/>
        <w:pageBreakBefore w:val="0"/>
        <w:widowControl w:val="0"/>
        <w:tabs>
          <w:tab w:val="left" w:pos="2160"/>
        </w:tabs>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仿宋_GBK" w:cs="Times New Roman"/>
          <w:kern w:val="2"/>
          <w:position w:val="0"/>
          <w:sz w:val="32"/>
          <w:szCs w:val="32"/>
          <w:lang w:val="en-US" w:eastAsia="zh-CN" w:bidi="ar-SA"/>
        </w:rPr>
        <w:t>区域均衡性：城区养老服务资源集聚度高，偏远农村养老服务供给稍有不足。</w:t>
      </w:r>
    </w:p>
    <w:p w14:paraId="363C6C75">
      <w:pPr>
        <w:pStyle w:val="5"/>
        <w:keepNext w:val="0"/>
        <w:keepLines w:val="0"/>
        <w:pageBreakBefore w:val="0"/>
        <w:widowControl w:val="0"/>
        <w:tabs>
          <w:tab w:val="left" w:pos="2160"/>
        </w:tabs>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仿宋_GBK" w:cs="Times New Roman"/>
          <w:kern w:val="2"/>
          <w:position w:val="0"/>
          <w:sz w:val="32"/>
          <w:szCs w:val="32"/>
          <w:lang w:val="en-US" w:eastAsia="zh-CN" w:bidi="ar-SA"/>
        </w:rPr>
        <w:t>对象精准性：聚焦高龄、失能等特殊困难老年人，兜底保障服务落实到位，符合项目实施要求。</w:t>
      </w:r>
    </w:p>
    <w:p w14:paraId="0EC3C4B0">
      <w:pPr>
        <w:pStyle w:val="5"/>
        <w:keepNext w:val="0"/>
        <w:keepLines w:val="0"/>
        <w:pageBreakBefore w:val="0"/>
        <w:widowControl w:val="0"/>
        <w:tabs>
          <w:tab w:val="left" w:pos="2160"/>
        </w:tabs>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仿宋_GBK" w:cs="Times New Roman"/>
          <w:kern w:val="2"/>
          <w:position w:val="0"/>
          <w:sz w:val="32"/>
          <w:szCs w:val="32"/>
          <w:lang w:val="en-US" w:eastAsia="zh-CN" w:bidi="ar-SA"/>
        </w:rPr>
        <w:t>标准合理性：资金实际补贴标准符合资金管理办法规定的补助标准。</w:t>
      </w:r>
    </w:p>
    <w:p w14:paraId="77DC7DF6">
      <w:pPr>
        <w:pStyle w:val="5"/>
        <w:keepNext w:val="0"/>
        <w:keepLines w:val="0"/>
        <w:pageBreakBefore w:val="0"/>
        <w:widowControl w:val="0"/>
        <w:tabs>
          <w:tab w:val="left" w:pos="2160"/>
        </w:tabs>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eastAsia="方正仿宋_GBK" w:cs="Times New Roman"/>
          <w:kern w:val="2"/>
          <w:position w:val="0"/>
          <w:sz w:val="32"/>
          <w:szCs w:val="32"/>
          <w:highlight w:val="yellow"/>
          <w:lang w:val="en-US" w:eastAsia="zh-CN" w:bidi="ar-SA"/>
        </w:rPr>
      </w:pPr>
      <w:r>
        <w:rPr>
          <w:rFonts w:hint="default" w:ascii="Times New Roman" w:hAnsi="Times New Roman" w:eastAsia="方正仿宋_GBK" w:cs="Times New Roman"/>
          <w:kern w:val="2"/>
          <w:position w:val="0"/>
          <w:sz w:val="32"/>
          <w:szCs w:val="32"/>
          <w:lang w:val="en-US" w:eastAsia="zh-CN" w:bidi="ar-SA"/>
        </w:rPr>
        <w:t>群众满意度：项目实施得到受益群体广泛认可。</w:t>
      </w:r>
    </w:p>
    <w:p w14:paraId="0712D1FD">
      <w:pPr>
        <w:keepNext w:val="0"/>
        <w:keepLines w:val="0"/>
        <w:pageBreakBefore w:val="0"/>
        <w:widowControl/>
        <w:kinsoku/>
        <w:wordWrap/>
        <w:overflowPunct/>
        <w:topLinePunct w:val="0"/>
        <w:autoSpaceDE/>
        <w:autoSpaceDN/>
        <w:bidi w:val="0"/>
        <w:adjustRightInd w:val="0"/>
        <w:snapToGrid w:val="0"/>
        <w:spacing w:line="240" w:lineRule="auto"/>
        <w:ind w:left="0" w:firstLine="643" w:firstLineChars="200"/>
        <w:contextualSpacing/>
        <w:jc w:val="both"/>
        <w:textAlignment w:val="auto"/>
        <w:rPr>
          <w:rFonts w:hint="default" w:ascii="Times New Roman" w:hAnsi="Times New Roman" w:eastAsia="方正楷体_GBK" w:cs="Times New Roman"/>
          <w:b/>
          <w:color w:val="auto"/>
          <w:sz w:val="32"/>
          <w:szCs w:val="32"/>
          <w:highlight w:val="none"/>
          <w:u w:val="none"/>
          <w:lang w:val="zh-CN" w:eastAsia="zh-CN" w:bidi="ar-SA"/>
        </w:rPr>
      </w:pPr>
      <w:r>
        <w:rPr>
          <w:rFonts w:hint="default" w:ascii="Times New Roman" w:hAnsi="Times New Roman" w:eastAsia="方正楷体_GBK" w:cs="Times New Roman"/>
          <w:b/>
          <w:color w:val="auto"/>
          <w:sz w:val="32"/>
          <w:szCs w:val="32"/>
          <w:highlight w:val="none"/>
          <w:u w:val="none"/>
          <w:lang w:val="zh-CN" w:eastAsia="zh-CN" w:bidi="ar-SA"/>
        </w:rPr>
        <w:t>（三）</w:t>
      </w:r>
      <w:r>
        <w:rPr>
          <w:rFonts w:hint="default" w:ascii="Times New Roman" w:hAnsi="Times New Roman" w:eastAsia="方正楷体_GBK" w:cs="Times New Roman"/>
          <w:b/>
          <w:color w:val="auto"/>
          <w:sz w:val="32"/>
          <w:szCs w:val="32"/>
          <w:highlight w:val="none"/>
          <w:u w:val="none"/>
          <w:lang w:val="en-US" w:eastAsia="zh-CN" w:bidi="ar-SA"/>
        </w:rPr>
        <w:t>个性指标</w:t>
      </w:r>
      <w:r>
        <w:rPr>
          <w:rFonts w:hint="default" w:ascii="Times New Roman" w:hAnsi="Times New Roman" w:eastAsia="方正楷体_GBK" w:cs="Times New Roman"/>
          <w:b/>
          <w:color w:val="auto"/>
          <w:sz w:val="32"/>
          <w:szCs w:val="32"/>
          <w:highlight w:val="none"/>
          <w:u w:val="none"/>
          <w:lang w:val="zh-CN" w:eastAsia="zh-CN" w:bidi="ar-SA"/>
        </w:rPr>
        <w:t>绩效分析</w:t>
      </w:r>
    </w:p>
    <w:p w14:paraId="3665E9B4">
      <w:pPr>
        <w:pStyle w:val="5"/>
        <w:keepNext w:val="0"/>
        <w:keepLines w:val="0"/>
        <w:pageBreakBefore w:val="0"/>
        <w:widowControl w:val="0"/>
        <w:tabs>
          <w:tab w:val="left" w:pos="2160"/>
        </w:tabs>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仿宋_GBK" w:cs="Times New Roman"/>
          <w:kern w:val="2"/>
          <w:position w:val="0"/>
          <w:sz w:val="32"/>
          <w:szCs w:val="32"/>
          <w:lang w:val="en-US" w:eastAsia="zh-CN" w:bidi="ar-SA"/>
        </w:rPr>
        <w:t>护理型床位占比：护理型床位占比超过70%。</w:t>
      </w:r>
    </w:p>
    <w:p w14:paraId="45D624C0">
      <w:pPr>
        <w:pStyle w:val="5"/>
        <w:keepNext w:val="0"/>
        <w:keepLines w:val="0"/>
        <w:pageBreakBefore w:val="0"/>
        <w:widowControl w:val="0"/>
        <w:tabs>
          <w:tab w:val="left" w:pos="2160"/>
        </w:tabs>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仿宋_GBK" w:cs="Times New Roman"/>
          <w:kern w:val="2"/>
          <w:position w:val="0"/>
          <w:sz w:val="32"/>
          <w:szCs w:val="32"/>
          <w:lang w:val="en-US" w:eastAsia="zh-CN" w:bidi="ar-SA"/>
        </w:rPr>
        <w:t>品牌建设：“银耀花城”品牌初见成效，打造6类创新服务模式。</w:t>
      </w:r>
    </w:p>
    <w:p w14:paraId="720784E8">
      <w:pPr>
        <w:pStyle w:val="5"/>
        <w:keepNext w:val="0"/>
        <w:keepLines w:val="0"/>
        <w:pageBreakBefore w:val="0"/>
        <w:widowControl w:val="0"/>
        <w:tabs>
          <w:tab w:val="left" w:pos="2160"/>
        </w:tabs>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仿宋_GBK" w:cs="Times New Roman"/>
          <w:kern w:val="2"/>
          <w:position w:val="0"/>
          <w:sz w:val="32"/>
          <w:szCs w:val="32"/>
          <w:lang w:val="en-US" w:eastAsia="zh-CN" w:bidi="ar-SA"/>
        </w:rPr>
        <w:t>资源整合：成功吸纳外地“候鸟老人”、银发人才参与。</w:t>
      </w:r>
    </w:p>
    <w:p w14:paraId="648E4D02">
      <w:pPr>
        <w:pStyle w:val="5"/>
        <w:keepNext w:val="0"/>
        <w:keepLines w:val="0"/>
        <w:pageBreakBefore w:val="0"/>
        <w:widowControl w:val="0"/>
        <w:tabs>
          <w:tab w:val="left" w:pos="2160"/>
        </w:tabs>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仿宋_GBK" w:cs="Times New Roman"/>
          <w:kern w:val="2"/>
          <w:position w:val="0"/>
          <w:sz w:val="32"/>
          <w:szCs w:val="32"/>
          <w:lang w:val="en-US" w:eastAsia="zh-CN" w:bidi="ar-SA"/>
        </w:rPr>
        <w:t>服务设施配套性：新建城区和新建居住（小）区按照相应国家标准规范，配套建设养老服务设施。</w:t>
      </w:r>
    </w:p>
    <w:p w14:paraId="4916D367">
      <w:pPr>
        <w:pStyle w:val="5"/>
        <w:keepNext w:val="0"/>
        <w:keepLines w:val="0"/>
        <w:pageBreakBefore w:val="0"/>
        <w:widowControl w:val="0"/>
        <w:tabs>
          <w:tab w:val="left" w:pos="2160"/>
        </w:tabs>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仿宋_GBK" w:cs="Times New Roman"/>
          <w:kern w:val="2"/>
          <w:position w:val="0"/>
          <w:sz w:val="32"/>
          <w:szCs w:val="32"/>
          <w:lang w:val="en-US" w:eastAsia="zh-CN" w:bidi="ar-SA"/>
        </w:rPr>
        <w:t>资金配套合规性：本级分成的彩票公益金用于发展养老服务资金符合要求。</w:t>
      </w:r>
    </w:p>
    <w:p w14:paraId="1BBB4195">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firstLine="640" w:firstLineChars="200"/>
        <w:textAlignment w:val="auto"/>
        <w:rPr>
          <w:rFonts w:hint="default" w:ascii="Times New Roman" w:hAnsi="Times New Roman" w:eastAsia="方正黑体_GBK" w:cs="Times New Roman"/>
          <w:kern w:val="2"/>
          <w:sz w:val="32"/>
          <w:szCs w:val="32"/>
          <w:highlight w:val="none"/>
          <w:lang w:val="en-US" w:eastAsia="zh-CN" w:bidi="ar-SA"/>
        </w:rPr>
      </w:pPr>
      <w:r>
        <w:rPr>
          <w:rFonts w:hint="default" w:ascii="Times New Roman" w:hAnsi="Times New Roman" w:eastAsia="方正黑体_GBK" w:cs="Times New Roman"/>
          <w:kern w:val="2"/>
          <w:sz w:val="32"/>
          <w:szCs w:val="32"/>
          <w:highlight w:val="none"/>
          <w:lang w:val="en-US" w:eastAsia="zh-CN" w:bidi="ar-SA"/>
        </w:rPr>
        <w:t>评价结论</w:t>
      </w:r>
    </w:p>
    <w:p w14:paraId="53E40D10">
      <w:pPr>
        <w:pStyle w:val="5"/>
        <w:keepNext w:val="0"/>
        <w:keepLines w:val="0"/>
        <w:pageBreakBefore w:val="0"/>
        <w:widowControl w:val="0"/>
        <w:tabs>
          <w:tab w:val="left" w:pos="2160"/>
        </w:tabs>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仿宋_GBK" w:cs="Times New Roman"/>
          <w:kern w:val="2"/>
          <w:position w:val="0"/>
          <w:sz w:val="32"/>
          <w:szCs w:val="32"/>
          <w:lang w:val="en-US" w:eastAsia="zh-CN" w:bidi="ar-SA"/>
        </w:rPr>
        <w:t>本项目绩效自评得</w:t>
      </w:r>
      <w:r>
        <w:rPr>
          <w:rFonts w:hint="default" w:ascii="Times New Roman" w:hAnsi="Times New Roman" w:eastAsia="方正仿宋_GBK" w:cs="Times New Roman"/>
          <w:color w:val="auto"/>
          <w:kern w:val="2"/>
          <w:position w:val="0"/>
          <w:sz w:val="32"/>
          <w:szCs w:val="32"/>
          <w:lang w:val="en-US" w:eastAsia="zh-CN" w:bidi="ar-SA"/>
        </w:rPr>
        <w:t>96</w:t>
      </w:r>
      <w:r>
        <w:rPr>
          <w:rFonts w:hint="default" w:ascii="Times New Roman" w:hAnsi="Times New Roman" w:eastAsia="方正仿宋_GBK" w:cs="Times New Roman"/>
          <w:kern w:val="2"/>
          <w:position w:val="0"/>
          <w:sz w:val="32"/>
          <w:szCs w:val="32"/>
          <w:lang w:val="en-US" w:eastAsia="zh-CN" w:bidi="ar-SA"/>
        </w:rPr>
        <w:t>分，评价等级为“优”。2025年度，攀枝花市严格按照养老服务发展规划及绩效目标推进项目实施，养老服务补助资金使用规范、效益显著。参照评分结果，项目设立程序规范、资金投向符合政策方向、项目制度办法齐全，项目实施符合相关规定。累计开展志愿服务197场次，服务17495人次，有效发挥了老年群体在社会发展中的积极作用，“银耀花城”品牌影响力逐步显现。通过本项目实施，进一步提升了攀枝花市养老服务专业化水平，不断完善老年人居住环境，保障老年人居住安全，进一步提升老年群体生活满足感、幸福感。但项目完成时效性、服务补贴资金分配下达进度方面存在问题。</w:t>
      </w:r>
    </w:p>
    <w:p w14:paraId="70F50102">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黑体_GBK" w:cs="Times New Roman"/>
          <w:kern w:val="2"/>
          <w:sz w:val="32"/>
          <w:szCs w:val="32"/>
          <w:lang w:val="en-US" w:eastAsia="zh-CN" w:bidi="ar-SA"/>
        </w:rPr>
      </w:pPr>
      <w:r>
        <w:rPr>
          <w:rFonts w:hint="default" w:ascii="Times New Roman" w:hAnsi="Times New Roman" w:eastAsia="方正黑体_GBK" w:cs="Times New Roman"/>
          <w:kern w:val="2"/>
          <w:sz w:val="32"/>
          <w:szCs w:val="32"/>
          <w:lang w:val="en-US" w:eastAsia="zh-CN" w:bidi="ar-SA"/>
        </w:rPr>
        <w:t>五、存在主要问题</w:t>
      </w:r>
    </w:p>
    <w:p w14:paraId="607D7750">
      <w:pPr>
        <w:pStyle w:val="5"/>
        <w:keepNext w:val="0"/>
        <w:keepLines w:val="0"/>
        <w:pageBreakBefore w:val="0"/>
        <w:widowControl w:val="0"/>
        <w:tabs>
          <w:tab w:val="left" w:pos="2160"/>
        </w:tabs>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仿宋_GBK" w:cs="Times New Roman"/>
          <w:kern w:val="2"/>
          <w:position w:val="0"/>
          <w:sz w:val="32"/>
          <w:szCs w:val="32"/>
          <w:lang w:val="en-US" w:eastAsia="zh-CN" w:bidi="ar-SA"/>
        </w:rPr>
        <w:t>养老服务发展专项资金下达时间稍晚，攀枝花市部分资金分配下达、项目实施进度稍有滞后。</w:t>
      </w:r>
    </w:p>
    <w:p w14:paraId="5FD32F6F">
      <w:pPr>
        <w:keepNext w:val="0"/>
        <w:keepLines w:val="0"/>
        <w:pageBreakBefore w:val="0"/>
        <w:widowControl w:val="0"/>
        <w:tabs>
          <w:tab w:val="left" w:pos="1911"/>
        </w:tabs>
        <w:kinsoku/>
        <w:wordWrap/>
        <w:overflowPunct/>
        <w:topLinePunct w:val="0"/>
        <w:autoSpaceDE/>
        <w:autoSpaceDN/>
        <w:bidi w:val="0"/>
        <w:adjustRightInd/>
        <w:snapToGrid/>
        <w:spacing w:line="240" w:lineRule="auto"/>
        <w:ind w:left="0" w:leftChars="0" w:firstLine="640" w:firstLineChars="200"/>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仿宋_GBK" w:cs="Times New Roman"/>
          <w:kern w:val="2"/>
          <w:position w:val="0"/>
          <w:sz w:val="32"/>
          <w:szCs w:val="32"/>
          <w:lang w:val="en-US" w:eastAsia="zh-CN" w:bidi="ar-SA"/>
        </w:rPr>
        <w:t>区域及领域发展不平衡。偏远乡镇场地、物资等资源薄弱，活动频次和覆盖面不及城区；部分服务项目创新性不足。</w:t>
      </w:r>
    </w:p>
    <w:p w14:paraId="3A31AB89">
      <w:pPr>
        <w:keepNext w:val="0"/>
        <w:keepLines w:val="0"/>
        <w:pageBreakBefore w:val="0"/>
        <w:widowControl w:val="0"/>
        <w:tabs>
          <w:tab w:val="left" w:pos="1911"/>
        </w:tabs>
        <w:kinsoku/>
        <w:wordWrap/>
        <w:overflowPunct/>
        <w:topLinePunct w:val="0"/>
        <w:autoSpaceDE/>
        <w:autoSpaceDN/>
        <w:bidi w:val="0"/>
        <w:adjustRightInd/>
        <w:snapToGrid/>
        <w:spacing w:line="240" w:lineRule="auto"/>
        <w:ind w:left="0" w:leftChars="0" w:firstLine="640" w:firstLineChars="200"/>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仿宋_GBK" w:cs="Times New Roman"/>
          <w:kern w:val="2"/>
          <w:position w:val="0"/>
          <w:sz w:val="32"/>
          <w:szCs w:val="32"/>
          <w:lang w:val="en-US" w:eastAsia="zh-CN" w:bidi="ar-SA"/>
        </w:rPr>
        <w:t>志愿者队伍结构有待优化。高龄志愿者占比偏高，服务精力有限，低龄、健康退休人员招募力度不足。</w:t>
      </w:r>
    </w:p>
    <w:p w14:paraId="5947C811">
      <w:pPr>
        <w:keepNext w:val="0"/>
        <w:keepLines w:val="0"/>
        <w:pageBreakBefore w:val="0"/>
        <w:widowControl w:val="0"/>
        <w:tabs>
          <w:tab w:val="left" w:pos="1911"/>
        </w:tabs>
        <w:kinsoku/>
        <w:wordWrap/>
        <w:overflowPunct/>
        <w:topLinePunct w:val="0"/>
        <w:autoSpaceDE/>
        <w:autoSpaceDN/>
        <w:bidi w:val="0"/>
        <w:adjustRightInd/>
        <w:snapToGrid/>
        <w:spacing w:line="240" w:lineRule="auto"/>
        <w:ind w:left="0" w:leftChars="0" w:firstLine="640" w:firstLineChars="200"/>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仿宋_GBK" w:cs="Times New Roman"/>
          <w:kern w:val="2"/>
          <w:position w:val="0"/>
          <w:sz w:val="32"/>
          <w:szCs w:val="32"/>
          <w:lang w:val="en-US" w:eastAsia="zh-CN" w:bidi="ar-SA"/>
        </w:rPr>
        <w:t>长效服务机制需持续完善。需求动态摸排、效果跟踪反馈、激励保障等机制不够细化。</w:t>
      </w:r>
    </w:p>
    <w:p w14:paraId="6C27CCCD">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楷体_GBK" w:cs="Times New Roman"/>
          <w:b/>
          <w:bCs/>
          <w:kern w:val="2"/>
          <w:position w:val="0"/>
          <w:sz w:val="32"/>
          <w:szCs w:val="32"/>
          <w:lang w:val="en-US" w:eastAsia="zh-CN" w:bidi="ar-SA"/>
        </w:rPr>
      </w:pPr>
      <w:r>
        <w:rPr>
          <w:rFonts w:hint="default" w:ascii="Times New Roman" w:hAnsi="Times New Roman" w:eastAsia="方正黑体_GBK" w:cs="Times New Roman"/>
          <w:kern w:val="2"/>
          <w:sz w:val="32"/>
          <w:szCs w:val="32"/>
          <w:lang w:val="zh-CN" w:eastAsia="zh-CN" w:bidi="ar-SA"/>
        </w:rPr>
        <w:t>六、改进建议</w:t>
      </w:r>
    </w:p>
    <w:p w14:paraId="6A6AD995">
      <w:pPr>
        <w:keepNext w:val="0"/>
        <w:keepLines w:val="0"/>
        <w:pageBreakBefore w:val="0"/>
        <w:widowControl w:val="0"/>
        <w:tabs>
          <w:tab w:val="left" w:pos="1911"/>
        </w:tabs>
        <w:kinsoku/>
        <w:wordWrap/>
        <w:overflowPunct/>
        <w:topLinePunct w:val="0"/>
        <w:autoSpaceDE/>
        <w:autoSpaceDN/>
        <w:bidi w:val="0"/>
        <w:adjustRightInd/>
        <w:snapToGrid/>
        <w:spacing w:line="240" w:lineRule="auto"/>
        <w:ind w:left="0" w:leftChars="0" w:firstLine="640" w:firstLineChars="200"/>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黑体_GBK" w:cs="Times New Roman"/>
          <w:kern w:val="2"/>
          <w:sz w:val="32"/>
          <w:szCs w:val="32"/>
          <w:lang w:val="en-US" w:eastAsia="zh-CN" w:bidi="ar-SA"/>
        </w:rPr>
        <w:t>一是</w:t>
      </w:r>
      <w:r>
        <w:rPr>
          <w:rFonts w:hint="default" w:ascii="Times New Roman" w:hAnsi="Times New Roman" w:eastAsia="方正仿宋_GBK" w:cs="Times New Roman"/>
          <w:kern w:val="2"/>
          <w:position w:val="0"/>
          <w:sz w:val="32"/>
          <w:szCs w:val="32"/>
          <w:lang w:val="en-US" w:eastAsia="zh-CN" w:bidi="ar-SA"/>
        </w:rPr>
        <w:t>提前研究上级政策动向，提前开展项目储备与实施方案细化工作，进一步加大向上沟通力度，</w:t>
      </w:r>
      <w:r>
        <w:rPr>
          <w:rFonts w:hint="default" w:ascii="Times New Roman" w:hAnsi="Times New Roman" w:eastAsia="方正仿宋_GBK" w:cs="Times New Roman"/>
          <w:color w:val="auto"/>
          <w:kern w:val="2"/>
          <w:position w:val="0"/>
          <w:sz w:val="32"/>
          <w:szCs w:val="32"/>
          <w:vertAlign w:val="baseline"/>
          <w:lang w:val="en-US" w:eastAsia="zh-CN" w:bidi="ar"/>
        </w:rPr>
        <w:t>资金下达后，力争迅速完成分配，为项目留足执行时间。</w:t>
      </w:r>
      <w:r>
        <w:rPr>
          <w:rFonts w:hint="default" w:ascii="Times New Roman" w:hAnsi="Times New Roman" w:eastAsia="方正黑体_GBK" w:cs="Times New Roman"/>
          <w:kern w:val="2"/>
          <w:sz w:val="32"/>
          <w:szCs w:val="32"/>
          <w:lang w:val="en-US" w:eastAsia="zh-CN" w:bidi="ar-SA"/>
        </w:rPr>
        <w:t>二是</w:t>
      </w:r>
      <w:r>
        <w:rPr>
          <w:rFonts w:hint="default" w:ascii="Times New Roman" w:hAnsi="Times New Roman" w:eastAsia="方正仿宋_GBK" w:cs="Times New Roman"/>
          <w:kern w:val="2"/>
          <w:position w:val="0"/>
          <w:sz w:val="32"/>
          <w:szCs w:val="32"/>
          <w:lang w:val="en-US" w:eastAsia="zh-CN" w:bidi="ar-SA"/>
        </w:rPr>
        <w:t>优化资源配置，促进均衡发展：加大对偏远乡镇的资金、物资倾斜，推动服务资源下沉。三是培育“银龄智慧助老”“红色文化传承”等特色项目，提升领域服务创新性。</w:t>
      </w:r>
    </w:p>
    <w:p w14:paraId="37764242">
      <w:pPr>
        <w:pStyle w:val="16"/>
        <w:keepNext w:val="0"/>
        <w:keepLines w:val="0"/>
        <w:pageBreakBefore w:val="0"/>
        <w:widowControl w:val="0"/>
        <w:suppressLineNumbers w:val="0"/>
        <w:tabs>
          <w:tab w:val="left" w:pos="2160"/>
        </w:tabs>
        <w:suppressAutoHyphens w:val="0"/>
        <w:kinsoku/>
        <w:wordWrap/>
        <w:overflowPunct/>
        <w:topLinePunct w:val="0"/>
        <w:autoSpaceDE/>
        <w:autoSpaceDN w:val="0"/>
        <w:bidi w:val="0"/>
        <w:adjustRightInd/>
        <w:snapToGrid/>
        <w:spacing w:before="0" w:beforeAutospacing="0" w:after="0" w:afterAutospacing="0" w:line="240" w:lineRule="auto"/>
        <w:ind w:right="0"/>
        <w:jc w:val="both"/>
        <w:outlineLvl w:val="9"/>
        <w:rPr>
          <w:rFonts w:hint="default" w:ascii="Times New Roman" w:hAnsi="Times New Roman" w:eastAsia="方正仿宋_GBK" w:cs="Times New Roman"/>
          <w:kern w:val="2"/>
          <w:position w:val="0"/>
          <w:sz w:val="32"/>
          <w:szCs w:val="32"/>
          <w:lang w:val="en-US" w:eastAsia="zh-CN" w:bidi="ar-SA"/>
        </w:rPr>
      </w:pPr>
    </w:p>
    <w:p w14:paraId="41060806">
      <w:pPr>
        <w:keepNext w:val="0"/>
        <w:keepLines w:val="0"/>
        <w:pageBreakBefore w:val="0"/>
        <w:widowControl w:val="0"/>
        <w:kinsoku/>
        <w:wordWrap/>
        <w:overflowPunct/>
        <w:topLinePunct w:val="0"/>
        <w:autoSpaceDE/>
        <w:autoSpaceDN/>
        <w:bidi w:val="0"/>
        <w:adjustRightInd w:val="0"/>
        <w:snapToGrid w:val="0"/>
        <w:spacing w:line="240" w:lineRule="auto"/>
        <w:ind w:left="0" w:firstLine="640" w:firstLineChars="200"/>
        <w:textAlignment w:val="auto"/>
        <w:rPr>
          <w:rFonts w:hint="default" w:ascii="Times New Roman" w:hAnsi="Times New Roman" w:eastAsia="仿宋_GB2312" w:cs="Times New Roman"/>
          <w:sz w:val="32"/>
          <w:szCs w:val="32"/>
          <w:lang w:val="zh-CN" w:eastAsia="zh-CN" w:bidi="ar-SA"/>
        </w:rPr>
      </w:pPr>
    </w:p>
    <w:p w14:paraId="50BFD67E">
      <w:pPr>
        <w:pStyle w:val="5"/>
        <w:keepNext w:val="0"/>
        <w:keepLines w:val="0"/>
        <w:pageBreakBefore w:val="0"/>
        <w:widowControl w:val="0"/>
        <w:tabs>
          <w:tab w:val="left" w:pos="2160"/>
        </w:tabs>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仿宋_GBK" w:cs="Times New Roman"/>
          <w:kern w:val="2"/>
          <w:position w:val="0"/>
          <w:sz w:val="32"/>
          <w:szCs w:val="32"/>
          <w:lang w:val="en-US" w:eastAsia="zh-CN" w:bidi="ar-SA"/>
        </w:rPr>
        <w:t>附表：1.专项预算绩效自评打分表</w:t>
      </w:r>
    </w:p>
    <w:p w14:paraId="19697393">
      <w:pPr>
        <w:pStyle w:val="5"/>
        <w:keepNext w:val="0"/>
        <w:keepLines w:val="0"/>
        <w:pageBreakBefore w:val="0"/>
        <w:widowControl w:val="0"/>
        <w:tabs>
          <w:tab w:val="left" w:pos="2160"/>
        </w:tabs>
        <w:kinsoku/>
        <w:wordWrap/>
        <w:overflowPunct/>
        <w:topLinePunct w:val="0"/>
        <w:autoSpaceDE/>
        <w:autoSpaceDN/>
        <w:bidi w:val="0"/>
        <w:adjustRightInd/>
        <w:snapToGrid/>
        <w:spacing w:line="240" w:lineRule="auto"/>
        <w:ind w:firstLine="1600" w:firstLineChars="500"/>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仿宋_GBK" w:cs="Times New Roman"/>
          <w:kern w:val="2"/>
          <w:position w:val="0"/>
          <w:sz w:val="32"/>
          <w:szCs w:val="32"/>
          <w:lang w:val="en-US" w:eastAsia="zh-CN" w:bidi="ar-SA"/>
        </w:rPr>
        <w:t>2.专项预算绩效自评实地踏勘点位清单表</w:t>
      </w:r>
    </w:p>
    <w:p w14:paraId="346E3996">
      <w:pPr>
        <w:pStyle w:val="5"/>
        <w:keepNext w:val="0"/>
        <w:keepLines w:val="0"/>
        <w:pageBreakBefore w:val="0"/>
        <w:widowControl w:val="0"/>
        <w:tabs>
          <w:tab w:val="left" w:pos="2160"/>
        </w:tabs>
        <w:kinsoku/>
        <w:wordWrap/>
        <w:overflowPunct/>
        <w:topLinePunct w:val="0"/>
        <w:autoSpaceDE/>
        <w:autoSpaceDN/>
        <w:bidi w:val="0"/>
        <w:adjustRightInd/>
        <w:snapToGrid/>
        <w:spacing w:line="240" w:lineRule="auto"/>
        <w:ind w:firstLine="1600" w:firstLineChars="500"/>
        <w:jc w:val="both"/>
        <w:textAlignment w:val="auto"/>
        <w:rPr>
          <w:rFonts w:hint="default" w:ascii="Times New Roman" w:hAnsi="Times New Roman" w:eastAsia="方正仿宋_GBK" w:cs="Times New Roman"/>
          <w:kern w:val="2"/>
          <w:position w:val="0"/>
          <w:sz w:val="32"/>
          <w:szCs w:val="32"/>
          <w:lang w:val="en-US" w:eastAsia="zh-CN" w:bidi="ar-SA"/>
        </w:rPr>
      </w:pPr>
      <w:r>
        <w:rPr>
          <w:rFonts w:hint="default" w:ascii="Times New Roman" w:hAnsi="Times New Roman" w:eastAsia="方正仿宋_GBK" w:cs="Times New Roman"/>
          <w:kern w:val="2"/>
          <w:position w:val="0"/>
          <w:sz w:val="32"/>
          <w:szCs w:val="32"/>
          <w:lang w:val="en-US" w:eastAsia="zh-CN" w:bidi="ar-SA"/>
        </w:rPr>
        <w:t>3.专项预算项目绩效目标完成情况自评表</w:t>
      </w:r>
    </w:p>
    <w:p w14:paraId="3EC0436B">
      <w:pPr>
        <w:keepNext w:val="0"/>
        <w:keepLines w:val="0"/>
        <w:pageBreakBefore w:val="0"/>
        <w:widowControl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color w:val="auto"/>
          <w:kern w:val="0"/>
          <w:sz w:val="32"/>
          <w:szCs w:val="32"/>
          <w:highlight w:val="none"/>
          <w:u w:val="none"/>
          <w:shd w:val="clear" w:color="auto" w:fill="FFFFFF"/>
          <w:lang w:val="en-US" w:eastAsia="zh-CN" w:bidi="ar-SA"/>
        </w:rPr>
      </w:pPr>
      <w:r>
        <w:rPr>
          <w:rFonts w:hint="default" w:ascii="Times New Roman" w:hAnsi="Times New Roman" w:cs="Times New Roman"/>
          <w:color w:val="000000"/>
          <w:kern w:val="0"/>
          <w:szCs w:val="32"/>
          <w:highlight w:val="none"/>
          <w:shd w:val="clear" w:color="auto" w:fill="FFFFFF"/>
          <w:lang w:val="zh-CN" w:eastAsia="zh-CN" w:bidi="ar-SA"/>
        </w:rPr>
        <w:br w:type="page"/>
      </w:r>
      <w:r>
        <w:rPr>
          <w:rFonts w:hint="default" w:ascii="Times New Roman" w:hAnsi="Times New Roman" w:eastAsia="黑体" w:cs="Times New Roman"/>
          <w:color w:val="auto"/>
          <w:kern w:val="0"/>
          <w:sz w:val="32"/>
          <w:szCs w:val="32"/>
          <w:highlight w:val="none"/>
          <w:u w:val="none"/>
          <w:shd w:val="clear" w:color="auto" w:fill="FFFFFF"/>
          <w:lang w:val="zh-CN" w:eastAsia="zh-CN" w:bidi="ar-SA"/>
        </w:rPr>
        <w:t>附表</w:t>
      </w:r>
      <w:r>
        <w:rPr>
          <w:rFonts w:hint="default" w:ascii="Times New Roman" w:hAnsi="Times New Roman" w:eastAsia="黑体" w:cs="Times New Roman"/>
          <w:color w:val="auto"/>
          <w:kern w:val="0"/>
          <w:sz w:val="32"/>
          <w:szCs w:val="32"/>
          <w:highlight w:val="none"/>
          <w:u w:val="none"/>
          <w:shd w:val="clear" w:color="auto" w:fill="FFFFFF"/>
          <w:lang w:val="en-US" w:eastAsia="zh-CN" w:bidi="ar-SA"/>
        </w:rPr>
        <w:t>1</w:t>
      </w:r>
    </w:p>
    <w:p w14:paraId="5A80EB7B">
      <w:pPr>
        <w:keepNext w:val="0"/>
        <w:keepLines w:val="0"/>
        <w:pageBreakBefore w:val="0"/>
        <w:widowControl w:val="0"/>
        <w:kinsoku/>
        <w:wordWrap/>
        <w:overflowPunct/>
        <w:topLinePunct w:val="0"/>
        <w:autoSpaceDE/>
        <w:autoSpaceDN/>
        <w:bidi w:val="0"/>
        <w:spacing w:line="578" w:lineRule="exact"/>
        <w:ind w:left="0"/>
        <w:jc w:val="center"/>
        <w:textAlignment w:val="auto"/>
        <w:rPr>
          <w:rFonts w:hint="default" w:ascii="Times New Roman" w:hAnsi="Times New Roman" w:eastAsia="方正小标宋_GBK" w:cs="Times New Roman"/>
          <w:color w:val="auto"/>
          <w:sz w:val="40"/>
          <w:szCs w:val="40"/>
          <w:highlight w:val="none"/>
          <w:u w:val="none"/>
          <w:lang w:val="en-US" w:eastAsia="zh-CN" w:bidi="ar-SA"/>
        </w:rPr>
      </w:pPr>
      <w:r>
        <w:rPr>
          <w:rFonts w:hint="default" w:ascii="Times New Roman" w:hAnsi="Times New Roman" w:eastAsia="方正小标宋_GBK" w:cs="Times New Roman"/>
          <w:color w:val="auto"/>
          <w:sz w:val="40"/>
          <w:szCs w:val="40"/>
          <w:highlight w:val="none"/>
          <w:u w:val="none"/>
          <w:lang w:val="en-US" w:eastAsia="zh-CN" w:bidi="ar-SA"/>
        </w:rPr>
        <w:t>专项预算绩效自评打分表（96分）</w:t>
      </w:r>
    </w:p>
    <w:tbl>
      <w:tblPr>
        <w:tblStyle w:val="17"/>
        <w:tblW w:w="10901" w:type="dxa"/>
        <w:jc w:val="center"/>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14:paraId="7DA205D2">
        <w:tblPrEx>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14:paraId="54F5F1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color w:val="000000"/>
                <w:sz w:val="24"/>
                <w:szCs w:val="24"/>
                <w:u w:val="none"/>
                <w:lang w:bidi="ar-SA"/>
              </w:rPr>
            </w:pPr>
            <w:r>
              <w:rPr>
                <w:rFonts w:hint="default" w:ascii="Times New Roman" w:hAnsi="Times New Roman" w:eastAsia="黑体" w:cs="Times New Roman"/>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14:paraId="09AB2C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color w:val="000000"/>
                <w:sz w:val="24"/>
                <w:szCs w:val="24"/>
                <w:u w:val="none"/>
                <w:lang w:bidi="ar-SA"/>
              </w:rPr>
            </w:pPr>
            <w:r>
              <w:rPr>
                <w:rFonts w:hint="default" w:ascii="Times New Roman" w:hAnsi="Times New Roman" w:eastAsia="黑体" w:cs="Times New Roman"/>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bottom w:val="nil"/>
              <w:right w:val="single" w:color="000000" w:sz="4" w:space="0"/>
            </w:tcBorders>
            <w:noWrap w:val="0"/>
            <w:vAlign w:val="center"/>
          </w:tcPr>
          <w:p w14:paraId="24E9B2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color w:val="000000"/>
                <w:kern w:val="0"/>
                <w:sz w:val="24"/>
                <w:szCs w:val="24"/>
                <w:u w:val="none"/>
                <w:lang w:val="en-US" w:eastAsia="zh-CN" w:bidi="ar"/>
              </w:rPr>
            </w:pPr>
            <w:r>
              <w:rPr>
                <w:rFonts w:hint="default" w:ascii="Times New Roman" w:hAnsi="Times New Roman" w:eastAsia="黑体" w:cs="Times New Roman"/>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bottom w:val="nil"/>
              <w:right w:val="single" w:color="000000" w:sz="4" w:space="0"/>
            </w:tcBorders>
            <w:noWrap w:val="0"/>
            <w:vAlign w:val="center"/>
          </w:tcPr>
          <w:p w14:paraId="36EB89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color w:val="000000"/>
                <w:kern w:val="0"/>
                <w:sz w:val="24"/>
                <w:szCs w:val="24"/>
                <w:u w:val="none"/>
                <w:lang w:val="en-US" w:eastAsia="zh-CN" w:bidi="ar"/>
              </w:rPr>
            </w:pPr>
            <w:r>
              <w:rPr>
                <w:rFonts w:hint="default" w:ascii="Times New Roman" w:hAnsi="Times New Roman" w:eastAsia="黑体" w:cs="Times New Roman"/>
                <w:color w:val="000000"/>
                <w:kern w:val="0"/>
                <w:sz w:val="24"/>
                <w:szCs w:val="24"/>
                <w:u w:val="none"/>
                <w:lang w:val="en-US" w:eastAsia="zh-CN" w:bidi="ar"/>
              </w:rPr>
              <w:t>备注</w:t>
            </w:r>
          </w:p>
        </w:tc>
      </w:tr>
      <w:tr w14:paraId="2C86448E">
        <w:tblPrEx>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79E28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color w:val="000000"/>
                <w:sz w:val="24"/>
                <w:szCs w:val="24"/>
                <w:u w:val="none"/>
                <w:lang w:bidi="ar-SA"/>
              </w:rPr>
            </w:pPr>
            <w:r>
              <w:rPr>
                <w:rFonts w:hint="default" w:ascii="Times New Roman" w:hAnsi="Times New Roman" w:eastAsia="黑体" w:cs="Times New Roman"/>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14:paraId="04DB6A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color w:val="000000"/>
                <w:sz w:val="24"/>
                <w:szCs w:val="24"/>
                <w:u w:val="none"/>
                <w:lang w:bidi="ar-SA"/>
              </w:rPr>
            </w:pPr>
            <w:r>
              <w:rPr>
                <w:rFonts w:hint="default" w:ascii="Times New Roman" w:hAnsi="Times New Roman" w:eastAsia="黑体" w:cs="Times New Roman"/>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3103D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color w:val="000000"/>
                <w:sz w:val="24"/>
                <w:szCs w:val="24"/>
                <w:u w:val="none"/>
                <w:lang w:bidi="ar-SA"/>
              </w:rPr>
            </w:pPr>
            <w:r>
              <w:rPr>
                <w:rFonts w:hint="default" w:ascii="Times New Roman" w:hAnsi="Times New Roman" w:eastAsia="黑体" w:cs="Times New Roman"/>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B054C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color w:val="000000"/>
                <w:sz w:val="24"/>
                <w:szCs w:val="24"/>
                <w:u w:val="none"/>
                <w:lang w:bidi="ar-SA"/>
              </w:rPr>
            </w:pPr>
            <w:r>
              <w:rPr>
                <w:rFonts w:hint="default" w:ascii="Times New Roman" w:hAnsi="Times New Roman" w:eastAsia="黑体" w:cs="Times New Roman"/>
                <w:color w:val="000000"/>
                <w:kern w:val="0"/>
                <w:sz w:val="24"/>
                <w:szCs w:val="24"/>
                <w:u w:val="none"/>
                <w:lang w:val="en-US" w:eastAsia="zh-CN" w:bidi="ar"/>
              </w:rPr>
              <w:t>指标</w:t>
            </w:r>
            <w:r>
              <w:rPr>
                <w:rFonts w:hint="default" w:ascii="Times New Roman" w:hAnsi="Times New Roman" w:eastAsia="黑体" w:cs="Times New Roman"/>
                <w:color w:val="000000"/>
                <w:kern w:val="0"/>
                <w:sz w:val="24"/>
                <w:szCs w:val="24"/>
                <w:u w:val="none"/>
                <w:lang w:val="en-US" w:eastAsia="zh-CN" w:bidi="ar"/>
              </w:rPr>
              <w:br w:type="textWrapping"/>
            </w:r>
            <w:r>
              <w:rPr>
                <w:rFonts w:hint="default" w:ascii="Times New Roman" w:hAnsi="Times New Roman" w:eastAsia="黑体" w:cs="Times New Roman"/>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F47C3E">
            <w:pPr>
              <w:rPr>
                <w:rFonts w:hint="default" w:ascii="Times New Roman" w:hAnsi="Times New Roman" w:cs="Times New Roman"/>
              </w:rPr>
            </w:pPr>
          </w:p>
        </w:tc>
        <w:tc>
          <w:tcPr>
            <w:tcW w:w="732" w:type="dxa"/>
            <w:vMerge w:val="continue"/>
            <w:tcBorders>
              <w:top w:val="nil"/>
              <w:left w:val="single" w:color="000000" w:sz="4" w:space="0"/>
              <w:bottom w:val="single" w:color="000000" w:sz="4" w:space="0"/>
              <w:right w:val="single" w:color="000000" w:sz="4" w:space="0"/>
            </w:tcBorders>
            <w:noWrap w:val="0"/>
            <w:vAlign w:val="center"/>
          </w:tcPr>
          <w:p w14:paraId="1A5AEC63">
            <w:pPr>
              <w:rPr>
                <w:rFonts w:hint="default" w:ascii="Times New Roman" w:hAnsi="Times New Roman" w:cs="Times New Roman"/>
              </w:rPr>
            </w:pPr>
          </w:p>
        </w:tc>
        <w:tc>
          <w:tcPr>
            <w:tcW w:w="468" w:type="dxa"/>
            <w:vMerge w:val="continue"/>
            <w:tcBorders>
              <w:top w:val="nil"/>
              <w:left w:val="single" w:color="000000" w:sz="4" w:space="0"/>
              <w:bottom w:val="single" w:color="000000" w:sz="4" w:space="0"/>
              <w:right w:val="single" w:color="000000" w:sz="4" w:space="0"/>
            </w:tcBorders>
            <w:noWrap w:val="0"/>
            <w:vAlign w:val="center"/>
          </w:tcPr>
          <w:p w14:paraId="0319C710">
            <w:pPr>
              <w:rPr>
                <w:rFonts w:hint="default" w:ascii="Times New Roman" w:hAnsi="Times New Roman" w:cs="Times New Roman"/>
              </w:rPr>
            </w:pPr>
          </w:p>
        </w:tc>
      </w:tr>
      <w:tr w14:paraId="5F502542">
        <w:tblPrEx>
          <w:tblCellMar>
            <w:top w:w="0" w:type="dxa"/>
            <w:left w:w="108" w:type="dxa"/>
            <w:bottom w:w="0" w:type="dxa"/>
            <w:right w:w="108" w:type="dxa"/>
          </w:tblCellMar>
        </w:tblPrEx>
        <w:trPr>
          <w:trHeight w:val="254"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1396CE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宋体" w:cs="Times New Roman"/>
                <w:b/>
                <w:color w:val="000000"/>
                <w:kern w:val="0"/>
                <w:sz w:val="24"/>
                <w:szCs w:val="24"/>
                <w:u w:val="none"/>
                <w:lang w:val="en-US" w:eastAsia="zh-CN" w:bidi="ar"/>
              </w:rPr>
              <w:t>通用指标</w:t>
            </w:r>
            <w:r>
              <w:rPr>
                <w:rFonts w:hint="default" w:ascii="Times New Roman" w:hAnsi="Times New Roman" w:eastAsia="宋体"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D41D1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宋体" w:cs="Times New Roman"/>
                <w:b/>
                <w:color w:val="000000"/>
                <w:kern w:val="0"/>
                <w:sz w:val="24"/>
                <w:szCs w:val="24"/>
                <w:u w:val="none"/>
                <w:lang w:val="en-US" w:eastAsia="zh-CN" w:bidi="ar"/>
              </w:rPr>
              <w:t>项目决策</w:t>
            </w:r>
            <w:r>
              <w:rPr>
                <w:rFonts w:hint="default" w:ascii="Times New Roman" w:hAnsi="Times New Roman" w:eastAsia="宋体"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A44E6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E331C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C95FAB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sz w:val="18"/>
                <w:szCs w:val="18"/>
                <w:u w:val="none"/>
                <w:lang w:bidi="ar-SA"/>
              </w:rPr>
            </w:pPr>
            <w:r>
              <w:rPr>
                <w:rFonts w:hint="eastAsia" w:ascii="方正仿宋_GBK" w:hAnsi="方正仿宋_GBK" w:eastAsia="方正仿宋_GBK" w:cs="方正仿宋_GBK"/>
                <w:color w:val="000000"/>
                <w:kern w:val="0"/>
                <w:sz w:val="18"/>
                <w:szCs w:val="18"/>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86AA2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DE8737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5FD895BB">
        <w:tblPrEx>
          <w:tblCellMar>
            <w:top w:w="0" w:type="dxa"/>
            <w:left w:w="108" w:type="dxa"/>
            <w:bottom w:w="0" w:type="dxa"/>
            <w:right w:w="108" w:type="dxa"/>
          </w:tblCellMar>
        </w:tblPrEx>
        <w:trPr>
          <w:trHeight w:val="53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91F034">
            <w:pPr>
              <w:rPr>
                <w:rFonts w:hint="default" w:ascii="Times New Roman" w:hAnsi="Times New Roman" w:cs="Times New Roman"/>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3C7BB3">
            <w:pPr>
              <w:rPr>
                <w:rFonts w:hint="default" w:ascii="Times New Roman" w:hAnsi="Times New Roman" w:cs="Times New Roman"/>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C4A1D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DA60A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15D41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方正仿宋_GBK" w:hAnsi="方正仿宋_GBK" w:eastAsia="方正仿宋_GBK" w:cs="方正仿宋_GBK"/>
                <w:color w:val="000000"/>
                <w:kern w:val="0"/>
                <w:sz w:val="18"/>
                <w:szCs w:val="18"/>
                <w:u w:val="none"/>
                <w:lang w:val="en-US" w:eastAsia="zh-CN" w:bidi="ar"/>
              </w:rPr>
            </w:pPr>
            <w:r>
              <w:rPr>
                <w:rFonts w:hint="default" w:ascii="方正仿宋_GBK" w:hAnsi="方正仿宋_GBK" w:eastAsia="方正仿宋_GBK" w:cs="方正仿宋_GBK"/>
                <w:color w:val="000000"/>
                <w:kern w:val="0"/>
                <w:sz w:val="18"/>
                <w:szCs w:val="18"/>
                <w:u w:val="none"/>
                <w:lang w:val="en-US" w:eastAsia="zh-CN"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C9579D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F6DD8B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1847F711">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1E28B1">
            <w:pPr>
              <w:rPr>
                <w:rFonts w:hint="default" w:ascii="Times New Roman" w:hAnsi="Times New Roman" w:cs="Times New Roman"/>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3B7628">
            <w:pPr>
              <w:rPr>
                <w:rFonts w:hint="default" w:ascii="Times New Roman" w:hAnsi="Times New Roman" w:cs="Times New Roman"/>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1D6DD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F60F3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265A9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方正仿宋_GBK" w:hAnsi="方正仿宋_GBK" w:eastAsia="方正仿宋_GBK" w:cs="方正仿宋_GBK"/>
                <w:color w:val="000000"/>
                <w:kern w:val="0"/>
                <w:sz w:val="18"/>
                <w:szCs w:val="18"/>
                <w:u w:val="none"/>
                <w:lang w:val="en-US" w:eastAsia="zh-CN" w:bidi="ar"/>
              </w:rPr>
            </w:pPr>
            <w:r>
              <w:rPr>
                <w:rFonts w:hint="default" w:ascii="方正仿宋_GBK" w:hAnsi="方正仿宋_GBK" w:eastAsia="方正仿宋_GBK" w:cs="方正仿宋_GBK"/>
                <w:color w:val="000000"/>
                <w:kern w:val="0"/>
                <w:sz w:val="18"/>
                <w:szCs w:val="18"/>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1B020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B9E428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4FCA23AB">
        <w:tblPrEx>
          <w:tblCellMar>
            <w:top w:w="0" w:type="dxa"/>
            <w:left w:w="108" w:type="dxa"/>
            <w:bottom w:w="0" w:type="dxa"/>
            <w:right w:w="108" w:type="dxa"/>
          </w:tblCellMar>
        </w:tblPrEx>
        <w:trPr>
          <w:trHeight w:val="32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5DE629">
            <w:pPr>
              <w:rPr>
                <w:rFonts w:hint="default" w:ascii="Times New Roman" w:hAnsi="Times New Roman" w:cs="Times New Roman"/>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41D26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宋体" w:cs="Times New Roman"/>
                <w:b/>
                <w:color w:val="000000"/>
                <w:kern w:val="0"/>
                <w:sz w:val="24"/>
                <w:szCs w:val="24"/>
                <w:u w:val="none"/>
                <w:lang w:val="en-US" w:eastAsia="zh-CN" w:bidi="ar"/>
              </w:rPr>
              <w:t>项目管理</w:t>
            </w:r>
            <w:r>
              <w:rPr>
                <w:rFonts w:hint="default" w:ascii="Times New Roman" w:hAnsi="Times New Roman" w:eastAsia="宋体"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EAD3E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3DA9B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9271A0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方正仿宋_GBK" w:hAnsi="方正仿宋_GBK" w:eastAsia="方正仿宋_GBK" w:cs="方正仿宋_GBK"/>
                <w:color w:val="000000"/>
                <w:kern w:val="0"/>
                <w:sz w:val="18"/>
                <w:szCs w:val="18"/>
                <w:u w:val="none"/>
                <w:lang w:val="en-US" w:eastAsia="zh-CN" w:bidi="ar"/>
              </w:rPr>
            </w:pPr>
            <w:r>
              <w:rPr>
                <w:rFonts w:hint="default" w:ascii="方正仿宋_GBK" w:hAnsi="方正仿宋_GBK" w:eastAsia="方正仿宋_GBK" w:cs="方正仿宋_GBK"/>
                <w:color w:val="000000"/>
                <w:kern w:val="0"/>
                <w:sz w:val="18"/>
                <w:szCs w:val="18"/>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077C22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37DED4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5ED06384">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24369E">
            <w:pPr>
              <w:rPr>
                <w:rFonts w:hint="default" w:ascii="Times New Roman" w:hAnsi="Times New Roman" w:cs="Times New Roman"/>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4D23AC">
            <w:pPr>
              <w:rPr>
                <w:rFonts w:hint="default" w:ascii="Times New Roman" w:hAnsi="Times New Roman" w:cs="Times New Roman"/>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DBC34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E72CB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A411FA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方正仿宋_GBK" w:hAnsi="方正仿宋_GBK" w:eastAsia="方正仿宋_GBK" w:cs="方正仿宋_GBK"/>
                <w:color w:val="000000"/>
                <w:kern w:val="0"/>
                <w:sz w:val="18"/>
                <w:szCs w:val="18"/>
                <w:u w:val="none"/>
                <w:lang w:val="en-US" w:eastAsia="zh-CN" w:bidi="ar"/>
              </w:rPr>
            </w:pPr>
            <w:r>
              <w:rPr>
                <w:rFonts w:hint="default" w:ascii="方正仿宋_GBK" w:hAnsi="方正仿宋_GBK" w:eastAsia="方正仿宋_GBK" w:cs="方正仿宋_GBK"/>
                <w:color w:val="000000"/>
                <w:kern w:val="0"/>
                <w:sz w:val="18"/>
                <w:szCs w:val="18"/>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0830E5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776D71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0F75B98E">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733E94">
            <w:pPr>
              <w:rPr>
                <w:rFonts w:hint="default" w:ascii="Times New Roman" w:hAnsi="Times New Roman" w:cs="Times New Roman"/>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7A8E66">
            <w:pPr>
              <w:rPr>
                <w:rFonts w:hint="default" w:ascii="Times New Roman" w:hAnsi="Times New Roman" w:cs="Times New Roman"/>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A117F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01D6D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BC9CD6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方正仿宋_GBK" w:hAnsi="方正仿宋_GBK" w:eastAsia="方正仿宋_GBK" w:cs="方正仿宋_GBK"/>
                <w:color w:val="000000"/>
                <w:kern w:val="0"/>
                <w:sz w:val="18"/>
                <w:szCs w:val="18"/>
                <w:u w:val="none"/>
                <w:lang w:val="en-US" w:eastAsia="zh-CN" w:bidi="ar"/>
              </w:rPr>
            </w:pPr>
            <w:r>
              <w:rPr>
                <w:rFonts w:hint="default" w:ascii="方正仿宋_GBK" w:hAnsi="方正仿宋_GBK" w:eastAsia="方正仿宋_GBK" w:cs="方正仿宋_GBK"/>
                <w:color w:val="000000"/>
                <w:kern w:val="0"/>
                <w:sz w:val="18"/>
                <w:szCs w:val="18"/>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F7B13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5D027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67791449">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37BF3D">
            <w:pPr>
              <w:rPr>
                <w:rFonts w:hint="default" w:ascii="Times New Roman" w:hAnsi="Times New Roman" w:cs="Times New Roman"/>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BA798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宋体" w:cs="Times New Roman"/>
                <w:b/>
                <w:color w:val="000000"/>
                <w:kern w:val="0"/>
                <w:sz w:val="24"/>
                <w:szCs w:val="24"/>
                <w:u w:val="none"/>
                <w:lang w:val="en-US" w:eastAsia="zh-CN" w:bidi="ar"/>
              </w:rPr>
              <w:t>项目实施</w:t>
            </w:r>
            <w:r>
              <w:rPr>
                <w:rFonts w:hint="default" w:ascii="Times New Roman" w:hAnsi="Times New Roman" w:eastAsia="宋体"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6C4FD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43DD4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FCE60E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方正仿宋_GBK" w:hAnsi="方正仿宋_GBK" w:eastAsia="方正仿宋_GBK" w:cs="方正仿宋_GBK"/>
                <w:color w:val="000000"/>
                <w:kern w:val="0"/>
                <w:sz w:val="18"/>
                <w:szCs w:val="18"/>
                <w:u w:val="none"/>
                <w:lang w:val="en-US" w:eastAsia="zh-CN" w:bidi="ar"/>
              </w:rPr>
            </w:pPr>
            <w:r>
              <w:rPr>
                <w:rFonts w:hint="default" w:ascii="方正仿宋_GBK" w:hAnsi="方正仿宋_GBK" w:eastAsia="方正仿宋_GBK" w:cs="方正仿宋_GBK"/>
                <w:color w:val="000000"/>
                <w:kern w:val="0"/>
                <w:sz w:val="18"/>
                <w:szCs w:val="18"/>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288266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6EF229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0096F847">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3686ED">
            <w:pPr>
              <w:rPr>
                <w:rFonts w:hint="default" w:ascii="Times New Roman" w:hAnsi="Times New Roman" w:cs="Times New Roman"/>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198B1E">
            <w:pPr>
              <w:rPr>
                <w:rFonts w:hint="default" w:ascii="Times New Roman" w:hAnsi="Times New Roman" w:cs="Times New Roman"/>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74FB7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52276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CB8AF3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方正仿宋_GBK" w:hAnsi="方正仿宋_GBK" w:eastAsia="方正仿宋_GBK" w:cs="方正仿宋_GBK"/>
                <w:color w:val="000000"/>
                <w:kern w:val="0"/>
                <w:sz w:val="18"/>
                <w:szCs w:val="18"/>
                <w:u w:val="none"/>
                <w:lang w:val="en-US" w:eastAsia="zh-CN" w:bidi="ar"/>
              </w:rPr>
            </w:pPr>
            <w:r>
              <w:rPr>
                <w:rFonts w:hint="default" w:ascii="方正仿宋_GBK" w:hAnsi="方正仿宋_GBK" w:eastAsia="方正仿宋_GBK" w:cs="方正仿宋_GBK"/>
                <w:color w:val="000000"/>
                <w:kern w:val="0"/>
                <w:sz w:val="18"/>
                <w:szCs w:val="18"/>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5D3BFA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B3504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031B4D2D">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B9A4AA">
            <w:pPr>
              <w:rPr>
                <w:rFonts w:hint="default" w:ascii="Times New Roman" w:hAnsi="Times New Roman" w:cs="Times New Roman"/>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8A19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宋体" w:cs="Times New Roman"/>
                <w:b/>
                <w:color w:val="000000"/>
                <w:kern w:val="0"/>
                <w:sz w:val="24"/>
                <w:szCs w:val="24"/>
                <w:u w:val="none"/>
                <w:lang w:val="en-US" w:eastAsia="zh-CN" w:bidi="ar"/>
              </w:rPr>
              <w:t>项目结果</w:t>
            </w:r>
            <w:r>
              <w:rPr>
                <w:rFonts w:hint="default" w:ascii="Times New Roman" w:hAnsi="Times New Roman" w:eastAsia="宋体"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21A3B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AFE32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A2A6F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方正仿宋_GBK" w:hAnsi="方正仿宋_GBK" w:eastAsia="方正仿宋_GBK" w:cs="方正仿宋_GBK"/>
                <w:color w:val="000000"/>
                <w:kern w:val="0"/>
                <w:sz w:val="18"/>
                <w:szCs w:val="18"/>
                <w:u w:val="none"/>
                <w:lang w:val="en-US" w:eastAsia="zh-CN" w:bidi="ar"/>
              </w:rPr>
            </w:pPr>
            <w:r>
              <w:rPr>
                <w:rFonts w:hint="default" w:ascii="方正仿宋_GBK" w:hAnsi="方正仿宋_GBK" w:eastAsia="方正仿宋_GBK" w:cs="方正仿宋_GBK"/>
                <w:color w:val="000000"/>
                <w:kern w:val="0"/>
                <w:sz w:val="18"/>
                <w:szCs w:val="18"/>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4F377B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806B10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05458961">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718E08">
            <w:pPr>
              <w:rPr>
                <w:rFonts w:hint="default" w:ascii="Times New Roman" w:hAnsi="Times New Roman" w:cs="Times New Roman"/>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B659B3">
            <w:pPr>
              <w:rPr>
                <w:rFonts w:hint="default" w:ascii="Times New Roman" w:hAnsi="Times New Roman" w:cs="Times New Roman"/>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7D60F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A9EF4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094D01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方正仿宋_GBK" w:hAnsi="方正仿宋_GBK" w:eastAsia="方正仿宋_GBK" w:cs="方正仿宋_GBK"/>
                <w:color w:val="000000"/>
                <w:kern w:val="0"/>
                <w:sz w:val="18"/>
                <w:szCs w:val="18"/>
                <w:u w:val="none"/>
                <w:lang w:val="en-US" w:eastAsia="zh-CN" w:bidi="ar"/>
              </w:rPr>
            </w:pPr>
            <w:r>
              <w:rPr>
                <w:rFonts w:hint="default" w:ascii="方正仿宋_GBK" w:hAnsi="方正仿宋_GBK" w:eastAsia="方正仿宋_GBK" w:cs="方正仿宋_GBK"/>
                <w:color w:val="000000"/>
                <w:kern w:val="0"/>
                <w:sz w:val="18"/>
                <w:szCs w:val="18"/>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B67FF2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545C82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3F915F83">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654731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宋体" w:cs="Times New Roman"/>
                <w:b/>
                <w:color w:val="000000"/>
                <w:kern w:val="0"/>
                <w:sz w:val="24"/>
                <w:szCs w:val="24"/>
                <w:u w:val="none"/>
                <w:lang w:val="en-US" w:eastAsia="zh-CN" w:bidi="ar"/>
              </w:rPr>
              <w:t>专用指标</w:t>
            </w:r>
            <w:r>
              <w:rPr>
                <w:rFonts w:hint="default" w:ascii="Times New Roman" w:hAnsi="Times New Roman" w:eastAsia="宋体"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85FF4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宋体" w:cs="Times New Roman"/>
                <w:b/>
                <w:color w:val="000000"/>
                <w:kern w:val="0"/>
                <w:sz w:val="24"/>
                <w:szCs w:val="24"/>
                <w:u w:val="none"/>
                <w:lang w:val="en-US" w:eastAsia="zh-CN" w:bidi="ar"/>
              </w:rPr>
              <w:t>产业发展</w:t>
            </w:r>
            <w:r>
              <w:rPr>
                <w:rFonts w:hint="default" w:ascii="Times New Roman" w:hAnsi="Times New Roman" w:eastAsia="宋体"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C4C0C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439C2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44FC0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方正仿宋_GBK" w:hAnsi="方正仿宋_GBK" w:eastAsia="方正仿宋_GBK" w:cs="方正仿宋_GBK"/>
                <w:color w:val="000000"/>
                <w:kern w:val="0"/>
                <w:sz w:val="18"/>
                <w:szCs w:val="18"/>
                <w:u w:val="none"/>
                <w:lang w:val="en-US" w:eastAsia="zh-CN" w:bidi="ar"/>
              </w:rPr>
            </w:pPr>
            <w:r>
              <w:rPr>
                <w:rFonts w:hint="default" w:ascii="方正仿宋_GBK" w:hAnsi="方正仿宋_GBK" w:eastAsia="方正仿宋_GBK" w:cs="方正仿宋_GBK"/>
                <w:color w:val="000000"/>
                <w:kern w:val="0"/>
                <w:sz w:val="18"/>
                <w:szCs w:val="18"/>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E687DA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1FC403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0C10829C">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EF149A">
            <w:pPr>
              <w:rPr>
                <w:rFonts w:hint="default" w:ascii="Times New Roman" w:hAnsi="Times New Roman" w:cs="Times New Roman"/>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5B474A">
            <w:pPr>
              <w:rPr>
                <w:rFonts w:hint="default" w:ascii="Times New Roman" w:hAnsi="Times New Roman" w:cs="Times New Roman"/>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5BC34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C3100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DCB9AA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方正仿宋_GBK" w:hAnsi="方正仿宋_GBK" w:eastAsia="方正仿宋_GBK" w:cs="方正仿宋_GBK"/>
                <w:color w:val="000000"/>
                <w:kern w:val="0"/>
                <w:sz w:val="18"/>
                <w:szCs w:val="18"/>
                <w:u w:val="none"/>
                <w:lang w:val="en-US" w:eastAsia="zh-CN" w:bidi="ar"/>
              </w:rPr>
            </w:pPr>
            <w:r>
              <w:rPr>
                <w:rFonts w:hint="default" w:ascii="方正仿宋_GBK" w:hAnsi="方正仿宋_GBK" w:eastAsia="方正仿宋_GBK" w:cs="方正仿宋_GBK"/>
                <w:color w:val="000000"/>
                <w:kern w:val="0"/>
                <w:sz w:val="18"/>
                <w:szCs w:val="18"/>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F4F543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BF919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6AF8E5FB">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02731D">
            <w:pPr>
              <w:rPr>
                <w:rFonts w:hint="default" w:ascii="Times New Roman" w:hAnsi="Times New Roman" w:cs="Times New Roman"/>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90F06F">
            <w:pPr>
              <w:rPr>
                <w:rFonts w:hint="default" w:ascii="Times New Roman" w:hAnsi="Times New Roman" w:cs="Times New Roman"/>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EDD7B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13528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A5074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方正仿宋_GBK" w:hAnsi="方正仿宋_GBK" w:eastAsia="方正仿宋_GBK" w:cs="方正仿宋_GBK"/>
                <w:color w:val="000000"/>
                <w:kern w:val="0"/>
                <w:sz w:val="18"/>
                <w:szCs w:val="18"/>
                <w:u w:val="none"/>
                <w:lang w:val="en-US" w:eastAsia="zh-CN" w:bidi="ar"/>
              </w:rPr>
            </w:pPr>
            <w:r>
              <w:rPr>
                <w:rFonts w:hint="default" w:ascii="方正仿宋_GBK" w:hAnsi="方正仿宋_GBK" w:eastAsia="方正仿宋_GBK" w:cs="方正仿宋_GBK"/>
                <w:color w:val="000000"/>
                <w:kern w:val="0"/>
                <w:sz w:val="18"/>
                <w:szCs w:val="18"/>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23EFD2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854B7C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421B86FB">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69F1A7">
            <w:pPr>
              <w:rPr>
                <w:rFonts w:hint="default" w:ascii="Times New Roman" w:hAnsi="Times New Roman" w:cs="Times New Roman"/>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0435B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宋体" w:cs="Times New Roman"/>
                <w:b/>
                <w:color w:val="000000"/>
                <w:kern w:val="0"/>
                <w:sz w:val="24"/>
                <w:szCs w:val="24"/>
                <w:u w:val="none"/>
                <w:lang w:val="en-US" w:eastAsia="zh-CN" w:bidi="ar"/>
              </w:rPr>
              <w:t>民生保障</w:t>
            </w:r>
            <w:r>
              <w:rPr>
                <w:rFonts w:hint="default" w:ascii="Times New Roman" w:hAnsi="Times New Roman" w:eastAsia="宋体"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436EA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F2588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6047F3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方正仿宋_GBK" w:hAnsi="方正仿宋_GBK" w:eastAsia="方正仿宋_GBK" w:cs="方正仿宋_GBK"/>
                <w:color w:val="000000"/>
                <w:kern w:val="0"/>
                <w:sz w:val="18"/>
                <w:szCs w:val="18"/>
                <w:u w:val="none"/>
                <w:lang w:val="en-US" w:eastAsia="zh-CN" w:bidi="ar"/>
              </w:rPr>
            </w:pPr>
            <w:r>
              <w:rPr>
                <w:rFonts w:hint="default" w:ascii="方正仿宋_GBK" w:hAnsi="方正仿宋_GBK" w:eastAsia="方正仿宋_GBK" w:cs="方正仿宋_GBK"/>
                <w:color w:val="000000"/>
                <w:kern w:val="0"/>
                <w:sz w:val="18"/>
                <w:szCs w:val="18"/>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49E433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96880D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0F6D9BE9">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8A0713">
            <w:pPr>
              <w:rPr>
                <w:rFonts w:hint="default" w:ascii="Times New Roman" w:hAnsi="Times New Roman" w:cs="Times New Roman"/>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83FD04">
            <w:pPr>
              <w:rPr>
                <w:rFonts w:hint="default" w:ascii="Times New Roman" w:hAnsi="Times New Roman" w:cs="Times New Roman"/>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F9711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2497C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ACA242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方正仿宋_GBK" w:hAnsi="方正仿宋_GBK" w:eastAsia="方正仿宋_GBK" w:cs="方正仿宋_GBK"/>
                <w:color w:val="000000"/>
                <w:kern w:val="0"/>
                <w:sz w:val="18"/>
                <w:szCs w:val="18"/>
                <w:u w:val="none"/>
                <w:lang w:val="en-US" w:eastAsia="zh-CN" w:bidi="ar"/>
              </w:rPr>
            </w:pPr>
            <w:r>
              <w:rPr>
                <w:rFonts w:hint="default" w:ascii="方正仿宋_GBK" w:hAnsi="方正仿宋_GBK" w:eastAsia="方正仿宋_GBK" w:cs="方正仿宋_GBK"/>
                <w:color w:val="000000"/>
                <w:kern w:val="0"/>
                <w:sz w:val="18"/>
                <w:szCs w:val="18"/>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1307F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7BA96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350F5941">
        <w:tblPrEx>
          <w:tblCellMar>
            <w:top w:w="0" w:type="dxa"/>
            <w:left w:w="108" w:type="dxa"/>
            <w:bottom w:w="0" w:type="dxa"/>
            <w:right w:w="108" w:type="dxa"/>
          </w:tblCellMar>
        </w:tblPrEx>
        <w:trPr>
          <w:trHeight w:val="9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9B0C5D">
            <w:pPr>
              <w:rPr>
                <w:rFonts w:hint="default" w:ascii="Times New Roman" w:hAnsi="Times New Roman" w:cs="Times New Roman"/>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46621E">
            <w:pPr>
              <w:rPr>
                <w:rFonts w:hint="default" w:ascii="Times New Roman" w:hAnsi="Times New Roman" w:cs="Times New Roman"/>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D5707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36FEB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E4E6BC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方正仿宋_GBK" w:hAnsi="方正仿宋_GBK" w:eastAsia="方正仿宋_GBK" w:cs="方正仿宋_GBK"/>
                <w:color w:val="000000"/>
                <w:kern w:val="0"/>
                <w:sz w:val="18"/>
                <w:szCs w:val="18"/>
                <w:u w:val="none"/>
                <w:lang w:val="en-US" w:eastAsia="zh-CN" w:bidi="ar"/>
              </w:rPr>
            </w:pPr>
            <w:r>
              <w:rPr>
                <w:rFonts w:hint="default" w:ascii="方正仿宋_GBK" w:hAnsi="方正仿宋_GBK" w:eastAsia="方正仿宋_GBK" w:cs="方正仿宋_GBK"/>
                <w:color w:val="000000"/>
                <w:kern w:val="0"/>
                <w:sz w:val="18"/>
                <w:szCs w:val="18"/>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33CCD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61B9A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55434628">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062128">
            <w:pPr>
              <w:rPr>
                <w:rFonts w:hint="default" w:ascii="Times New Roman" w:hAnsi="Times New Roman" w:cs="Times New Roman"/>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EDA1F6">
            <w:pPr>
              <w:rPr>
                <w:rFonts w:hint="default" w:ascii="Times New Roman" w:hAnsi="Times New Roman" w:cs="Times New Roman"/>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D68B5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B457C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FBFFC5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方正仿宋_GBK" w:hAnsi="方正仿宋_GBK" w:eastAsia="方正仿宋_GBK" w:cs="方正仿宋_GBK"/>
                <w:color w:val="000000"/>
                <w:kern w:val="0"/>
                <w:sz w:val="18"/>
                <w:szCs w:val="18"/>
                <w:u w:val="none"/>
                <w:lang w:val="en-US" w:eastAsia="zh-CN" w:bidi="ar"/>
              </w:rPr>
            </w:pPr>
            <w:r>
              <w:rPr>
                <w:rFonts w:hint="default" w:ascii="方正仿宋_GBK" w:hAnsi="方正仿宋_GBK" w:eastAsia="方正仿宋_GBK" w:cs="方正仿宋_GBK"/>
                <w:color w:val="000000"/>
                <w:kern w:val="0"/>
                <w:sz w:val="18"/>
                <w:szCs w:val="18"/>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35B619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2762E2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7AC13849">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B2D9B4">
            <w:pPr>
              <w:rPr>
                <w:rFonts w:hint="default" w:ascii="Times New Roman" w:hAnsi="Times New Roman" w:cs="Times New Roman"/>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724EFB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highlight w:val="none"/>
                <w:u w:val="none"/>
                <w:lang w:bidi="ar-SA"/>
              </w:rPr>
            </w:pPr>
            <w:r>
              <w:rPr>
                <w:rFonts w:hint="default" w:ascii="Times New Roman" w:hAnsi="Times New Roman" w:eastAsia="宋体" w:cs="Times New Roman"/>
                <w:b/>
                <w:color w:val="000000"/>
                <w:kern w:val="0"/>
                <w:sz w:val="24"/>
                <w:szCs w:val="24"/>
                <w:highlight w:val="none"/>
                <w:u w:val="none"/>
                <w:lang w:val="en-US" w:eastAsia="zh-CN" w:bidi="ar"/>
              </w:rPr>
              <w:t>基础</w:t>
            </w:r>
            <w:r>
              <w:rPr>
                <w:rFonts w:hint="default" w:ascii="Times New Roman" w:hAnsi="Times New Roman" w:eastAsia="宋体" w:cs="Times New Roman"/>
                <w:b/>
                <w:color w:val="000000"/>
                <w:kern w:val="0"/>
                <w:sz w:val="24"/>
                <w:szCs w:val="24"/>
                <w:highlight w:val="none"/>
                <w:u w:val="none"/>
                <w:lang w:val="en-US" w:eastAsia="zh-CN" w:bidi="ar"/>
              </w:rPr>
              <w:br w:type="textWrapping"/>
            </w:r>
            <w:r>
              <w:rPr>
                <w:rFonts w:hint="default" w:ascii="Times New Roman" w:hAnsi="Times New Roman" w:eastAsia="宋体" w:cs="Times New Roman"/>
                <w:b/>
                <w:color w:val="000000"/>
                <w:kern w:val="0"/>
                <w:sz w:val="24"/>
                <w:szCs w:val="24"/>
                <w:highlight w:val="none"/>
                <w:u w:val="none"/>
                <w:lang w:val="en-US" w:eastAsia="zh-CN" w:bidi="ar"/>
              </w:rPr>
              <w:t>设施</w:t>
            </w:r>
            <w:r>
              <w:rPr>
                <w:rFonts w:hint="default" w:ascii="Times New Roman" w:hAnsi="Times New Roman" w:eastAsia="宋体" w:cs="Times New Roman"/>
                <w:b/>
                <w:color w:val="000000"/>
                <w:kern w:val="0"/>
                <w:sz w:val="24"/>
                <w:szCs w:val="24"/>
                <w:highlight w:val="none"/>
                <w:u w:val="none"/>
                <w:lang w:val="en-US" w:eastAsia="zh-CN" w:bidi="ar"/>
              </w:rPr>
              <w:br w:type="textWrapping"/>
            </w:r>
            <w:r>
              <w:rPr>
                <w:rFonts w:hint="default" w:ascii="Times New Roman" w:hAnsi="Times New Roman" w:eastAsia="宋体" w:cs="Times New Roman"/>
                <w:b/>
                <w:color w:val="000000"/>
                <w:kern w:val="0"/>
                <w:sz w:val="24"/>
                <w:szCs w:val="24"/>
                <w:highlight w:val="none"/>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0FA324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highlight w:val="none"/>
                <w:u w:val="none"/>
                <w:lang w:bidi="ar-SA"/>
              </w:rPr>
            </w:pPr>
            <w:r>
              <w:rPr>
                <w:rFonts w:hint="default" w:ascii="Times New Roman" w:hAnsi="Times New Roman" w:eastAsia="宋体" w:cs="Times New Roman"/>
                <w:b/>
                <w:color w:val="000000"/>
                <w:kern w:val="0"/>
                <w:sz w:val="24"/>
                <w:szCs w:val="24"/>
                <w:highlight w:val="none"/>
                <w:u w:val="none"/>
                <w:lang w:val="en-US" w:eastAsia="zh-CN" w:bidi="ar"/>
              </w:rPr>
              <w:t>在建</w:t>
            </w:r>
            <w:r>
              <w:rPr>
                <w:rFonts w:hint="default" w:ascii="Times New Roman" w:hAnsi="Times New Roman" w:eastAsia="宋体" w:cs="Times New Roman"/>
                <w:b/>
                <w:color w:val="000000"/>
                <w:kern w:val="0"/>
                <w:sz w:val="24"/>
                <w:szCs w:val="24"/>
                <w:highlight w:val="none"/>
                <w:u w:val="none"/>
                <w:lang w:val="en-US" w:eastAsia="zh-CN" w:bidi="ar"/>
              </w:rPr>
              <w:br w:type="textWrapping"/>
            </w:r>
            <w:r>
              <w:rPr>
                <w:rFonts w:hint="default" w:ascii="Times New Roman" w:hAnsi="Times New Roman" w:eastAsia="宋体" w:cs="Times New Roman"/>
                <w:b/>
                <w:color w:val="000000"/>
                <w:kern w:val="0"/>
                <w:sz w:val="24"/>
                <w:szCs w:val="24"/>
                <w:highlight w:val="none"/>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75ADC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highlight w:val="none"/>
                <w:u w:val="none"/>
                <w:lang w:bidi="ar-SA"/>
              </w:rPr>
            </w:pPr>
            <w:r>
              <w:rPr>
                <w:rFonts w:hint="default" w:ascii="Times New Roman" w:hAnsi="Times New Roman" w:eastAsia="宋体" w:cs="Times New Roman"/>
                <w:color w:val="000000"/>
                <w:kern w:val="0"/>
                <w:sz w:val="24"/>
                <w:szCs w:val="24"/>
                <w:highlight w:val="none"/>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58A72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highlight w:val="none"/>
                <w:u w:val="none"/>
                <w:lang w:bidi="ar-SA"/>
              </w:rPr>
            </w:pPr>
            <w:r>
              <w:rPr>
                <w:rFonts w:hint="default" w:ascii="Times New Roman" w:hAnsi="Times New Roman" w:eastAsia="宋体" w:cs="Times New Roman"/>
                <w:color w:val="000000"/>
                <w:kern w:val="0"/>
                <w:sz w:val="24"/>
                <w:szCs w:val="24"/>
                <w:highlight w:val="none"/>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4EC40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方正仿宋_GBK" w:hAnsi="方正仿宋_GBK" w:eastAsia="方正仿宋_GBK" w:cs="方正仿宋_GBK"/>
                <w:color w:val="000000"/>
                <w:kern w:val="0"/>
                <w:sz w:val="18"/>
                <w:szCs w:val="18"/>
                <w:u w:val="none"/>
                <w:lang w:val="en-US" w:eastAsia="zh-CN" w:bidi="ar"/>
              </w:rPr>
            </w:pPr>
            <w:r>
              <w:rPr>
                <w:rFonts w:hint="default" w:ascii="方正仿宋_GBK" w:hAnsi="方正仿宋_GBK" w:eastAsia="方正仿宋_GBK" w:cs="方正仿宋_GBK"/>
                <w:color w:val="000000"/>
                <w:kern w:val="0"/>
                <w:sz w:val="18"/>
                <w:szCs w:val="18"/>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F8072B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highlight w:val="none"/>
                <w:u w:val="none"/>
                <w:lang w:val="en-US" w:eastAsia="zh-CN" w:bidi="ar"/>
              </w:rPr>
            </w:pPr>
            <w:r>
              <w:rPr>
                <w:rFonts w:hint="default" w:ascii="Times New Roman" w:hAnsi="Times New Roman" w:eastAsia="宋体" w:cs="Times New Roman"/>
                <w:color w:val="000000"/>
                <w:kern w:val="0"/>
                <w:sz w:val="24"/>
                <w:szCs w:val="24"/>
                <w:u w:val="none"/>
                <w:lang w:val="en-US" w:eastAsia="zh-CN" w:bidi="ar"/>
              </w:rPr>
              <w:t>/</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26BF2F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highlight w:val="yellow"/>
                <w:u w:val="none"/>
                <w:lang w:val="en-US" w:eastAsia="zh-CN" w:bidi="ar"/>
              </w:rPr>
            </w:pPr>
          </w:p>
        </w:tc>
      </w:tr>
      <w:tr w14:paraId="17B8F181">
        <w:tblPrEx>
          <w:tblCellMar>
            <w:top w:w="0" w:type="dxa"/>
            <w:left w:w="108" w:type="dxa"/>
            <w:bottom w:w="0" w:type="dxa"/>
            <w:right w:w="108" w:type="dxa"/>
          </w:tblCellMar>
        </w:tblPrEx>
        <w:trPr>
          <w:trHeight w:val="219"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AA807D">
            <w:pPr>
              <w:rPr>
                <w:rFonts w:hint="default" w:ascii="Times New Roman" w:hAnsi="Times New Roman" w:cs="Times New Roman"/>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E4CD60">
            <w:pPr>
              <w:rPr>
                <w:rFonts w:hint="default" w:ascii="Times New Roman" w:hAnsi="Times New Roman" w:cs="Times New Roman"/>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562557">
            <w:pPr>
              <w:rPr>
                <w:rFonts w:hint="default" w:ascii="Times New Roman" w:hAnsi="Times New Roman" w:cs="Times New Roman"/>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958C8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highlight w:val="none"/>
                <w:u w:val="none"/>
                <w:lang w:bidi="ar-SA"/>
              </w:rPr>
            </w:pPr>
            <w:r>
              <w:rPr>
                <w:rFonts w:hint="default" w:ascii="Times New Roman" w:hAnsi="Times New Roman" w:eastAsia="宋体" w:cs="Times New Roman"/>
                <w:color w:val="000000"/>
                <w:kern w:val="0"/>
                <w:sz w:val="24"/>
                <w:szCs w:val="24"/>
                <w:highlight w:val="none"/>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F2C7F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highlight w:val="none"/>
                <w:u w:val="none"/>
                <w:lang w:bidi="ar-SA"/>
              </w:rPr>
            </w:pPr>
            <w:r>
              <w:rPr>
                <w:rFonts w:hint="default" w:ascii="Times New Roman" w:hAnsi="Times New Roman" w:eastAsia="宋体" w:cs="Times New Roman"/>
                <w:color w:val="000000"/>
                <w:kern w:val="0"/>
                <w:sz w:val="24"/>
                <w:szCs w:val="24"/>
                <w:highlight w:val="none"/>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C53F8C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方正仿宋_GBK" w:hAnsi="方正仿宋_GBK" w:eastAsia="方正仿宋_GBK" w:cs="方正仿宋_GBK"/>
                <w:color w:val="000000"/>
                <w:kern w:val="0"/>
                <w:sz w:val="18"/>
                <w:szCs w:val="18"/>
                <w:u w:val="none"/>
                <w:lang w:val="en-US" w:eastAsia="zh-CN" w:bidi="ar"/>
              </w:rPr>
            </w:pPr>
            <w:r>
              <w:rPr>
                <w:rFonts w:hint="default" w:ascii="方正仿宋_GBK" w:hAnsi="方正仿宋_GBK" w:eastAsia="方正仿宋_GBK" w:cs="方正仿宋_GBK"/>
                <w:color w:val="000000"/>
                <w:kern w:val="0"/>
                <w:sz w:val="18"/>
                <w:szCs w:val="18"/>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15812E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highlight w:val="none"/>
                <w:u w:val="none"/>
                <w:lang w:val="en-US" w:eastAsia="zh-CN" w:bidi="ar"/>
              </w:rPr>
            </w:pPr>
            <w:r>
              <w:rPr>
                <w:rFonts w:hint="default" w:ascii="Times New Roman" w:hAnsi="Times New Roman" w:eastAsia="宋体" w:cs="Times New Roman"/>
                <w:color w:val="000000"/>
                <w:kern w:val="0"/>
                <w:sz w:val="24"/>
                <w:szCs w:val="24"/>
                <w:u w:val="none"/>
                <w:lang w:val="en-US" w:eastAsia="zh-CN" w:bidi="ar"/>
              </w:rPr>
              <w:t>/</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0CD8C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highlight w:val="yellow"/>
                <w:u w:val="none"/>
                <w:lang w:val="en-US" w:eastAsia="zh-CN" w:bidi="ar"/>
              </w:rPr>
            </w:pPr>
          </w:p>
        </w:tc>
      </w:tr>
      <w:tr w14:paraId="7D9FF964">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6BA987">
            <w:pPr>
              <w:rPr>
                <w:rFonts w:hint="default" w:ascii="Times New Roman" w:hAnsi="Times New Roman" w:cs="Times New Roman"/>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3678A1">
            <w:pPr>
              <w:rPr>
                <w:rFonts w:hint="default" w:ascii="Times New Roman" w:hAnsi="Times New Roman" w:cs="Times New Roman"/>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639818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highlight w:val="none"/>
                <w:u w:val="none"/>
                <w:lang w:bidi="ar-SA"/>
              </w:rPr>
            </w:pPr>
            <w:r>
              <w:rPr>
                <w:rFonts w:hint="default" w:ascii="Times New Roman" w:hAnsi="Times New Roman" w:eastAsia="宋体" w:cs="Times New Roman"/>
                <w:b/>
                <w:color w:val="000000"/>
                <w:kern w:val="0"/>
                <w:sz w:val="24"/>
                <w:szCs w:val="24"/>
                <w:highlight w:val="none"/>
                <w:u w:val="none"/>
                <w:lang w:val="en-US" w:eastAsia="zh-CN" w:bidi="ar"/>
              </w:rPr>
              <w:t>建成</w:t>
            </w:r>
            <w:r>
              <w:rPr>
                <w:rFonts w:hint="default" w:ascii="Times New Roman" w:hAnsi="Times New Roman" w:eastAsia="宋体" w:cs="Times New Roman"/>
                <w:b/>
                <w:color w:val="000000"/>
                <w:kern w:val="0"/>
                <w:sz w:val="24"/>
                <w:szCs w:val="24"/>
                <w:highlight w:val="none"/>
                <w:u w:val="none"/>
                <w:lang w:val="en-US" w:eastAsia="zh-CN" w:bidi="ar"/>
              </w:rPr>
              <w:br w:type="textWrapping"/>
            </w:r>
            <w:r>
              <w:rPr>
                <w:rFonts w:hint="default" w:ascii="Times New Roman" w:hAnsi="Times New Roman" w:eastAsia="宋体" w:cs="Times New Roman"/>
                <w:b/>
                <w:color w:val="000000"/>
                <w:kern w:val="0"/>
                <w:sz w:val="24"/>
                <w:szCs w:val="24"/>
                <w:highlight w:val="none"/>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DC8F6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highlight w:val="none"/>
                <w:u w:val="none"/>
                <w:lang w:bidi="ar-SA"/>
              </w:rPr>
            </w:pPr>
            <w:r>
              <w:rPr>
                <w:rFonts w:hint="default" w:ascii="Times New Roman" w:hAnsi="Times New Roman" w:eastAsia="宋体" w:cs="Times New Roman"/>
                <w:color w:val="000000"/>
                <w:kern w:val="0"/>
                <w:sz w:val="24"/>
                <w:szCs w:val="24"/>
                <w:highlight w:val="none"/>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B0AB8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highlight w:val="none"/>
                <w:u w:val="none"/>
                <w:lang w:bidi="ar-SA"/>
              </w:rPr>
            </w:pPr>
            <w:r>
              <w:rPr>
                <w:rFonts w:hint="default" w:ascii="Times New Roman" w:hAnsi="Times New Roman" w:eastAsia="宋体" w:cs="Times New Roman"/>
                <w:color w:val="000000"/>
                <w:kern w:val="0"/>
                <w:sz w:val="24"/>
                <w:szCs w:val="24"/>
                <w:highlight w:val="none"/>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A92320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方正仿宋_GBK" w:hAnsi="方正仿宋_GBK" w:eastAsia="方正仿宋_GBK" w:cs="方正仿宋_GBK"/>
                <w:color w:val="000000"/>
                <w:kern w:val="0"/>
                <w:sz w:val="18"/>
                <w:szCs w:val="18"/>
                <w:u w:val="none"/>
                <w:lang w:val="en-US" w:eastAsia="zh-CN" w:bidi="ar"/>
              </w:rPr>
            </w:pPr>
            <w:r>
              <w:rPr>
                <w:rFonts w:hint="default" w:ascii="方正仿宋_GBK" w:hAnsi="方正仿宋_GBK" w:eastAsia="方正仿宋_GBK" w:cs="方正仿宋_GBK"/>
                <w:color w:val="000000"/>
                <w:kern w:val="0"/>
                <w:sz w:val="18"/>
                <w:szCs w:val="18"/>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170A38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highlight w:val="none"/>
                <w:u w:val="none"/>
                <w:lang w:val="en-US" w:eastAsia="zh-CN" w:bidi="ar"/>
              </w:rPr>
            </w:pPr>
            <w:r>
              <w:rPr>
                <w:rFonts w:hint="default" w:ascii="Times New Roman" w:hAnsi="Times New Roman" w:eastAsia="宋体" w:cs="Times New Roman"/>
                <w:color w:val="000000"/>
                <w:kern w:val="0"/>
                <w:sz w:val="24"/>
                <w:szCs w:val="24"/>
                <w:u w:val="none"/>
                <w:lang w:val="en-US" w:eastAsia="zh-CN" w:bidi="ar"/>
              </w:rPr>
              <w:t>/</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F9C8D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highlight w:val="yellow"/>
                <w:u w:val="none"/>
                <w:lang w:val="en-US" w:eastAsia="zh-CN" w:bidi="ar"/>
              </w:rPr>
            </w:pPr>
          </w:p>
        </w:tc>
      </w:tr>
      <w:tr w14:paraId="067F7E3B">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125839">
            <w:pPr>
              <w:rPr>
                <w:rFonts w:hint="default" w:ascii="Times New Roman" w:hAnsi="Times New Roman" w:cs="Times New Roman"/>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C52CF0">
            <w:pPr>
              <w:rPr>
                <w:rFonts w:hint="default" w:ascii="Times New Roman" w:hAnsi="Times New Roman" w:cs="Times New Roman"/>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2E138E">
            <w:pPr>
              <w:rPr>
                <w:rFonts w:hint="default" w:ascii="Times New Roman" w:hAnsi="Times New Roman" w:cs="Times New Roman"/>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815CB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highlight w:val="none"/>
                <w:u w:val="none"/>
                <w:lang w:bidi="ar-SA"/>
              </w:rPr>
            </w:pPr>
            <w:r>
              <w:rPr>
                <w:rFonts w:hint="default" w:ascii="Times New Roman" w:hAnsi="Times New Roman" w:eastAsia="宋体" w:cs="Times New Roman"/>
                <w:color w:val="000000"/>
                <w:kern w:val="0"/>
                <w:sz w:val="24"/>
                <w:szCs w:val="24"/>
                <w:highlight w:val="none"/>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C58C3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highlight w:val="none"/>
                <w:u w:val="none"/>
                <w:lang w:bidi="ar-SA"/>
              </w:rPr>
            </w:pPr>
            <w:r>
              <w:rPr>
                <w:rFonts w:hint="default" w:ascii="Times New Roman" w:hAnsi="Times New Roman" w:eastAsia="宋体" w:cs="Times New Roman"/>
                <w:color w:val="000000"/>
                <w:kern w:val="0"/>
                <w:sz w:val="24"/>
                <w:szCs w:val="24"/>
                <w:highlight w:val="none"/>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BC4BE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方正仿宋_GBK" w:hAnsi="方正仿宋_GBK" w:eastAsia="方正仿宋_GBK" w:cs="方正仿宋_GBK"/>
                <w:color w:val="000000"/>
                <w:kern w:val="0"/>
                <w:sz w:val="18"/>
                <w:szCs w:val="18"/>
                <w:u w:val="none"/>
                <w:lang w:val="en-US" w:eastAsia="zh-CN" w:bidi="ar"/>
              </w:rPr>
            </w:pPr>
            <w:r>
              <w:rPr>
                <w:rFonts w:hint="default" w:ascii="方正仿宋_GBK" w:hAnsi="方正仿宋_GBK" w:eastAsia="方正仿宋_GBK" w:cs="方正仿宋_GBK"/>
                <w:color w:val="000000"/>
                <w:kern w:val="0"/>
                <w:sz w:val="18"/>
                <w:szCs w:val="18"/>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715DAF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highlight w:val="none"/>
                <w:u w:val="none"/>
                <w:lang w:val="en-US" w:eastAsia="zh-CN" w:bidi="ar"/>
              </w:rPr>
            </w:pPr>
            <w:r>
              <w:rPr>
                <w:rFonts w:hint="default" w:ascii="Times New Roman" w:hAnsi="Times New Roman" w:eastAsia="宋体" w:cs="Times New Roman"/>
                <w:color w:val="000000"/>
                <w:kern w:val="0"/>
                <w:sz w:val="24"/>
                <w:szCs w:val="24"/>
                <w:u w:val="none"/>
                <w:lang w:val="en-US" w:eastAsia="zh-CN" w:bidi="ar"/>
              </w:rPr>
              <w:t>/</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3007E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highlight w:val="yellow"/>
                <w:u w:val="none"/>
                <w:lang w:val="en-US" w:eastAsia="zh-CN" w:bidi="ar"/>
              </w:rPr>
            </w:pPr>
          </w:p>
        </w:tc>
      </w:tr>
      <w:tr w14:paraId="320EA845">
        <w:tblPrEx>
          <w:tblCellMar>
            <w:top w:w="0" w:type="dxa"/>
            <w:left w:w="108" w:type="dxa"/>
            <w:bottom w:w="0" w:type="dxa"/>
            <w:right w:w="108" w:type="dxa"/>
          </w:tblCellMar>
        </w:tblPrEx>
        <w:trPr>
          <w:trHeight w:val="9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54774D">
            <w:pPr>
              <w:rPr>
                <w:rFonts w:hint="default" w:ascii="Times New Roman" w:hAnsi="Times New Roman" w:cs="Times New Roman"/>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328822">
            <w:pPr>
              <w:rPr>
                <w:rFonts w:hint="default" w:ascii="Times New Roman" w:hAnsi="Times New Roman" w:cs="Times New Roman"/>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185A53">
            <w:pPr>
              <w:rPr>
                <w:rFonts w:hint="default" w:ascii="Times New Roman" w:hAnsi="Times New Roman" w:cs="Times New Roman"/>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56CAB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highlight w:val="none"/>
                <w:u w:val="none"/>
                <w:lang w:bidi="ar-SA"/>
              </w:rPr>
            </w:pPr>
            <w:r>
              <w:rPr>
                <w:rFonts w:hint="default" w:ascii="Times New Roman" w:hAnsi="Times New Roman" w:eastAsia="宋体" w:cs="Times New Roman"/>
                <w:color w:val="000000"/>
                <w:kern w:val="0"/>
                <w:sz w:val="24"/>
                <w:szCs w:val="24"/>
                <w:highlight w:val="none"/>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5D12A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highlight w:val="none"/>
                <w:u w:val="none"/>
                <w:lang w:bidi="ar-SA"/>
              </w:rPr>
            </w:pPr>
            <w:r>
              <w:rPr>
                <w:rFonts w:hint="default" w:ascii="Times New Roman" w:hAnsi="Times New Roman" w:eastAsia="宋体" w:cs="Times New Roman"/>
                <w:color w:val="000000"/>
                <w:kern w:val="0"/>
                <w:sz w:val="24"/>
                <w:szCs w:val="24"/>
                <w:highlight w:val="none"/>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E9DDF8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方正仿宋_GBK" w:hAnsi="方正仿宋_GBK" w:eastAsia="方正仿宋_GBK" w:cs="方正仿宋_GBK"/>
                <w:color w:val="000000"/>
                <w:kern w:val="0"/>
                <w:sz w:val="18"/>
                <w:szCs w:val="18"/>
                <w:u w:val="none"/>
                <w:lang w:val="en-US" w:eastAsia="zh-CN" w:bidi="ar"/>
              </w:rPr>
            </w:pPr>
            <w:r>
              <w:rPr>
                <w:rFonts w:hint="default" w:ascii="方正仿宋_GBK" w:hAnsi="方正仿宋_GBK" w:eastAsia="方正仿宋_GBK" w:cs="方正仿宋_GBK"/>
                <w:color w:val="000000"/>
                <w:kern w:val="0"/>
                <w:sz w:val="18"/>
                <w:szCs w:val="18"/>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89C7E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highlight w:val="none"/>
                <w:u w:val="none"/>
                <w:lang w:val="en-US" w:eastAsia="zh-CN" w:bidi="ar"/>
              </w:rPr>
            </w:pPr>
            <w:r>
              <w:rPr>
                <w:rFonts w:hint="default" w:ascii="Times New Roman" w:hAnsi="Times New Roman" w:eastAsia="宋体" w:cs="Times New Roman"/>
                <w:color w:val="000000"/>
                <w:kern w:val="0"/>
                <w:sz w:val="24"/>
                <w:szCs w:val="24"/>
                <w:u w:val="none"/>
                <w:lang w:val="en-US" w:eastAsia="zh-CN" w:bidi="ar"/>
              </w:rPr>
              <w:t>/</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CC0900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highlight w:val="yellow"/>
                <w:u w:val="none"/>
                <w:lang w:val="en-US" w:eastAsia="zh-CN" w:bidi="ar"/>
              </w:rPr>
            </w:pPr>
          </w:p>
        </w:tc>
      </w:tr>
      <w:tr w14:paraId="25339B8A">
        <w:tblPrEx>
          <w:tblCellMar>
            <w:top w:w="0" w:type="dxa"/>
            <w:left w:w="108" w:type="dxa"/>
            <w:bottom w:w="0" w:type="dxa"/>
            <w:right w:w="108" w:type="dxa"/>
          </w:tblCellMar>
        </w:tblPrEx>
        <w:trPr>
          <w:trHeight w:val="570"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28D3E2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宋体" w:cs="Times New Roman"/>
                <w:b/>
                <w:color w:val="000000"/>
                <w:kern w:val="0"/>
                <w:sz w:val="24"/>
                <w:szCs w:val="24"/>
                <w:u w:val="none"/>
                <w:lang w:val="en-US" w:eastAsia="zh-CN" w:bidi="ar"/>
              </w:rPr>
              <w:t>专用指标</w:t>
            </w:r>
            <w:r>
              <w:rPr>
                <w:rFonts w:hint="default" w:ascii="Times New Roman" w:hAnsi="Times New Roman" w:eastAsia="宋体"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D035E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宋体" w:cs="Times New Roman"/>
                <w:b/>
                <w:color w:val="000000"/>
                <w:kern w:val="0"/>
                <w:sz w:val="24"/>
                <w:szCs w:val="24"/>
                <w:u w:val="none"/>
                <w:lang w:val="en-US" w:eastAsia="zh-CN" w:bidi="ar"/>
              </w:rPr>
              <w:t>行政运转</w:t>
            </w:r>
            <w:r>
              <w:rPr>
                <w:rFonts w:hint="default" w:ascii="Times New Roman" w:hAnsi="Times New Roman" w:eastAsia="宋体"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14:paraId="501AEB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14:paraId="446F2D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14:paraId="0321AAF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方正仿宋_GBK" w:hAnsi="方正仿宋_GBK" w:eastAsia="方正仿宋_GBK" w:cs="方正仿宋_GBK"/>
                <w:color w:val="000000"/>
                <w:kern w:val="0"/>
                <w:sz w:val="18"/>
                <w:szCs w:val="18"/>
                <w:u w:val="none"/>
                <w:lang w:val="en-US" w:eastAsia="zh-CN" w:bidi="ar"/>
              </w:rPr>
            </w:pPr>
            <w:r>
              <w:rPr>
                <w:rFonts w:hint="default" w:ascii="方正仿宋_GBK" w:hAnsi="方正仿宋_GBK" w:eastAsia="方正仿宋_GBK" w:cs="方正仿宋_GBK"/>
                <w:color w:val="000000"/>
                <w:kern w:val="0"/>
                <w:sz w:val="18"/>
                <w:szCs w:val="18"/>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14:paraId="1991D59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w:t>
            </w:r>
          </w:p>
        </w:tc>
        <w:tc>
          <w:tcPr>
            <w:tcW w:w="468" w:type="dxa"/>
            <w:tcBorders>
              <w:top w:val="nil"/>
              <w:left w:val="single" w:color="000000" w:sz="4" w:space="0"/>
              <w:bottom w:val="single" w:color="000000" w:sz="4" w:space="0"/>
              <w:right w:val="single" w:color="000000" w:sz="4" w:space="0"/>
            </w:tcBorders>
            <w:noWrap w:val="0"/>
            <w:vAlign w:val="center"/>
          </w:tcPr>
          <w:p w14:paraId="3C54C0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24B92DA2">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B78B10">
            <w:pPr>
              <w:rPr>
                <w:rFonts w:hint="default" w:ascii="Times New Roman" w:hAnsi="Times New Roman" w:cs="Times New Roman"/>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8C6DE1">
            <w:pPr>
              <w:rPr>
                <w:rFonts w:hint="default" w:ascii="Times New Roman" w:hAnsi="Times New Roman" w:cs="Times New Roman"/>
              </w:rPr>
            </w:pPr>
          </w:p>
        </w:tc>
        <w:tc>
          <w:tcPr>
            <w:tcW w:w="1355" w:type="dxa"/>
            <w:tcBorders>
              <w:top w:val="nil"/>
              <w:left w:val="single" w:color="000000" w:sz="4" w:space="0"/>
              <w:bottom w:val="single" w:color="000000" w:sz="4" w:space="0"/>
              <w:right w:val="single" w:color="000000" w:sz="4" w:space="0"/>
            </w:tcBorders>
            <w:noWrap w:val="0"/>
            <w:vAlign w:val="center"/>
          </w:tcPr>
          <w:p w14:paraId="68BF06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14:paraId="15BC27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24606E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方正仿宋_GBK" w:hAnsi="方正仿宋_GBK" w:eastAsia="方正仿宋_GBK" w:cs="方正仿宋_GBK"/>
                <w:color w:val="000000"/>
                <w:kern w:val="0"/>
                <w:sz w:val="18"/>
                <w:szCs w:val="18"/>
                <w:u w:val="none"/>
                <w:lang w:val="en-US" w:eastAsia="zh-CN" w:bidi="ar"/>
              </w:rPr>
            </w:pPr>
            <w:r>
              <w:rPr>
                <w:rFonts w:hint="default" w:ascii="方正仿宋_GBK" w:hAnsi="方正仿宋_GBK" w:eastAsia="方正仿宋_GBK" w:cs="方正仿宋_GBK"/>
                <w:color w:val="000000"/>
                <w:kern w:val="0"/>
                <w:sz w:val="18"/>
                <w:szCs w:val="18"/>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B2080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D01B25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26AD6EB0">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754A55">
            <w:pPr>
              <w:rPr>
                <w:rFonts w:hint="default" w:ascii="Times New Roman" w:hAnsi="Times New Roman" w:cs="Times New Roman"/>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871BCF">
            <w:pPr>
              <w:rPr>
                <w:rFonts w:hint="default" w:ascii="Times New Roman" w:hAnsi="Times New Roman" w:cs="Times New Roman"/>
              </w:rPr>
            </w:pPr>
          </w:p>
        </w:tc>
        <w:tc>
          <w:tcPr>
            <w:tcW w:w="1355" w:type="dxa"/>
            <w:tcBorders>
              <w:top w:val="nil"/>
              <w:left w:val="single" w:color="000000" w:sz="4" w:space="0"/>
              <w:bottom w:val="single" w:color="000000" w:sz="4" w:space="0"/>
              <w:right w:val="single" w:color="000000" w:sz="4" w:space="0"/>
            </w:tcBorders>
            <w:noWrap w:val="0"/>
            <w:vAlign w:val="center"/>
          </w:tcPr>
          <w:p w14:paraId="6676F9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14:paraId="697825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5BC41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方正仿宋_GBK" w:hAnsi="方正仿宋_GBK" w:eastAsia="方正仿宋_GBK" w:cs="方正仿宋_GBK"/>
                <w:color w:val="000000"/>
                <w:kern w:val="0"/>
                <w:sz w:val="18"/>
                <w:szCs w:val="18"/>
                <w:u w:val="none"/>
                <w:lang w:val="en-US" w:eastAsia="zh-CN" w:bidi="ar"/>
              </w:rPr>
            </w:pPr>
            <w:r>
              <w:rPr>
                <w:rFonts w:hint="default" w:ascii="方正仿宋_GBK" w:hAnsi="方正仿宋_GBK" w:eastAsia="方正仿宋_GBK" w:cs="方正仿宋_GBK"/>
                <w:color w:val="000000"/>
                <w:kern w:val="0"/>
                <w:sz w:val="18"/>
                <w:szCs w:val="18"/>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43BFD8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E03595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3446F0A5">
        <w:tblPrEx>
          <w:tblCellMar>
            <w:top w:w="0" w:type="dxa"/>
            <w:left w:w="108" w:type="dxa"/>
            <w:bottom w:w="0" w:type="dxa"/>
            <w:right w:w="108" w:type="dxa"/>
          </w:tblCellMar>
        </w:tblPrEx>
        <w:trPr>
          <w:trHeight w:val="320"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55FD9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宋体" w:cs="Times New Roman"/>
                <w:b/>
                <w:color w:val="000000"/>
                <w:kern w:val="0"/>
                <w:sz w:val="24"/>
                <w:szCs w:val="24"/>
                <w:u w:val="none"/>
                <w:lang w:val="en-US" w:eastAsia="zh-CN" w:bidi="ar"/>
              </w:rPr>
              <w:t>个性指标</w:t>
            </w:r>
            <w:r>
              <w:rPr>
                <w:rFonts w:hint="default" w:ascii="Times New Roman" w:hAnsi="Times New Roman" w:eastAsia="宋体"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4309F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sz w:val="24"/>
                <w:szCs w:val="24"/>
                <w:u w:val="none"/>
                <w:lang w:bidi="ar-SA"/>
              </w:rPr>
              <w:t>护理型床位占比</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BC988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5</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14:paraId="40B0F8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方正仿宋_GBK" w:hAnsi="方正仿宋_GBK" w:eastAsia="方正仿宋_GBK" w:cs="方正仿宋_GBK"/>
                <w:color w:val="000000"/>
                <w:kern w:val="0"/>
                <w:sz w:val="18"/>
                <w:szCs w:val="18"/>
                <w:u w:val="none"/>
                <w:lang w:val="en-US" w:eastAsia="zh-CN" w:bidi="ar"/>
              </w:rPr>
            </w:pPr>
            <w:r>
              <w:rPr>
                <w:rFonts w:hint="default" w:ascii="方正仿宋_GBK" w:hAnsi="方正仿宋_GBK" w:eastAsia="方正仿宋_GBK" w:cs="方正仿宋_GBK"/>
                <w:color w:val="000000"/>
                <w:kern w:val="0"/>
                <w:sz w:val="18"/>
                <w:szCs w:val="18"/>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7B58E6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C3AD8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0D2DBE5E">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F04E71B">
            <w:pPr>
              <w:rPr>
                <w:rFonts w:hint="default" w:ascii="Times New Roman" w:hAnsi="Times New Roman" w:cs="Times New Roman"/>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AD698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sz w:val="24"/>
                <w:szCs w:val="24"/>
                <w:u w:val="none"/>
                <w:lang w:bidi="ar-SA"/>
              </w:rPr>
              <w:t>服务设施配套性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EACA8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5</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9577D6">
            <w:pPr>
              <w:rPr>
                <w:rFonts w:hint="default" w:ascii="Times New Roman" w:hAnsi="Times New Roman" w:cs="Times New Roman"/>
                <w:sz w:val="18"/>
                <w:szCs w:val="18"/>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132B498">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sz w:val="24"/>
                <w:szCs w:val="24"/>
                <w:u w:val="none"/>
                <w:lang w:bidi="ar-SA"/>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C878C1D">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color w:val="000000"/>
                <w:sz w:val="24"/>
                <w:szCs w:val="24"/>
                <w:u w:val="none"/>
                <w:lang w:bidi="ar-SA"/>
              </w:rPr>
            </w:pPr>
          </w:p>
        </w:tc>
      </w:tr>
      <w:tr w14:paraId="43081D17">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F1C15EB">
            <w:pPr>
              <w:rPr>
                <w:rFonts w:hint="default" w:ascii="Times New Roman" w:hAnsi="Times New Roman" w:cs="Times New Roman"/>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F8BBB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sz w:val="24"/>
                <w:szCs w:val="24"/>
                <w:u w:val="none"/>
                <w:lang w:bidi="ar-SA"/>
              </w:rPr>
              <w:t>资金配套合规性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6008B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6</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B52965">
            <w:pPr>
              <w:rPr>
                <w:rFonts w:hint="default" w:ascii="Times New Roman" w:hAnsi="Times New Roman" w:cs="Times New Roman"/>
                <w:sz w:val="18"/>
                <w:szCs w:val="18"/>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2B15D2C">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sz w:val="24"/>
                <w:szCs w:val="24"/>
                <w:u w:val="none"/>
                <w:lang w:bidi="ar-SA"/>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F202CB1">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color w:val="000000"/>
                <w:sz w:val="24"/>
                <w:szCs w:val="24"/>
                <w:u w:val="none"/>
                <w:lang w:bidi="ar-SA"/>
              </w:rPr>
            </w:pPr>
          </w:p>
        </w:tc>
      </w:tr>
      <w:tr w14:paraId="4281E7E6">
        <w:tblPrEx>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14:paraId="085EDD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宋体" w:cs="Times New Roman"/>
                <w:b/>
                <w:color w:val="000000"/>
                <w:kern w:val="0"/>
                <w:sz w:val="24"/>
                <w:szCs w:val="24"/>
                <w:u w:val="none"/>
                <w:lang w:val="en-US" w:eastAsia="zh-CN" w:bidi="ar"/>
              </w:rPr>
              <w:t>扣分项</w:t>
            </w:r>
            <w:r>
              <w:rPr>
                <w:rFonts w:hint="default" w:ascii="Times New Roman" w:hAnsi="Times New Roman" w:eastAsia="宋体"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5BD04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被评价</w:t>
            </w:r>
            <w:r>
              <w:rPr>
                <w:rFonts w:hint="default" w:ascii="Times New Roman" w:hAnsi="Times New Roman" w:eastAsia="宋体" w:cs="Times New Roman"/>
                <w:color w:val="000000"/>
                <w:kern w:val="0"/>
                <w:sz w:val="24"/>
                <w:szCs w:val="24"/>
                <w:u w:val="none"/>
                <w:lang w:val="en-US" w:eastAsia="zh-CN" w:bidi="ar"/>
              </w:rPr>
              <w:br w:type="textWrapping"/>
            </w:r>
            <w:r>
              <w:rPr>
                <w:rFonts w:hint="default" w:ascii="Times New Roman" w:hAnsi="Times New Roman" w:eastAsia="宋体" w:cs="Times New Roman"/>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B8787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D040C6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sz w:val="18"/>
                <w:szCs w:val="18"/>
                <w:u w:val="none"/>
                <w:lang w:bidi="ar-SA"/>
              </w:rPr>
            </w:pPr>
            <w:r>
              <w:rPr>
                <w:rFonts w:hint="default" w:ascii="方正仿宋_GBK" w:hAnsi="方正仿宋_GBK" w:eastAsia="方正仿宋_GBK" w:cs="方正仿宋_GBK"/>
                <w:color w:val="000000"/>
                <w:kern w:val="0"/>
                <w:sz w:val="18"/>
                <w:szCs w:val="18"/>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78C91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7A99C0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bl>
    <w:p w14:paraId="68DADDC4">
      <w:pPr>
        <w:keepNext w:val="0"/>
        <w:keepLines w:val="0"/>
        <w:pageBreakBefore w:val="0"/>
        <w:widowControl w:val="0"/>
        <w:kinsoku/>
        <w:wordWrap/>
        <w:overflowPunct/>
        <w:topLinePunct w:val="0"/>
        <w:autoSpaceDE/>
        <w:autoSpaceDN/>
        <w:bidi w:val="0"/>
        <w:spacing w:line="578" w:lineRule="exact"/>
        <w:ind w:left="0"/>
        <w:jc w:val="both"/>
        <w:textAlignment w:val="auto"/>
        <w:rPr>
          <w:rFonts w:hint="default" w:ascii="Times New Roman" w:hAnsi="Times New Roman" w:cs="Times New Roman"/>
          <w:lang w:val="en-US" w:eastAsia="zh-CN"/>
        </w:rPr>
      </w:pPr>
      <w:r>
        <w:rPr>
          <w:rFonts w:hint="default" w:ascii="Times New Roman" w:hAnsi="Times New Roman" w:eastAsia="黑体" w:cs="Times New Roman"/>
          <w:color w:val="auto"/>
          <w:kern w:val="0"/>
          <w:sz w:val="32"/>
          <w:szCs w:val="32"/>
          <w:highlight w:val="none"/>
          <w:u w:val="none"/>
          <w:shd w:val="clear" w:color="auto" w:fill="FFFFFF"/>
          <w:lang w:val="zh-CN" w:eastAsia="zh-CN" w:bidi="ar-SA"/>
        </w:rPr>
        <w:br w:type="page"/>
      </w:r>
      <w:r>
        <w:rPr>
          <w:rFonts w:hint="default" w:ascii="Times New Roman" w:hAnsi="Times New Roman" w:eastAsia="黑体" w:cs="Times New Roman"/>
          <w:color w:val="auto"/>
          <w:kern w:val="0"/>
          <w:sz w:val="32"/>
          <w:szCs w:val="32"/>
          <w:highlight w:val="none"/>
          <w:u w:val="none"/>
          <w:shd w:val="clear" w:color="auto" w:fill="FFFFFF"/>
          <w:lang w:val="zh-CN" w:eastAsia="zh-CN" w:bidi="ar-SA"/>
        </w:rPr>
        <w:t>附表</w:t>
      </w:r>
      <w:r>
        <w:rPr>
          <w:rFonts w:hint="default" w:ascii="Times New Roman" w:hAnsi="Times New Roman" w:cs="Times New Roman"/>
          <w:color w:val="auto"/>
          <w:kern w:val="0"/>
          <w:sz w:val="32"/>
          <w:szCs w:val="32"/>
          <w:highlight w:val="none"/>
          <w:u w:val="none"/>
          <w:shd w:val="clear" w:color="auto" w:fill="FFFFFF"/>
          <w:lang w:val="en-US" w:eastAsia="zh-CN" w:bidi="ar-SA"/>
        </w:rPr>
        <w:t>2</w:t>
      </w:r>
    </w:p>
    <w:p w14:paraId="4039066E">
      <w:pPr>
        <w:keepNext w:val="0"/>
        <w:keepLines w:val="0"/>
        <w:pageBreakBefore w:val="0"/>
        <w:widowControl w:val="0"/>
        <w:kinsoku/>
        <w:wordWrap/>
        <w:overflowPunct/>
        <w:topLinePunct w:val="0"/>
        <w:autoSpaceDE/>
        <w:autoSpaceDN/>
        <w:bidi w:val="0"/>
        <w:spacing w:line="578" w:lineRule="exact"/>
        <w:ind w:left="0"/>
        <w:jc w:val="center"/>
        <w:textAlignment w:val="auto"/>
        <w:rPr>
          <w:rFonts w:hint="default" w:ascii="Times New Roman" w:hAnsi="Times New Roman" w:eastAsia="方正小标宋_GBK" w:cs="Times New Roman"/>
          <w:color w:val="auto"/>
          <w:sz w:val="40"/>
          <w:szCs w:val="40"/>
          <w:highlight w:val="none"/>
          <w:u w:val="none"/>
          <w:lang w:val="en-US" w:eastAsia="zh-CN" w:bidi="ar-SA"/>
        </w:rPr>
      </w:pPr>
      <w:r>
        <w:rPr>
          <w:rFonts w:hint="default" w:ascii="Times New Roman" w:hAnsi="Times New Roman" w:eastAsia="方正小标宋_GBK" w:cs="Times New Roman"/>
          <w:color w:val="auto"/>
          <w:sz w:val="40"/>
          <w:szCs w:val="40"/>
          <w:highlight w:val="none"/>
          <w:u w:val="none"/>
          <w:lang w:val="en-US" w:eastAsia="zh-CN" w:bidi="ar-SA"/>
        </w:rPr>
        <w:t>专项预算绩效自评实地踏勘点位清单表</w:t>
      </w:r>
    </w:p>
    <w:tbl>
      <w:tblPr>
        <w:tblStyle w:val="17"/>
        <w:tblW w:w="8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8"/>
        <w:gridCol w:w="5784"/>
        <w:gridCol w:w="1107"/>
      </w:tblGrid>
      <w:tr w14:paraId="5C44F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exact"/>
          <w:jc w:val="center"/>
        </w:trPr>
        <w:tc>
          <w:tcPr>
            <w:tcW w:w="1128" w:type="dxa"/>
            <w:noWrap w:val="0"/>
            <w:vAlign w:val="top"/>
          </w:tcPr>
          <w:p w14:paraId="12A0D73F">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hint="default" w:ascii="Times New Roman" w:hAnsi="Times New Roman" w:eastAsia="黑体" w:cs="Times New Roman"/>
                <w:color w:val="auto"/>
                <w:sz w:val="24"/>
                <w:szCs w:val="24"/>
                <w:highlight w:val="none"/>
                <w:u w:val="none"/>
                <w:vertAlign w:val="baseline"/>
                <w:lang w:val="en-US" w:eastAsia="zh-CN" w:bidi="ar-SA"/>
              </w:rPr>
            </w:pPr>
            <w:r>
              <w:rPr>
                <w:rFonts w:hint="default" w:ascii="Times New Roman" w:hAnsi="Times New Roman" w:eastAsia="黑体" w:cs="Times New Roman"/>
                <w:color w:val="auto"/>
                <w:sz w:val="24"/>
                <w:szCs w:val="24"/>
                <w:highlight w:val="none"/>
                <w:u w:val="none"/>
                <w:vertAlign w:val="baseline"/>
                <w:lang w:val="en-US" w:eastAsia="zh-CN" w:bidi="ar-SA"/>
              </w:rPr>
              <w:t>序号</w:t>
            </w:r>
          </w:p>
        </w:tc>
        <w:tc>
          <w:tcPr>
            <w:tcW w:w="5784" w:type="dxa"/>
            <w:noWrap w:val="0"/>
            <w:vAlign w:val="top"/>
          </w:tcPr>
          <w:p w14:paraId="087CFE73">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hint="default" w:ascii="Times New Roman" w:hAnsi="Times New Roman" w:eastAsia="黑体" w:cs="Times New Roman"/>
                <w:color w:val="auto"/>
                <w:sz w:val="24"/>
                <w:szCs w:val="24"/>
                <w:highlight w:val="none"/>
                <w:u w:val="none"/>
                <w:vertAlign w:val="baseline"/>
                <w:lang w:val="en" w:eastAsia="zh-CN" w:bidi="ar-SA"/>
              </w:rPr>
            </w:pPr>
            <w:r>
              <w:rPr>
                <w:rFonts w:hint="default" w:ascii="Times New Roman" w:hAnsi="Times New Roman" w:eastAsia="黑体" w:cs="Times New Roman"/>
                <w:color w:val="auto"/>
                <w:sz w:val="24"/>
                <w:szCs w:val="24"/>
                <w:highlight w:val="none"/>
                <w:u w:val="none"/>
                <w:vertAlign w:val="baseline"/>
                <w:lang w:val="en-US" w:eastAsia="zh-CN" w:bidi="ar-SA"/>
              </w:rPr>
              <w:t>实地踏勘点位</w:t>
            </w:r>
          </w:p>
        </w:tc>
        <w:tc>
          <w:tcPr>
            <w:tcW w:w="1107" w:type="dxa"/>
            <w:noWrap w:val="0"/>
            <w:vAlign w:val="top"/>
          </w:tcPr>
          <w:p w14:paraId="0AFE6025">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hint="default" w:ascii="Times New Roman" w:hAnsi="Times New Roman" w:eastAsia="黑体" w:cs="Times New Roman"/>
                <w:color w:val="auto"/>
                <w:sz w:val="24"/>
                <w:szCs w:val="24"/>
                <w:highlight w:val="none"/>
                <w:u w:val="none"/>
                <w:vertAlign w:val="baseline"/>
                <w:lang w:val="en-US" w:eastAsia="zh-CN" w:bidi="ar-SA"/>
              </w:rPr>
            </w:pPr>
            <w:r>
              <w:rPr>
                <w:rFonts w:hint="default" w:ascii="Times New Roman" w:hAnsi="Times New Roman" w:eastAsia="黑体" w:cs="Times New Roman"/>
                <w:color w:val="auto"/>
                <w:sz w:val="24"/>
                <w:szCs w:val="24"/>
                <w:highlight w:val="none"/>
                <w:u w:val="none"/>
                <w:vertAlign w:val="baseline"/>
                <w:lang w:val="en-US" w:eastAsia="zh-CN" w:bidi="ar-SA"/>
              </w:rPr>
              <w:t>备注</w:t>
            </w:r>
          </w:p>
        </w:tc>
      </w:tr>
      <w:tr w14:paraId="50167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exact"/>
          <w:jc w:val="center"/>
        </w:trPr>
        <w:tc>
          <w:tcPr>
            <w:tcW w:w="1128" w:type="dxa"/>
            <w:noWrap w:val="0"/>
            <w:vAlign w:val="top"/>
          </w:tcPr>
          <w:p w14:paraId="4D9DD062">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hint="default" w:ascii="Times New Roman" w:hAnsi="Times New Roman" w:eastAsia="宋体" w:cs="Times New Roman"/>
                <w:color w:val="auto"/>
                <w:kern w:val="2"/>
                <w:sz w:val="24"/>
                <w:szCs w:val="24"/>
                <w:highlight w:val="none"/>
                <w:u w:val="none"/>
                <w:lang w:val="en-US" w:eastAsia="zh-CN" w:bidi="ar-SA"/>
              </w:rPr>
            </w:pPr>
            <w:r>
              <w:rPr>
                <w:rFonts w:hint="default" w:ascii="Times New Roman" w:hAnsi="Times New Roman" w:eastAsia="宋体" w:cs="Times New Roman"/>
                <w:color w:val="auto"/>
                <w:sz w:val="24"/>
                <w:szCs w:val="24"/>
                <w:highlight w:val="none"/>
                <w:u w:val="none"/>
                <w:lang w:val="en-US" w:eastAsia="zh-CN" w:bidi="ar-SA"/>
              </w:rPr>
              <w:t>1</w:t>
            </w:r>
          </w:p>
        </w:tc>
        <w:tc>
          <w:tcPr>
            <w:tcW w:w="5784" w:type="dxa"/>
            <w:noWrap w:val="0"/>
            <w:vAlign w:val="center"/>
          </w:tcPr>
          <w:p w14:paraId="44E6B42C">
            <w:pPr>
              <w:keepNext w:val="0"/>
              <w:keepLines w:val="0"/>
              <w:pageBreakBefore w:val="0"/>
              <w:widowControl w:val="0"/>
              <w:kinsoku/>
              <w:wordWrap/>
              <w:overflowPunct/>
              <w:topLinePunct w:val="0"/>
              <w:autoSpaceDE/>
              <w:autoSpaceDN/>
              <w:bidi w:val="0"/>
              <w:adjustRightInd/>
              <w:snapToGrid/>
              <w:spacing w:line="300" w:lineRule="exact"/>
              <w:ind w:left="0" w:leftChars="0"/>
              <w:jc w:val="left"/>
              <w:textAlignment w:val="auto"/>
              <w:outlineLvl w:val="9"/>
              <w:rPr>
                <w:rFonts w:hint="default" w:ascii="Times New Roman" w:hAnsi="Times New Roman" w:eastAsia="仿宋_GB2312" w:cs="Times New Roman"/>
                <w:kern w:val="2"/>
                <w:sz w:val="32"/>
                <w:szCs w:val="32"/>
                <w:lang w:val="en" w:eastAsia="zh-CN" w:bidi="ar-SA"/>
              </w:rPr>
            </w:pPr>
            <w:r>
              <w:rPr>
                <w:rFonts w:hint="default" w:ascii="Times New Roman" w:hAnsi="Times New Roman" w:eastAsia="方正仿宋_GBK" w:cs="Times New Roman"/>
                <w:color w:val="auto"/>
                <w:sz w:val="18"/>
                <w:szCs w:val="18"/>
                <w:highlight w:val="none"/>
                <w:u w:val="none"/>
                <w:vertAlign w:val="baseline"/>
                <w:lang w:val="en" w:eastAsia="zh-CN" w:bidi="ar-SA"/>
              </w:rPr>
              <w:t xml:space="preserve">东区瓜子坪综合为老服务中心（失能老年人家庭照护服务项目） </w:t>
            </w:r>
          </w:p>
        </w:tc>
        <w:tc>
          <w:tcPr>
            <w:tcW w:w="1107" w:type="dxa"/>
            <w:noWrap w:val="0"/>
            <w:vAlign w:val="top"/>
          </w:tcPr>
          <w:p w14:paraId="05869AC0">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hint="default" w:ascii="Times New Roman" w:hAnsi="Times New Roman" w:eastAsia="方正仿宋_GBK" w:cs="Times New Roman"/>
                <w:color w:val="auto"/>
                <w:sz w:val="18"/>
                <w:szCs w:val="18"/>
                <w:highlight w:val="none"/>
                <w:u w:val="none"/>
                <w:vertAlign w:val="baseline"/>
                <w:lang w:val="en-US" w:eastAsia="zh-CN" w:bidi="ar-SA"/>
              </w:rPr>
            </w:pPr>
          </w:p>
        </w:tc>
      </w:tr>
      <w:tr w14:paraId="0C8AA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exact"/>
          <w:jc w:val="center"/>
        </w:trPr>
        <w:tc>
          <w:tcPr>
            <w:tcW w:w="1128" w:type="dxa"/>
            <w:noWrap w:val="0"/>
            <w:vAlign w:val="top"/>
          </w:tcPr>
          <w:p w14:paraId="377A7D84">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hint="default" w:ascii="Times New Roman" w:hAnsi="Times New Roman" w:eastAsia="宋体" w:cs="Times New Roman"/>
                <w:color w:val="auto"/>
                <w:kern w:val="2"/>
                <w:sz w:val="24"/>
                <w:szCs w:val="24"/>
                <w:highlight w:val="none"/>
                <w:u w:val="none"/>
                <w:lang w:val="en-US" w:eastAsia="zh-CN" w:bidi="ar-SA"/>
              </w:rPr>
            </w:pPr>
            <w:r>
              <w:rPr>
                <w:rFonts w:hint="default" w:ascii="Times New Roman" w:hAnsi="Times New Roman" w:eastAsia="宋体" w:cs="Times New Roman"/>
                <w:color w:val="auto"/>
                <w:sz w:val="24"/>
                <w:szCs w:val="24"/>
                <w:highlight w:val="none"/>
                <w:u w:val="none"/>
                <w:lang w:val="en-US" w:eastAsia="zh-CN" w:bidi="ar-SA"/>
              </w:rPr>
              <w:t>2</w:t>
            </w:r>
          </w:p>
        </w:tc>
        <w:tc>
          <w:tcPr>
            <w:tcW w:w="5784" w:type="dxa"/>
            <w:noWrap w:val="0"/>
            <w:vAlign w:val="center"/>
          </w:tcPr>
          <w:p w14:paraId="1039FD19">
            <w:pPr>
              <w:keepNext w:val="0"/>
              <w:keepLines w:val="0"/>
              <w:pageBreakBefore w:val="0"/>
              <w:widowControl w:val="0"/>
              <w:kinsoku/>
              <w:wordWrap/>
              <w:overflowPunct/>
              <w:topLinePunct w:val="0"/>
              <w:autoSpaceDE/>
              <w:autoSpaceDN/>
              <w:bidi w:val="0"/>
              <w:adjustRightInd/>
              <w:snapToGrid/>
              <w:spacing w:line="300" w:lineRule="exact"/>
              <w:ind w:left="0" w:leftChars="0"/>
              <w:jc w:val="left"/>
              <w:textAlignment w:val="auto"/>
              <w:outlineLvl w:val="9"/>
              <w:rPr>
                <w:rFonts w:hint="default" w:ascii="Times New Roman" w:hAnsi="Times New Roman" w:eastAsia="仿宋_GB2312" w:cs="Times New Roman"/>
                <w:kern w:val="2"/>
                <w:sz w:val="32"/>
                <w:szCs w:val="32"/>
                <w:lang w:val="en" w:eastAsia="zh-CN" w:bidi="ar-SA"/>
              </w:rPr>
            </w:pPr>
            <w:r>
              <w:rPr>
                <w:rFonts w:hint="default" w:ascii="Times New Roman" w:hAnsi="Times New Roman" w:eastAsia="方正仿宋_GBK" w:cs="Times New Roman"/>
                <w:sz w:val="18"/>
                <w:szCs w:val="18"/>
                <w:highlight w:val="none"/>
                <w:lang w:val="en" w:eastAsia="zh-CN"/>
              </w:rPr>
              <w:t>西区民政局（老年人能力评估项目）</w:t>
            </w:r>
          </w:p>
        </w:tc>
        <w:tc>
          <w:tcPr>
            <w:tcW w:w="1107" w:type="dxa"/>
            <w:noWrap w:val="0"/>
            <w:vAlign w:val="top"/>
          </w:tcPr>
          <w:p w14:paraId="2E6EC036">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hint="default" w:ascii="Times New Roman" w:hAnsi="Times New Roman" w:eastAsia="方正仿宋_GBK" w:cs="Times New Roman"/>
                <w:color w:val="auto"/>
                <w:sz w:val="18"/>
                <w:szCs w:val="18"/>
                <w:highlight w:val="none"/>
                <w:u w:val="none"/>
                <w:vertAlign w:val="baseline"/>
                <w:lang w:val="en-US" w:eastAsia="zh-CN" w:bidi="ar-SA"/>
              </w:rPr>
            </w:pPr>
          </w:p>
        </w:tc>
      </w:tr>
      <w:tr w14:paraId="1F2F2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jc w:val="center"/>
        </w:trPr>
        <w:tc>
          <w:tcPr>
            <w:tcW w:w="1128" w:type="dxa"/>
            <w:noWrap w:val="0"/>
            <w:vAlign w:val="top"/>
          </w:tcPr>
          <w:p w14:paraId="54FD22CC">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hint="default" w:ascii="Times New Roman" w:hAnsi="Times New Roman" w:eastAsia="宋体" w:cs="Times New Roman"/>
                <w:color w:val="auto"/>
                <w:kern w:val="2"/>
                <w:sz w:val="24"/>
                <w:szCs w:val="24"/>
                <w:highlight w:val="none"/>
                <w:u w:val="none"/>
                <w:lang w:val="en-US" w:eastAsia="zh-CN" w:bidi="ar-SA"/>
              </w:rPr>
            </w:pPr>
            <w:r>
              <w:rPr>
                <w:rFonts w:hint="default" w:ascii="Times New Roman" w:hAnsi="Times New Roman" w:eastAsia="宋体" w:cs="Times New Roman"/>
                <w:color w:val="auto"/>
                <w:sz w:val="24"/>
                <w:szCs w:val="24"/>
                <w:highlight w:val="none"/>
                <w:u w:val="none"/>
                <w:lang w:val="en-US" w:eastAsia="zh-CN" w:bidi="ar-SA"/>
              </w:rPr>
              <w:t>3</w:t>
            </w:r>
          </w:p>
        </w:tc>
        <w:tc>
          <w:tcPr>
            <w:tcW w:w="5784" w:type="dxa"/>
            <w:noWrap w:val="0"/>
            <w:vAlign w:val="center"/>
          </w:tcPr>
          <w:p w14:paraId="4066C87F">
            <w:pPr>
              <w:keepNext w:val="0"/>
              <w:keepLines w:val="0"/>
              <w:pageBreakBefore w:val="0"/>
              <w:widowControl w:val="0"/>
              <w:kinsoku/>
              <w:wordWrap/>
              <w:overflowPunct/>
              <w:topLinePunct w:val="0"/>
              <w:autoSpaceDE/>
              <w:autoSpaceDN/>
              <w:bidi w:val="0"/>
              <w:adjustRightInd/>
              <w:snapToGrid/>
              <w:spacing w:line="300" w:lineRule="exact"/>
              <w:ind w:left="0" w:leftChars="0"/>
              <w:jc w:val="left"/>
              <w:textAlignment w:val="auto"/>
              <w:outlineLvl w:val="9"/>
              <w:rPr>
                <w:rFonts w:hint="default" w:ascii="Times New Roman" w:hAnsi="Times New Roman" w:eastAsia="方正仿宋_GBK" w:cs="Times New Roman"/>
                <w:color w:val="auto"/>
                <w:kern w:val="2"/>
                <w:sz w:val="18"/>
                <w:szCs w:val="18"/>
                <w:highlight w:val="none"/>
                <w:u w:val="none"/>
                <w:vertAlign w:val="baseline"/>
                <w:lang w:val="en" w:eastAsia="zh-CN" w:bidi="ar-SA"/>
              </w:rPr>
            </w:pPr>
            <w:r>
              <w:rPr>
                <w:rFonts w:hint="default" w:ascii="Times New Roman" w:hAnsi="Times New Roman" w:eastAsia="方正仿宋_GBK" w:cs="Times New Roman"/>
                <w:sz w:val="18"/>
                <w:szCs w:val="18"/>
                <w:highlight w:val="none"/>
                <w:lang w:val="en" w:eastAsia="zh-CN"/>
              </w:rPr>
              <w:t>西区</w:t>
            </w:r>
            <w:r>
              <w:rPr>
                <w:rFonts w:hint="default" w:ascii="Times New Roman" w:hAnsi="Times New Roman" w:eastAsia="方正仿宋_GBK" w:cs="Times New Roman"/>
                <w:color w:val="auto"/>
                <w:kern w:val="2"/>
                <w:sz w:val="18"/>
                <w:szCs w:val="18"/>
                <w:highlight w:val="none"/>
                <w:u w:val="none"/>
                <w:vertAlign w:val="baseline"/>
                <w:lang w:val="en-US" w:eastAsia="zh-CN" w:bidi="ar-SA"/>
              </w:rPr>
              <w:t>玉泉街道综合为老服务中心</w:t>
            </w:r>
            <w:r>
              <w:rPr>
                <w:rFonts w:hint="default" w:ascii="Times New Roman" w:hAnsi="Times New Roman" w:eastAsia="方正仿宋_GBK" w:cs="Times New Roman"/>
                <w:sz w:val="18"/>
                <w:szCs w:val="18"/>
                <w:highlight w:val="none"/>
                <w:lang w:val="en" w:eastAsia="zh-CN"/>
              </w:rPr>
              <w:t>（示范性老年助餐网络项目）</w:t>
            </w:r>
          </w:p>
        </w:tc>
        <w:tc>
          <w:tcPr>
            <w:tcW w:w="1107" w:type="dxa"/>
            <w:vMerge w:val="restart"/>
            <w:noWrap w:val="0"/>
            <w:vAlign w:val="top"/>
          </w:tcPr>
          <w:p w14:paraId="0D6AACC0">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hint="default" w:ascii="Times New Roman" w:hAnsi="Times New Roman" w:eastAsia="方正仿宋_GBK" w:cs="Times New Roman"/>
                <w:color w:val="auto"/>
                <w:sz w:val="18"/>
                <w:szCs w:val="18"/>
                <w:highlight w:val="none"/>
                <w:u w:val="none"/>
                <w:vertAlign w:val="baseline"/>
                <w:lang w:val="en-US" w:eastAsia="zh-CN" w:bidi="ar-SA"/>
              </w:rPr>
            </w:pPr>
          </w:p>
        </w:tc>
      </w:tr>
      <w:tr w14:paraId="481E3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exact"/>
          <w:jc w:val="center"/>
        </w:trPr>
        <w:tc>
          <w:tcPr>
            <w:tcW w:w="1128" w:type="dxa"/>
            <w:noWrap w:val="0"/>
            <w:vAlign w:val="top"/>
          </w:tcPr>
          <w:p w14:paraId="07EB1A02">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hint="default" w:ascii="Times New Roman" w:hAnsi="Times New Roman" w:eastAsia="宋体" w:cs="Times New Roman"/>
                <w:color w:val="auto"/>
                <w:sz w:val="24"/>
                <w:szCs w:val="24"/>
                <w:highlight w:val="none"/>
                <w:u w:val="none"/>
                <w:lang w:val="en-US" w:eastAsia="zh-CN" w:bidi="ar-SA"/>
              </w:rPr>
            </w:pPr>
            <w:r>
              <w:rPr>
                <w:rFonts w:hint="default" w:ascii="Times New Roman" w:hAnsi="Times New Roman" w:eastAsia="宋体" w:cs="Times New Roman"/>
                <w:color w:val="auto"/>
                <w:sz w:val="24"/>
                <w:szCs w:val="24"/>
                <w:highlight w:val="none"/>
                <w:u w:val="none"/>
                <w:lang w:val="en-US" w:eastAsia="zh-CN" w:bidi="ar-SA"/>
              </w:rPr>
              <w:t>4</w:t>
            </w:r>
          </w:p>
        </w:tc>
        <w:tc>
          <w:tcPr>
            <w:tcW w:w="5784" w:type="dxa"/>
            <w:noWrap w:val="0"/>
            <w:vAlign w:val="center"/>
          </w:tcPr>
          <w:p w14:paraId="1E309729">
            <w:pPr>
              <w:keepNext w:val="0"/>
              <w:keepLines w:val="0"/>
              <w:pageBreakBefore w:val="0"/>
              <w:widowControl w:val="0"/>
              <w:kinsoku/>
              <w:wordWrap/>
              <w:overflowPunct/>
              <w:topLinePunct w:val="0"/>
              <w:autoSpaceDE/>
              <w:autoSpaceDN/>
              <w:bidi w:val="0"/>
              <w:adjustRightInd/>
              <w:snapToGrid/>
              <w:spacing w:line="300" w:lineRule="exact"/>
              <w:ind w:left="0" w:leftChars="0"/>
              <w:jc w:val="left"/>
              <w:textAlignment w:val="auto"/>
              <w:outlineLvl w:val="9"/>
              <w:rPr>
                <w:rFonts w:hint="default" w:ascii="Times New Roman" w:hAnsi="Times New Roman" w:eastAsia="方正仿宋_GBK" w:cs="Times New Roman"/>
                <w:sz w:val="18"/>
                <w:szCs w:val="18"/>
                <w:highlight w:val="none"/>
                <w:lang w:val="en" w:eastAsia="zh-CN"/>
              </w:rPr>
            </w:pPr>
            <w:r>
              <w:rPr>
                <w:rFonts w:hint="default" w:ascii="Times New Roman" w:hAnsi="Times New Roman" w:eastAsia="方正仿宋_GBK" w:cs="Times New Roman"/>
                <w:sz w:val="18"/>
                <w:szCs w:val="18"/>
                <w:highlight w:val="none"/>
                <w:lang w:val="en" w:eastAsia="zh-CN"/>
              </w:rPr>
              <w:t>西区</w:t>
            </w:r>
            <w:r>
              <w:rPr>
                <w:rFonts w:hint="default" w:ascii="Times New Roman" w:hAnsi="Times New Roman" w:eastAsia="方正仿宋_GBK" w:cs="Times New Roman"/>
                <w:color w:val="auto"/>
                <w:kern w:val="2"/>
                <w:sz w:val="18"/>
                <w:szCs w:val="18"/>
                <w:highlight w:val="none"/>
                <w:u w:val="none"/>
                <w:vertAlign w:val="baseline"/>
                <w:lang w:val="en-US" w:eastAsia="zh-CN" w:bidi="ar-SA"/>
              </w:rPr>
              <w:t>玉泉街道综合为老服务中心</w:t>
            </w:r>
            <w:r>
              <w:rPr>
                <w:rFonts w:hint="default" w:ascii="Times New Roman" w:hAnsi="Times New Roman" w:eastAsia="方正仿宋_GBK" w:cs="Times New Roman"/>
                <w:sz w:val="18"/>
                <w:szCs w:val="18"/>
                <w:highlight w:val="none"/>
                <w:lang w:val="en" w:eastAsia="zh-CN"/>
              </w:rPr>
              <w:t>（失能老年人家庭照护服务项目）</w:t>
            </w:r>
          </w:p>
        </w:tc>
        <w:tc>
          <w:tcPr>
            <w:tcW w:w="1107" w:type="dxa"/>
            <w:vMerge w:val="continue"/>
            <w:noWrap w:val="0"/>
            <w:vAlign w:val="top"/>
          </w:tcPr>
          <w:p w14:paraId="4CB39C75">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hint="default" w:ascii="Times New Roman" w:hAnsi="Times New Roman" w:eastAsia="方正仿宋_GBK" w:cs="Times New Roman"/>
                <w:color w:val="auto"/>
                <w:sz w:val="18"/>
                <w:szCs w:val="18"/>
                <w:highlight w:val="none"/>
                <w:u w:val="none"/>
                <w:vertAlign w:val="baseline"/>
                <w:lang w:val="en-US" w:eastAsia="zh-CN" w:bidi="ar-SA"/>
              </w:rPr>
            </w:pPr>
          </w:p>
        </w:tc>
      </w:tr>
      <w:tr w14:paraId="1FA2F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exact"/>
          <w:jc w:val="center"/>
        </w:trPr>
        <w:tc>
          <w:tcPr>
            <w:tcW w:w="1128" w:type="dxa"/>
            <w:noWrap w:val="0"/>
            <w:vAlign w:val="top"/>
          </w:tcPr>
          <w:p w14:paraId="41C4076D">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hint="default" w:ascii="Times New Roman" w:hAnsi="Times New Roman" w:eastAsia="宋体" w:cs="Times New Roman"/>
                <w:color w:val="auto"/>
                <w:kern w:val="2"/>
                <w:sz w:val="24"/>
                <w:szCs w:val="24"/>
                <w:highlight w:val="none"/>
                <w:u w:val="none"/>
                <w:lang w:val="en-US" w:eastAsia="zh-CN" w:bidi="ar-SA"/>
              </w:rPr>
            </w:pPr>
            <w:r>
              <w:rPr>
                <w:rFonts w:hint="default" w:ascii="Times New Roman" w:hAnsi="Times New Roman" w:eastAsia="宋体" w:cs="Times New Roman"/>
                <w:color w:val="auto"/>
                <w:sz w:val="24"/>
                <w:szCs w:val="24"/>
                <w:highlight w:val="none"/>
                <w:u w:val="none"/>
                <w:lang w:val="en-US" w:eastAsia="zh-CN" w:bidi="ar-SA"/>
              </w:rPr>
              <w:t>5</w:t>
            </w:r>
          </w:p>
        </w:tc>
        <w:tc>
          <w:tcPr>
            <w:tcW w:w="5784" w:type="dxa"/>
            <w:noWrap w:val="0"/>
            <w:vAlign w:val="center"/>
          </w:tcPr>
          <w:p w14:paraId="5788C744">
            <w:pPr>
              <w:keepNext w:val="0"/>
              <w:keepLines w:val="0"/>
              <w:pageBreakBefore w:val="0"/>
              <w:widowControl w:val="0"/>
              <w:kinsoku/>
              <w:wordWrap/>
              <w:overflowPunct/>
              <w:topLinePunct w:val="0"/>
              <w:autoSpaceDE/>
              <w:autoSpaceDN/>
              <w:bidi w:val="0"/>
              <w:adjustRightInd/>
              <w:snapToGrid/>
              <w:spacing w:line="300" w:lineRule="exact"/>
              <w:ind w:left="0" w:leftChars="0"/>
              <w:jc w:val="left"/>
              <w:textAlignment w:val="auto"/>
              <w:outlineLvl w:val="9"/>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方正仿宋_GBK" w:cs="Times New Roman"/>
                <w:color w:val="auto"/>
                <w:kern w:val="2"/>
                <w:sz w:val="18"/>
                <w:szCs w:val="18"/>
                <w:highlight w:val="none"/>
                <w:u w:val="none"/>
                <w:vertAlign w:val="baseline"/>
                <w:lang w:val="en" w:eastAsia="zh-CN" w:bidi="ar-SA"/>
              </w:rPr>
              <w:t>仁和区</w:t>
            </w:r>
            <w:r>
              <w:rPr>
                <w:rFonts w:hint="default" w:ascii="Times New Roman" w:hAnsi="Times New Roman" w:eastAsia="方正仿宋_GBK" w:cs="Times New Roman"/>
                <w:color w:val="auto"/>
                <w:sz w:val="18"/>
                <w:szCs w:val="18"/>
                <w:highlight w:val="none"/>
                <w:u w:val="none"/>
                <w:vertAlign w:val="baseline"/>
                <w:lang w:val="en" w:eastAsia="zh-CN" w:bidi="ar-SA"/>
              </w:rPr>
              <w:t xml:space="preserve">攀枝花市长护养老服务有限公司（困难老年人家庭适老化改造项目） </w:t>
            </w:r>
          </w:p>
        </w:tc>
        <w:tc>
          <w:tcPr>
            <w:tcW w:w="1107" w:type="dxa"/>
            <w:noWrap w:val="0"/>
            <w:vAlign w:val="top"/>
          </w:tcPr>
          <w:p w14:paraId="056A57B2">
            <w:pPr>
              <w:keepNext w:val="0"/>
              <w:keepLines w:val="0"/>
              <w:pageBreakBefore w:val="0"/>
              <w:widowControl w:val="0"/>
              <w:kinsoku/>
              <w:wordWrap/>
              <w:overflowPunct/>
              <w:topLinePunct w:val="0"/>
              <w:autoSpaceDE/>
              <w:autoSpaceDN/>
              <w:bidi w:val="0"/>
              <w:adjustRightInd/>
              <w:snapToGrid/>
              <w:spacing w:line="300" w:lineRule="exact"/>
              <w:ind w:left="0"/>
              <w:jc w:val="left"/>
              <w:textAlignment w:val="auto"/>
              <w:outlineLvl w:val="9"/>
              <w:rPr>
                <w:rFonts w:hint="default" w:ascii="Times New Roman" w:hAnsi="Times New Roman" w:eastAsia="方正仿宋_GBK" w:cs="Times New Roman"/>
                <w:color w:val="auto"/>
                <w:sz w:val="18"/>
                <w:szCs w:val="18"/>
                <w:highlight w:val="none"/>
                <w:u w:val="none"/>
                <w:vertAlign w:val="baseline"/>
                <w:lang w:val="en" w:eastAsia="zh-CN" w:bidi="ar-SA"/>
              </w:rPr>
            </w:pPr>
          </w:p>
        </w:tc>
      </w:tr>
      <w:tr w14:paraId="175C3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exact"/>
          <w:jc w:val="center"/>
        </w:trPr>
        <w:tc>
          <w:tcPr>
            <w:tcW w:w="1128" w:type="dxa"/>
            <w:noWrap w:val="0"/>
            <w:vAlign w:val="top"/>
          </w:tcPr>
          <w:p w14:paraId="25D28E1F">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hint="default" w:ascii="Times New Roman" w:hAnsi="Times New Roman" w:eastAsia="宋体" w:cs="Times New Roman"/>
                <w:color w:val="auto"/>
                <w:kern w:val="2"/>
                <w:sz w:val="24"/>
                <w:szCs w:val="24"/>
                <w:highlight w:val="none"/>
                <w:u w:val="none"/>
                <w:lang w:val="en-US" w:eastAsia="zh-CN" w:bidi="ar-SA"/>
              </w:rPr>
            </w:pPr>
            <w:r>
              <w:rPr>
                <w:rFonts w:hint="default" w:ascii="Times New Roman" w:hAnsi="Times New Roman" w:eastAsia="宋体" w:cs="Times New Roman"/>
                <w:color w:val="auto"/>
                <w:sz w:val="24"/>
                <w:szCs w:val="24"/>
                <w:highlight w:val="none"/>
                <w:u w:val="none"/>
                <w:lang w:val="en-US" w:eastAsia="zh-CN" w:bidi="ar-SA"/>
              </w:rPr>
              <w:t>6</w:t>
            </w:r>
          </w:p>
        </w:tc>
        <w:tc>
          <w:tcPr>
            <w:tcW w:w="5784" w:type="dxa"/>
            <w:noWrap w:val="0"/>
            <w:vAlign w:val="center"/>
          </w:tcPr>
          <w:p w14:paraId="5BADA4A3">
            <w:pPr>
              <w:keepNext w:val="0"/>
              <w:keepLines w:val="0"/>
              <w:pageBreakBefore w:val="0"/>
              <w:widowControl w:val="0"/>
              <w:kinsoku/>
              <w:wordWrap/>
              <w:overflowPunct/>
              <w:topLinePunct w:val="0"/>
              <w:autoSpaceDE/>
              <w:autoSpaceDN/>
              <w:bidi w:val="0"/>
              <w:adjustRightInd/>
              <w:snapToGrid/>
              <w:spacing w:line="300" w:lineRule="exact"/>
              <w:ind w:left="0" w:leftChars="0"/>
              <w:jc w:val="left"/>
              <w:textAlignment w:val="auto"/>
              <w:outlineLvl w:val="9"/>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方正仿宋_GBK" w:cs="Times New Roman"/>
                <w:color w:val="auto"/>
                <w:sz w:val="18"/>
                <w:szCs w:val="18"/>
                <w:highlight w:val="none"/>
                <w:u w:val="none"/>
                <w:vertAlign w:val="baseline"/>
                <w:lang w:val="en-US" w:eastAsia="zh-CN" w:bidi="ar-SA"/>
              </w:rPr>
              <w:t>仁和区民政局（失能老年人家庭照护服务项目）</w:t>
            </w:r>
          </w:p>
        </w:tc>
        <w:tc>
          <w:tcPr>
            <w:tcW w:w="1107" w:type="dxa"/>
            <w:noWrap w:val="0"/>
            <w:vAlign w:val="top"/>
          </w:tcPr>
          <w:p w14:paraId="153C418B">
            <w:pPr>
              <w:keepNext w:val="0"/>
              <w:keepLines w:val="0"/>
              <w:pageBreakBefore w:val="0"/>
              <w:widowControl w:val="0"/>
              <w:kinsoku/>
              <w:wordWrap/>
              <w:overflowPunct/>
              <w:topLinePunct w:val="0"/>
              <w:autoSpaceDE/>
              <w:autoSpaceDN/>
              <w:bidi w:val="0"/>
              <w:adjustRightInd/>
              <w:snapToGrid/>
              <w:spacing w:line="300" w:lineRule="exact"/>
              <w:ind w:left="0"/>
              <w:jc w:val="left"/>
              <w:textAlignment w:val="auto"/>
              <w:outlineLvl w:val="9"/>
              <w:rPr>
                <w:rFonts w:hint="default" w:ascii="Times New Roman" w:hAnsi="Times New Roman" w:eastAsia="方正仿宋_GBK" w:cs="Times New Roman"/>
                <w:color w:val="auto"/>
                <w:sz w:val="18"/>
                <w:szCs w:val="18"/>
                <w:highlight w:val="none"/>
                <w:u w:val="none"/>
                <w:vertAlign w:val="baseline"/>
                <w:lang w:val="en" w:eastAsia="zh-CN" w:bidi="ar-SA"/>
              </w:rPr>
            </w:pPr>
          </w:p>
        </w:tc>
      </w:tr>
      <w:tr w14:paraId="66F82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exact"/>
          <w:jc w:val="center"/>
        </w:trPr>
        <w:tc>
          <w:tcPr>
            <w:tcW w:w="1128" w:type="dxa"/>
            <w:noWrap w:val="0"/>
            <w:vAlign w:val="top"/>
          </w:tcPr>
          <w:p w14:paraId="24A1037A">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hint="default" w:ascii="Times New Roman" w:hAnsi="Times New Roman" w:eastAsia="宋体" w:cs="Times New Roman"/>
                <w:color w:val="auto"/>
                <w:kern w:val="2"/>
                <w:sz w:val="24"/>
                <w:szCs w:val="24"/>
                <w:highlight w:val="none"/>
                <w:u w:val="none"/>
                <w:lang w:val="en-US" w:eastAsia="zh-CN" w:bidi="ar-SA"/>
              </w:rPr>
            </w:pPr>
            <w:r>
              <w:rPr>
                <w:rFonts w:hint="default" w:ascii="Times New Roman" w:hAnsi="Times New Roman" w:eastAsia="宋体" w:cs="Times New Roman"/>
                <w:color w:val="auto"/>
                <w:sz w:val="24"/>
                <w:szCs w:val="24"/>
                <w:highlight w:val="none"/>
                <w:u w:val="none"/>
                <w:lang w:val="en-US" w:eastAsia="zh-CN" w:bidi="ar-SA"/>
              </w:rPr>
              <w:t>7</w:t>
            </w:r>
          </w:p>
        </w:tc>
        <w:tc>
          <w:tcPr>
            <w:tcW w:w="5784" w:type="dxa"/>
            <w:noWrap w:val="0"/>
            <w:vAlign w:val="center"/>
          </w:tcPr>
          <w:p w14:paraId="64B8C65D">
            <w:pPr>
              <w:keepNext w:val="0"/>
              <w:keepLines w:val="0"/>
              <w:pageBreakBefore w:val="0"/>
              <w:widowControl w:val="0"/>
              <w:kinsoku/>
              <w:wordWrap/>
              <w:overflowPunct/>
              <w:topLinePunct w:val="0"/>
              <w:autoSpaceDE/>
              <w:autoSpaceDN/>
              <w:bidi w:val="0"/>
              <w:adjustRightInd/>
              <w:snapToGrid/>
              <w:spacing w:line="300" w:lineRule="exact"/>
              <w:ind w:left="0" w:leftChars="0"/>
              <w:jc w:val="left"/>
              <w:textAlignment w:val="auto"/>
              <w:outlineLvl w:val="9"/>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方正仿宋_GBK" w:cs="Times New Roman"/>
                <w:color w:val="auto"/>
                <w:sz w:val="18"/>
                <w:szCs w:val="18"/>
                <w:highlight w:val="none"/>
                <w:u w:val="none"/>
                <w:vertAlign w:val="baseline"/>
                <w:lang w:val="en" w:eastAsia="zh-CN" w:bidi="ar-SA"/>
              </w:rPr>
              <w:t xml:space="preserve">西区攀枝花市长护养老服务有限公司（困难老年人家庭适老化改造项目） </w:t>
            </w:r>
          </w:p>
        </w:tc>
        <w:tc>
          <w:tcPr>
            <w:tcW w:w="1107" w:type="dxa"/>
            <w:noWrap w:val="0"/>
            <w:vAlign w:val="top"/>
          </w:tcPr>
          <w:p w14:paraId="349AB984">
            <w:pPr>
              <w:keepNext w:val="0"/>
              <w:keepLines w:val="0"/>
              <w:pageBreakBefore w:val="0"/>
              <w:widowControl w:val="0"/>
              <w:kinsoku/>
              <w:wordWrap/>
              <w:overflowPunct/>
              <w:topLinePunct w:val="0"/>
              <w:autoSpaceDE/>
              <w:autoSpaceDN/>
              <w:bidi w:val="0"/>
              <w:adjustRightInd/>
              <w:snapToGrid/>
              <w:spacing w:line="300" w:lineRule="exact"/>
              <w:ind w:left="0"/>
              <w:jc w:val="left"/>
              <w:textAlignment w:val="auto"/>
              <w:outlineLvl w:val="9"/>
              <w:rPr>
                <w:rFonts w:hint="default" w:ascii="Times New Roman" w:hAnsi="Times New Roman" w:eastAsia="方正仿宋_GBK" w:cs="Times New Roman"/>
                <w:color w:val="auto"/>
                <w:sz w:val="18"/>
                <w:szCs w:val="18"/>
                <w:highlight w:val="none"/>
                <w:u w:val="none"/>
                <w:vertAlign w:val="baseline"/>
                <w:lang w:val="en" w:eastAsia="zh-CN" w:bidi="ar-SA"/>
              </w:rPr>
            </w:pPr>
          </w:p>
        </w:tc>
      </w:tr>
      <w:tr w14:paraId="6D0BA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exact"/>
          <w:jc w:val="center"/>
        </w:trPr>
        <w:tc>
          <w:tcPr>
            <w:tcW w:w="1128" w:type="dxa"/>
            <w:noWrap w:val="0"/>
            <w:vAlign w:val="top"/>
          </w:tcPr>
          <w:p w14:paraId="4D20A68E">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hint="default" w:ascii="Times New Roman" w:hAnsi="Times New Roman" w:eastAsia="宋体" w:cs="Times New Roman"/>
                <w:color w:val="auto"/>
                <w:kern w:val="2"/>
                <w:sz w:val="24"/>
                <w:szCs w:val="24"/>
                <w:highlight w:val="none"/>
                <w:u w:val="none"/>
                <w:lang w:val="en-US" w:eastAsia="zh-CN" w:bidi="ar-SA"/>
              </w:rPr>
            </w:pPr>
            <w:r>
              <w:rPr>
                <w:rFonts w:hint="default" w:ascii="Times New Roman" w:hAnsi="Times New Roman" w:eastAsia="宋体" w:cs="Times New Roman"/>
                <w:color w:val="auto"/>
                <w:sz w:val="24"/>
                <w:szCs w:val="24"/>
                <w:highlight w:val="none"/>
                <w:u w:val="none"/>
                <w:lang w:val="en-US" w:eastAsia="zh-CN" w:bidi="ar-SA"/>
              </w:rPr>
              <w:t>8</w:t>
            </w:r>
          </w:p>
        </w:tc>
        <w:tc>
          <w:tcPr>
            <w:tcW w:w="5784" w:type="dxa"/>
            <w:noWrap w:val="0"/>
            <w:vAlign w:val="center"/>
          </w:tcPr>
          <w:p w14:paraId="1FC4FF8C">
            <w:pPr>
              <w:keepNext w:val="0"/>
              <w:keepLines w:val="0"/>
              <w:pageBreakBefore w:val="0"/>
              <w:widowControl w:val="0"/>
              <w:kinsoku/>
              <w:wordWrap/>
              <w:overflowPunct/>
              <w:topLinePunct w:val="0"/>
              <w:autoSpaceDE/>
              <w:autoSpaceDN/>
              <w:bidi w:val="0"/>
              <w:adjustRightInd/>
              <w:snapToGrid/>
              <w:spacing w:line="300" w:lineRule="exact"/>
              <w:ind w:left="0" w:leftChars="0"/>
              <w:jc w:val="left"/>
              <w:textAlignment w:val="auto"/>
              <w:outlineLvl w:val="9"/>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方正仿宋_GBK" w:cs="Times New Roman"/>
                <w:color w:val="auto"/>
                <w:kern w:val="2"/>
                <w:sz w:val="18"/>
                <w:szCs w:val="18"/>
                <w:highlight w:val="none"/>
                <w:u w:val="none"/>
                <w:vertAlign w:val="baseline"/>
                <w:lang w:val="en" w:eastAsia="zh-CN" w:bidi="ar-SA"/>
              </w:rPr>
              <w:t>仁和区大河中路街道（</w:t>
            </w:r>
            <w:r>
              <w:rPr>
                <w:rFonts w:hint="default" w:ascii="Times New Roman" w:hAnsi="Times New Roman" w:eastAsia="方正仿宋_GBK" w:cs="Times New Roman"/>
                <w:sz w:val="18"/>
                <w:szCs w:val="18"/>
                <w:highlight w:val="none"/>
                <w:lang w:val="en" w:eastAsia="zh-CN"/>
              </w:rPr>
              <w:t>示范性老年助餐网络项目</w:t>
            </w:r>
            <w:r>
              <w:rPr>
                <w:rFonts w:hint="default" w:ascii="Times New Roman" w:hAnsi="Times New Roman" w:eastAsia="方正仿宋_GBK" w:cs="Times New Roman"/>
                <w:color w:val="auto"/>
                <w:kern w:val="2"/>
                <w:sz w:val="18"/>
                <w:szCs w:val="18"/>
                <w:highlight w:val="none"/>
                <w:u w:val="none"/>
                <w:vertAlign w:val="baseline"/>
                <w:lang w:val="en" w:eastAsia="zh-CN" w:bidi="ar-SA"/>
              </w:rPr>
              <w:t xml:space="preserve">） </w:t>
            </w:r>
          </w:p>
        </w:tc>
        <w:tc>
          <w:tcPr>
            <w:tcW w:w="1107" w:type="dxa"/>
            <w:noWrap w:val="0"/>
            <w:vAlign w:val="top"/>
          </w:tcPr>
          <w:p w14:paraId="7B009497">
            <w:pPr>
              <w:keepNext w:val="0"/>
              <w:keepLines w:val="0"/>
              <w:pageBreakBefore w:val="0"/>
              <w:widowControl w:val="0"/>
              <w:kinsoku/>
              <w:wordWrap/>
              <w:overflowPunct/>
              <w:topLinePunct w:val="0"/>
              <w:autoSpaceDE/>
              <w:autoSpaceDN/>
              <w:bidi w:val="0"/>
              <w:adjustRightInd/>
              <w:snapToGrid/>
              <w:spacing w:line="300" w:lineRule="exact"/>
              <w:ind w:left="0"/>
              <w:jc w:val="left"/>
              <w:textAlignment w:val="auto"/>
              <w:outlineLvl w:val="9"/>
              <w:rPr>
                <w:rFonts w:hint="default" w:ascii="Times New Roman" w:hAnsi="Times New Roman" w:eastAsia="方正仿宋_GBK" w:cs="Times New Roman"/>
                <w:color w:val="auto"/>
                <w:sz w:val="18"/>
                <w:szCs w:val="18"/>
                <w:highlight w:val="none"/>
                <w:u w:val="none"/>
                <w:vertAlign w:val="baseline"/>
                <w:lang w:val="en" w:eastAsia="zh-CN" w:bidi="ar-SA"/>
              </w:rPr>
            </w:pPr>
          </w:p>
        </w:tc>
      </w:tr>
      <w:tr w14:paraId="5BA49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exact"/>
          <w:jc w:val="center"/>
        </w:trPr>
        <w:tc>
          <w:tcPr>
            <w:tcW w:w="1128" w:type="dxa"/>
            <w:noWrap w:val="0"/>
            <w:vAlign w:val="top"/>
          </w:tcPr>
          <w:p w14:paraId="3A3541E0">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hint="default" w:ascii="Times New Roman" w:hAnsi="Times New Roman" w:eastAsia="宋体" w:cs="Times New Roman"/>
                <w:color w:val="auto"/>
                <w:kern w:val="2"/>
                <w:sz w:val="24"/>
                <w:szCs w:val="24"/>
                <w:highlight w:val="none"/>
                <w:u w:val="none"/>
                <w:lang w:val="en-US" w:eastAsia="zh-CN" w:bidi="ar-SA"/>
              </w:rPr>
            </w:pPr>
            <w:r>
              <w:rPr>
                <w:rFonts w:hint="default" w:ascii="Times New Roman" w:hAnsi="Times New Roman" w:eastAsia="宋体" w:cs="Times New Roman"/>
                <w:color w:val="auto"/>
                <w:sz w:val="24"/>
                <w:szCs w:val="24"/>
                <w:highlight w:val="none"/>
                <w:u w:val="none"/>
                <w:lang w:val="en-US" w:eastAsia="zh-CN" w:bidi="ar-SA"/>
              </w:rPr>
              <w:t>9</w:t>
            </w:r>
          </w:p>
        </w:tc>
        <w:tc>
          <w:tcPr>
            <w:tcW w:w="5784" w:type="dxa"/>
            <w:noWrap w:val="0"/>
            <w:vAlign w:val="center"/>
          </w:tcPr>
          <w:p w14:paraId="4550BA2E">
            <w:pPr>
              <w:keepNext w:val="0"/>
              <w:keepLines w:val="0"/>
              <w:pageBreakBefore w:val="0"/>
              <w:widowControl w:val="0"/>
              <w:kinsoku/>
              <w:wordWrap/>
              <w:overflowPunct/>
              <w:topLinePunct w:val="0"/>
              <w:autoSpaceDE/>
              <w:autoSpaceDN/>
              <w:bidi w:val="0"/>
              <w:adjustRightInd/>
              <w:snapToGrid/>
              <w:spacing w:line="300" w:lineRule="exact"/>
              <w:ind w:left="0" w:leftChars="0"/>
              <w:jc w:val="left"/>
              <w:textAlignment w:val="auto"/>
              <w:outlineLvl w:val="9"/>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方正仿宋_GBK" w:cs="Times New Roman"/>
                <w:color w:val="auto"/>
                <w:kern w:val="2"/>
                <w:sz w:val="18"/>
                <w:szCs w:val="18"/>
                <w:highlight w:val="none"/>
                <w:u w:val="none"/>
                <w:vertAlign w:val="baseline"/>
                <w:lang w:val="en" w:eastAsia="zh-CN" w:bidi="ar-SA"/>
              </w:rPr>
              <w:t>米易县民政局（</w:t>
            </w:r>
            <w:r>
              <w:rPr>
                <w:rFonts w:hint="default" w:ascii="Times New Roman" w:hAnsi="Times New Roman" w:eastAsia="方正仿宋_GBK" w:cs="Times New Roman"/>
                <w:sz w:val="18"/>
                <w:szCs w:val="18"/>
                <w:highlight w:val="none"/>
                <w:lang w:val="en" w:eastAsia="zh-CN"/>
              </w:rPr>
              <w:t>示范性老年助餐网络项目</w:t>
            </w:r>
            <w:r>
              <w:rPr>
                <w:rFonts w:hint="default" w:ascii="Times New Roman" w:hAnsi="Times New Roman" w:eastAsia="方正仿宋_GBK" w:cs="Times New Roman"/>
                <w:color w:val="auto"/>
                <w:kern w:val="2"/>
                <w:sz w:val="18"/>
                <w:szCs w:val="18"/>
                <w:highlight w:val="none"/>
                <w:u w:val="none"/>
                <w:vertAlign w:val="baseline"/>
                <w:lang w:val="en" w:eastAsia="zh-CN" w:bidi="ar-SA"/>
              </w:rPr>
              <w:t>和困难老年人家庭适老化改造项目资料）</w:t>
            </w:r>
          </w:p>
        </w:tc>
        <w:tc>
          <w:tcPr>
            <w:tcW w:w="1107" w:type="dxa"/>
            <w:noWrap w:val="0"/>
            <w:vAlign w:val="top"/>
          </w:tcPr>
          <w:p w14:paraId="35CA074A">
            <w:pPr>
              <w:keepNext w:val="0"/>
              <w:keepLines w:val="0"/>
              <w:pageBreakBefore w:val="0"/>
              <w:widowControl w:val="0"/>
              <w:kinsoku/>
              <w:wordWrap/>
              <w:overflowPunct/>
              <w:topLinePunct w:val="0"/>
              <w:autoSpaceDE/>
              <w:autoSpaceDN/>
              <w:bidi w:val="0"/>
              <w:adjustRightInd/>
              <w:snapToGrid/>
              <w:spacing w:line="300" w:lineRule="exact"/>
              <w:ind w:left="0"/>
              <w:jc w:val="left"/>
              <w:textAlignment w:val="auto"/>
              <w:outlineLvl w:val="9"/>
              <w:rPr>
                <w:rFonts w:hint="default" w:ascii="Times New Roman" w:hAnsi="Times New Roman" w:eastAsia="方正仿宋_GBK" w:cs="Times New Roman"/>
                <w:color w:val="auto"/>
                <w:sz w:val="18"/>
                <w:szCs w:val="18"/>
                <w:highlight w:val="none"/>
                <w:u w:val="none"/>
                <w:vertAlign w:val="baseline"/>
                <w:lang w:val="en" w:eastAsia="zh-CN" w:bidi="ar-SA"/>
              </w:rPr>
            </w:pPr>
          </w:p>
        </w:tc>
      </w:tr>
      <w:tr w14:paraId="24008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exact"/>
          <w:jc w:val="center"/>
        </w:trPr>
        <w:tc>
          <w:tcPr>
            <w:tcW w:w="1128" w:type="dxa"/>
            <w:noWrap w:val="0"/>
            <w:vAlign w:val="top"/>
          </w:tcPr>
          <w:p w14:paraId="268CCAC7">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hint="default" w:ascii="Times New Roman" w:hAnsi="Times New Roman" w:eastAsia="宋体" w:cs="Times New Roman"/>
                <w:color w:val="auto"/>
                <w:kern w:val="2"/>
                <w:sz w:val="24"/>
                <w:szCs w:val="24"/>
                <w:highlight w:val="none"/>
                <w:u w:val="none"/>
                <w:lang w:val="en-US" w:eastAsia="zh-CN" w:bidi="ar-SA"/>
              </w:rPr>
            </w:pPr>
            <w:r>
              <w:rPr>
                <w:rFonts w:hint="default" w:ascii="Times New Roman" w:hAnsi="Times New Roman" w:eastAsia="宋体" w:cs="Times New Roman"/>
                <w:color w:val="auto"/>
                <w:sz w:val="24"/>
                <w:szCs w:val="24"/>
                <w:highlight w:val="none"/>
                <w:u w:val="none"/>
                <w:lang w:val="en-US" w:eastAsia="zh-CN" w:bidi="ar-SA"/>
              </w:rPr>
              <w:t>10</w:t>
            </w:r>
          </w:p>
        </w:tc>
        <w:tc>
          <w:tcPr>
            <w:tcW w:w="5784" w:type="dxa"/>
            <w:noWrap w:val="0"/>
            <w:vAlign w:val="center"/>
          </w:tcPr>
          <w:p w14:paraId="266B4EA8">
            <w:pPr>
              <w:keepNext w:val="0"/>
              <w:keepLines w:val="0"/>
              <w:pageBreakBefore w:val="0"/>
              <w:widowControl w:val="0"/>
              <w:kinsoku/>
              <w:wordWrap/>
              <w:overflowPunct/>
              <w:topLinePunct w:val="0"/>
              <w:autoSpaceDE/>
              <w:autoSpaceDN/>
              <w:bidi w:val="0"/>
              <w:adjustRightInd/>
              <w:snapToGrid/>
              <w:spacing w:line="300" w:lineRule="exact"/>
              <w:ind w:left="0" w:leftChars="0"/>
              <w:jc w:val="left"/>
              <w:textAlignment w:val="auto"/>
              <w:outlineLvl w:val="9"/>
              <w:rPr>
                <w:rFonts w:hint="default" w:ascii="Times New Roman" w:hAnsi="Times New Roman" w:eastAsia="仿宋_GB2312" w:cs="Times New Roman"/>
                <w:kern w:val="2"/>
                <w:sz w:val="32"/>
                <w:szCs w:val="32"/>
                <w:lang w:val="en" w:eastAsia="zh-CN" w:bidi="ar-SA"/>
              </w:rPr>
            </w:pPr>
            <w:r>
              <w:rPr>
                <w:rFonts w:hint="default" w:ascii="Times New Roman" w:hAnsi="Times New Roman" w:eastAsia="方正仿宋_GBK" w:cs="Times New Roman"/>
                <w:color w:val="auto"/>
                <w:kern w:val="2"/>
                <w:sz w:val="18"/>
                <w:szCs w:val="18"/>
                <w:highlight w:val="none"/>
                <w:u w:val="none"/>
                <w:vertAlign w:val="baseline"/>
                <w:lang w:val="en" w:eastAsia="zh-CN" w:bidi="ar-SA"/>
              </w:rPr>
              <w:t>米易县撒莲镇（</w:t>
            </w:r>
            <w:r>
              <w:rPr>
                <w:rFonts w:hint="default" w:ascii="Times New Roman" w:hAnsi="Times New Roman" w:eastAsia="方正仿宋_GBK" w:cs="Times New Roman"/>
                <w:sz w:val="18"/>
                <w:szCs w:val="18"/>
                <w:highlight w:val="none"/>
                <w:lang w:val="en" w:eastAsia="zh-CN"/>
              </w:rPr>
              <w:t>示范性老年助餐网络项目</w:t>
            </w:r>
            <w:r>
              <w:rPr>
                <w:rFonts w:hint="default" w:ascii="Times New Roman" w:hAnsi="Times New Roman" w:eastAsia="方正仿宋_GBK" w:cs="Times New Roman"/>
                <w:color w:val="auto"/>
                <w:kern w:val="2"/>
                <w:sz w:val="18"/>
                <w:szCs w:val="18"/>
                <w:highlight w:val="none"/>
                <w:u w:val="none"/>
                <w:vertAlign w:val="baseline"/>
                <w:lang w:val="en" w:eastAsia="zh-CN" w:bidi="ar-SA"/>
              </w:rPr>
              <w:t>）</w:t>
            </w:r>
          </w:p>
        </w:tc>
        <w:tc>
          <w:tcPr>
            <w:tcW w:w="1107" w:type="dxa"/>
            <w:noWrap w:val="0"/>
            <w:vAlign w:val="top"/>
          </w:tcPr>
          <w:p w14:paraId="443503CF">
            <w:pPr>
              <w:keepNext w:val="0"/>
              <w:keepLines w:val="0"/>
              <w:pageBreakBefore w:val="0"/>
              <w:widowControl w:val="0"/>
              <w:kinsoku/>
              <w:wordWrap/>
              <w:overflowPunct/>
              <w:topLinePunct w:val="0"/>
              <w:autoSpaceDE/>
              <w:autoSpaceDN/>
              <w:bidi w:val="0"/>
              <w:adjustRightInd/>
              <w:snapToGrid/>
              <w:spacing w:line="300" w:lineRule="exact"/>
              <w:ind w:left="0"/>
              <w:jc w:val="left"/>
              <w:textAlignment w:val="auto"/>
              <w:outlineLvl w:val="9"/>
              <w:rPr>
                <w:rFonts w:hint="default" w:ascii="Times New Roman" w:hAnsi="Times New Roman" w:eastAsia="方正仿宋_GBK" w:cs="Times New Roman"/>
                <w:color w:val="auto"/>
                <w:sz w:val="18"/>
                <w:szCs w:val="18"/>
                <w:highlight w:val="none"/>
                <w:u w:val="none"/>
                <w:vertAlign w:val="baseline"/>
                <w:lang w:val="en-US" w:eastAsia="zh-CN" w:bidi="ar-SA"/>
              </w:rPr>
            </w:pPr>
          </w:p>
        </w:tc>
      </w:tr>
      <w:tr w14:paraId="4AD5E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exact"/>
          <w:jc w:val="center"/>
        </w:trPr>
        <w:tc>
          <w:tcPr>
            <w:tcW w:w="1128" w:type="dxa"/>
            <w:noWrap w:val="0"/>
            <w:vAlign w:val="top"/>
          </w:tcPr>
          <w:p w14:paraId="5EA41D48">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hint="default" w:ascii="Times New Roman" w:hAnsi="Times New Roman" w:eastAsia="宋体" w:cs="Times New Roman"/>
                <w:color w:val="auto"/>
                <w:kern w:val="2"/>
                <w:sz w:val="24"/>
                <w:szCs w:val="24"/>
                <w:highlight w:val="none"/>
                <w:u w:val="none"/>
                <w:lang w:val="en-US" w:eastAsia="zh-CN" w:bidi="ar-SA"/>
              </w:rPr>
            </w:pPr>
            <w:r>
              <w:rPr>
                <w:rFonts w:hint="default" w:ascii="Times New Roman" w:hAnsi="Times New Roman" w:eastAsia="宋体" w:cs="Times New Roman"/>
                <w:color w:val="auto"/>
                <w:sz w:val="24"/>
                <w:szCs w:val="24"/>
                <w:highlight w:val="none"/>
                <w:u w:val="none"/>
                <w:lang w:val="en-US" w:eastAsia="zh-CN" w:bidi="ar-SA"/>
              </w:rPr>
              <w:t>11</w:t>
            </w:r>
          </w:p>
        </w:tc>
        <w:tc>
          <w:tcPr>
            <w:tcW w:w="5784" w:type="dxa"/>
            <w:noWrap w:val="0"/>
            <w:vAlign w:val="center"/>
          </w:tcPr>
          <w:p w14:paraId="3BEE121F">
            <w:pPr>
              <w:keepNext w:val="0"/>
              <w:keepLines w:val="0"/>
              <w:pageBreakBefore w:val="0"/>
              <w:widowControl w:val="0"/>
              <w:kinsoku/>
              <w:wordWrap/>
              <w:overflowPunct/>
              <w:topLinePunct w:val="0"/>
              <w:autoSpaceDE/>
              <w:autoSpaceDN/>
              <w:bidi w:val="0"/>
              <w:adjustRightInd/>
              <w:snapToGrid/>
              <w:spacing w:line="300" w:lineRule="exact"/>
              <w:ind w:left="0" w:leftChars="0"/>
              <w:jc w:val="left"/>
              <w:textAlignment w:val="auto"/>
              <w:outlineLvl w:val="9"/>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方正仿宋_GBK" w:cs="Times New Roman"/>
                <w:color w:val="auto"/>
                <w:kern w:val="2"/>
                <w:sz w:val="18"/>
                <w:szCs w:val="18"/>
                <w:highlight w:val="none"/>
                <w:u w:val="none"/>
                <w:vertAlign w:val="baseline"/>
                <w:lang w:val="en" w:eastAsia="zh-CN" w:bidi="ar-SA"/>
              </w:rPr>
              <w:t>米易县民政局（困难群众适老化改造</w:t>
            </w:r>
            <w:r>
              <w:rPr>
                <w:rFonts w:hint="default" w:ascii="Times New Roman" w:hAnsi="Times New Roman" w:eastAsia="方正仿宋_GBK" w:cs="Times New Roman"/>
                <w:color w:val="auto"/>
                <w:kern w:val="2"/>
                <w:sz w:val="18"/>
                <w:szCs w:val="18"/>
                <w:highlight w:val="none"/>
                <w:u w:val="none"/>
                <w:vertAlign w:val="baseline"/>
                <w:lang w:eastAsia="zh-CN" w:bidi="ar-SA"/>
              </w:rPr>
              <w:t>项目</w:t>
            </w:r>
            <w:r>
              <w:rPr>
                <w:rFonts w:hint="default" w:ascii="Times New Roman" w:hAnsi="Times New Roman" w:eastAsia="方正仿宋_GBK" w:cs="Times New Roman"/>
                <w:color w:val="auto"/>
                <w:kern w:val="2"/>
                <w:sz w:val="18"/>
                <w:szCs w:val="18"/>
                <w:highlight w:val="none"/>
                <w:u w:val="none"/>
                <w:vertAlign w:val="baseline"/>
                <w:lang w:val="en" w:eastAsia="zh-CN" w:bidi="ar-SA"/>
              </w:rPr>
              <w:t>）</w:t>
            </w:r>
          </w:p>
        </w:tc>
        <w:tc>
          <w:tcPr>
            <w:tcW w:w="1107" w:type="dxa"/>
            <w:noWrap w:val="0"/>
            <w:vAlign w:val="top"/>
          </w:tcPr>
          <w:p w14:paraId="7BCAA2A1">
            <w:pPr>
              <w:keepNext w:val="0"/>
              <w:keepLines w:val="0"/>
              <w:pageBreakBefore w:val="0"/>
              <w:widowControl w:val="0"/>
              <w:kinsoku/>
              <w:wordWrap/>
              <w:overflowPunct/>
              <w:topLinePunct w:val="0"/>
              <w:autoSpaceDE/>
              <w:autoSpaceDN/>
              <w:bidi w:val="0"/>
              <w:adjustRightInd/>
              <w:snapToGrid/>
              <w:spacing w:line="300" w:lineRule="exact"/>
              <w:ind w:left="0"/>
              <w:jc w:val="left"/>
              <w:textAlignment w:val="auto"/>
              <w:outlineLvl w:val="9"/>
              <w:rPr>
                <w:rFonts w:hint="default" w:ascii="Times New Roman" w:hAnsi="Times New Roman" w:eastAsia="方正仿宋_GBK" w:cs="Times New Roman"/>
                <w:color w:val="auto"/>
                <w:sz w:val="18"/>
                <w:szCs w:val="18"/>
                <w:highlight w:val="none"/>
                <w:u w:val="none"/>
                <w:vertAlign w:val="baseline"/>
                <w:lang w:val="en" w:eastAsia="zh-CN" w:bidi="ar-SA"/>
              </w:rPr>
            </w:pPr>
          </w:p>
        </w:tc>
      </w:tr>
      <w:tr w14:paraId="75646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exact"/>
          <w:jc w:val="center"/>
        </w:trPr>
        <w:tc>
          <w:tcPr>
            <w:tcW w:w="1128" w:type="dxa"/>
            <w:noWrap w:val="0"/>
            <w:vAlign w:val="top"/>
          </w:tcPr>
          <w:p w14:paraId="3777EDFA">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hint="default" w:ascii="Times New Roman" w:hAnsi="Times New Roman" w:eastAsia="宋体" w:cs="Times New Roman"/>
                <w:color w:val="auto"/>
                <w:kern w:val="2"/>
                <w:sz w:val="24"/>
                <w:szCs w:val="24"/>
                <w:highlight w:val="none"/>
                <w:u w:val="none"/>
                <w:lang w:val="en-US" w:eastAsia="zh-CN" w:bidi="ar-SA"/>
              </w:rPr>
            </w:pPr>
            <w:r>
              <w:rPr>
                <w:rFonts w:hint="default" w:ascii="Times New Roman" w:hAnsi="Times New Roman" w:eastAsia="宋体" w:cs="Times New Roman"/>
                <w:color w:val="auto"/>
                <w:sz w:val="24"/>
                <w:szCs w:val="24"/>
                <w:highlight w:val="none"/>
                <w:u w:val="none"/>
                <w:lang w:val="en-US" w:eastAsia="zh-CN" w:bidi="ar-SA"/>
              </w:rPr>
              <w:t>12</w:t>
            </w:r>
          </w:p>
        </w:tc>
        <w:tc>
          <w:tcPr>
            <w:tcW w:w="5784" w:type="dxa"/>
            <w:noWrap w:val="0"/>
            <w:vAlign w:val="center"/>
          </w:tcPr>
          <w:p w14:paraId="5EDE2688">
            <w:pPr>
              <w:keepNext w:val="0"/>
              <w:keepLines w:val="0"/>
              <w:pageBreakBefore w:val="0"/>
              <w:widowControl w:val="0"/>
              <w:kinsoku/>
              <w:wordWrap/>
              <w:overflowPunct/>
              <w:topLinePunct w:val="0"/>
              <w:autoSpaceDE/>
              <w:autoSpaceDN/>
              <w:bidi w:val="0"/>
              <w:adjustRightInd/>
              <w:snapToGrid/>
              <w:spacing w:line="300" w:lineRule="exact"/>
              <w:ind w:left="0" w:leftChars="0"/>
              <w:jc w:val="left"/>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方正仿宋_GBK" w:cs="Times New Roman"/>
                <w:color w:val="auto"/>
                <w:kern w:val="2"/>
                <w:sz w:val="18"/>
                <w:szCs w:val="18"/>
                <w:highlight w:val="none"/>
                <w:u w:val="none"/>
                <w:vertAlign w:val="baseline"/>
                <w:lang w:val="en" w:eastAsia="zh-CN" w:bidi="ar-SA"/>
              </w:rPr>
              <w:t>盐边县桐子林镇综合为老服务中心（</w:t>
            </w:r>
            <w:r>
              <w:rPr>
                <w:rFonts w:hint="default" w:ascii="Times New Roman" w:hAnsi="Times New Roman" w:eastAsia="方正仿宋_GBK" w:cs="Times New Roman"/>
                <w:color w:val="auto"/>
                <w:sz w:val="18"/>
                <w:szCs w:val="18"/>
                <w:highlight w:val="none"/>
                <w:u w:val="none"/>
                <w:vertAlign w:val="baseline"/>
                <w:lang w:val="en-US" w:eastAsia="zh-CN" w:bidi="ar-SA"/>
              </w:rPr>
              <w:t>失能老年人家庭照护服务项目</w:t>
            </w:r>
            <w:r>
              <w:rPr>
                <w:rFonts w:hint="default" w:ascii="Times New Roman" w:hAnsi="Times New Roman" w:eastAsia="方正仿宋_GBK" w:cs="Times New Roman"/>
                <w:color w:val="auto"/>
                <w:kern w:val="2"/>
                <w:sz w:val="18"/>
                <w:szCs w:val="18"/>
                <w:highlight w:val="none"/>
                <w:u w:val="none"/>
                <w:vertAlign w:val="baseline"/>
                <w:lang w:val="en" w:eastAsia="zh-CN" w:bidi="ar-SA"/>
              </w:rPr>
              <w:t>）</w:t>
            </w:r>
          </w:p>
        </w:tc>
        <w:tc>
          <w:tcPr>
            <w:tcW w:w="1107" w:type="dxa"/>
            <w:noWrap w:val="0"/>
            <w:vAlign w:val="top"/>
          </w:tcPr>
          <w:p w14:paraId="3A93B155">
            <w:pPr>
              <w:keepNext w:val="0"/>
              <w:keepLines w:val="0"/>
              <w:pageBreakBefore w:val="0"/>
              <w:widowControl w:val="0"/>
              <w:kinsoku/>
              <w:wordWrap/>
              <w:overflowPunct/>
              <w:topLinePunct w:val="0"/>
              <w:autoSpaceDE/>
              <w:autoSpaceDN/>
              <w:bidi w:val="0"/>
              <w:adjustRightInd/>
              <w:snapToGrid/>
              <w:spacing w:line="300" w:lineRule="exact"/>
              <w:ind w:left="0"/>
              <w:jc w:val="left"/>
              <w:textAlignment w:val="auto"/>
              <w:outlineLvl w:val="9"/>
              <w:rPr>
                <w:rFonts w:hint="default" w:ascii="Times New Roman" w:hAnsi="Times New Roman" w:eastAsia="方正仿宋_GBK" w:cs="Times New Roman"/>
                <w:color w:val="auto"/>
                <w:kern w:val="2"/>
                <w:sz w:val="18"/>
                <w:szCs w:val="18"/>
                <w:highlight w:val="none"/>
                <w:u w:val="none"/>
                <w:vertAlign w:val="baseline"/>
                <w:lang w:val="en" w:eastAsia="zh-CN" w:bidi="ar-SA"/>
              </w:rPr>
            </w:pPr>
          </w:p>
        </w:tc>
      </w:tr>
    </w:tbl>
    <w:p w14:paraId="03756E36">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hint="default" w:ascii="Times New Roman" w:hAnsi="Times New Roman" w:eastAsia="宋体" w:cs="Times New Roman"/>
          <w:color w:val="auto"/>
          <w:sz w:val="21"/>
          <w:szCs w:val="21"/>
          <w:highlight w:val="none"/>
          <w:u w:val="none"/>
          <w:vertAlign w:val="baseline"/>
          <w:lang w:val="en-US" w:eastAsia="zh-CN" w:bidi="ar-SA"/>
        </w:rPr>
      </w:pPr>
      <w:r>
        <w:rPr>
          <w:rFonts w:hint="default" w:ascii="Times New Roman" w:hAnsi="Times New Roman" w:eastAsia="宋体" w:cs="Times New Roman"/>
          <w:color w:val="auto"/>
          <w:sz w:val="21"/>
          <w:szCs w:val="21"/>
          <w:highlight w:val="none"/>
          <w:u w:val="none"/>
          <w:vertAlign w:val="baseline"/>
          <w:lang w:val="en-US" w:eastAsia="zh-CN" w:bidi="ar-SA"/>
        </w:rPr>
        <w:t>备注：项目实地踏勘点位包括市（州）本级、县（市、区）本级及有关项目、单位、公司等。</w:t>
      </w:r>
    </w:p>
    <w:p w14:paraId="1412269E">
      <w:pPr>
        <w:keepNext w:val="0"/>
        <w:keepLines w:val="0"/>
        <w:pageBreakBefore w:val="0"/>
        <w:widowControl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color w:val="auto"/>
          <w:kern w:val="0"/>
          <w:sz w:val="32"/>
          <w:szCs w:val="32"/>
          <w:highlight w:val="none"/>
          <w:u w:val="none"/>
          <w:shd w:val="clear" w:color="auto" w:fill="FFFFFF"/>
          <w:lang w:val="zh-CN" w:eastAsia="zh-CN" w:bidi="ar-SA"/>
        </w:rPr>
      </w:pPr>
    </w:p>
    <w:p w14:paraId="7CA44FAE">
      <w:pPr>
        <w:keepNext w:val="0"/>
        <w:keepLines w:val="0"/>
        <w:pageBreakBefore w:val="0"/>
        <w:widowControl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color w:val="auto"/>
          <w:kern w:val="0"/>
          <w:sz w:val="32"/>
          <w:szCs w:val="32"/>
          <w:highlight w:val="none"/>
          <w:u w:val="none"/>
          <w:shd w:val="clear" w:color="auto" w:fill="FFFFFF"/>
          <w:lang w:val="en-US" w:eastAsia="zh-CN" w:bidi="ar-SA"/>
        </w:rPr>
      </w:pPr>
      <w:r>
        <w:rPr>
          <w:rFonts w:hint="default" w:ascii="Times New Roman" w:hAnsi="Times New Roman" w:eastAsia="黑体" w:cs="Times New Roman"/>
          <w:color w:val="auto"/>
          <w:kern w:val="0"/>
          <w:sz w:val="32"/>
          <w:szCs w:val="32"/>
          <w:highlight w:val="none"/>
          <w:u w:val="none"/>
          <w:shd w:val="clear" w:color="auto" w:fill="FFFFFF"/>
          <w:lang w:val="zh-CN" w:eastAsia="zh-CN" w:bidi="ar-SA"/>
        </w:rPr>
        <w:br w:type="page"/>
      </w:r>
      <w:r>
        <w:rPr>
          <w:rFonts w:hint="default" w:ascii="Times New Roman" w:hAnsi="Times New Roman" w:eastAsia="黑体" w:cs="Times New Roman"/>
          <w:color w:val="auto"/>
          <w:kern w:val="0"/>
          <w:sz w:val="32"/>
          <w:szCs w:val="32"/>
          <w:highlight w:val="none"/>
          <w:u w:val="none"/>
          <w:shd w:val="clear" w:color="auto" w:fill="FFFFFF"/>
          <w:lang w:val="zh-CN" w:eastAsia="zh-CN" w:bidi="ar-SA"/>
        </w:rPr>
        <w:t>附表</w:t>
      </w:r>
      <w:r>
        <w:rPr>
          <w:rFonts w:hint="default" w:ascii="Times New Roman" w:hAnsi="Times New Roman" w:eastAsia="黑体" w:cs="Times New Roman"/>
          <w:color w:val="auto"/>
          <w:kern w:val="0"/>
          <w:sz w:val="32"/>
          <w:szCs w:val="32"/>
          <w:highlight w:val="none"/>
          <w:u w:val="none"/>
          <w:shd w:val="clear" w:color="auto" w:fill="FFFFFF"/>
          <w:lang w:val="en-US" w:eastAsia="zh-CN" w:bidi="ar-SA"/>
        </w:rPr>
        <w:t>3</w:t>
      </w:r>
    </w:p>
    <w:tbl>
      <w:tblPr>
        <w:tblStyle w:val="17"/>
        <w:tblW w:w="10233" w:type="dxa"/>
        <w:jc w:val="center"/>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5D73B214">
        <w:tblPrEx>
          <w:tblCellMar>
            <w:top w:w="15" w:type="dxa"/>
            <w:left w:w="15" w:type="dxa"/>
            <w:bottom w:w="15" w:type="dxa"/>
            <w:right w:w="15" w:type="dxa"/>
          </w:tblCellMar>
        </w:tblPrEx>
        <w:trPr>
          <w:trHeight w:val="576" w:hRule="atLeast"/>
          <w:jc w:val="center"/>
        </w:trPr>
        <w:tc>
          <w:tcPr>
            <w:tcW w:w="10233" w:type="dxa"/>
            <w:gridSpan w:val="9"/>
            <w:tcBorders>
              <w:top w:val="nil"/>
              <w:left w:val="nil"/>
              <w:bottom w:val="nil"/>
              <w:right w:val="nil"/>
            </w:tcBorders>
            <w:noWrap w:val="0"/>
            <w:vAlign w:val="center"/>
          </w:tcPr>
          <w:p w14:paraId="3428472C">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hint="default" w:ascii="Times New Roman" w:hAnsi="Times New Roman" w:eastAsia="黑体" w:cs="Times New Roman"/>
                <w:color w:val="000000"/>
                <w:sz w:val="30"/>
                <w:szCs w:val="30"/>
                <w:u w:val="none"/>
                <w:lang w:bidi="ar-SA"/>
              </w:rPr>
            </w:pPr>
            <w:r>
              <w:rPr>
                <w:rFonts w:hint="default" w:ascii="Times New Roman" w:hAnsi="Times New Roman" w:eastAsia="方正小标宋简体" w:cs="Times New Roman"/>
                <w:color w:val="000000"/>
                <w:kern w:val="0"/>
                <w:sz w:val="40"/>
                <w:szCs w:val="40"/>
                <w:u w:val="none"/>
                <w:lang w:val="en-US" w:eastAsia="zh-CN" w:bidi="ar"/>
              </w:rPr>
              <w:t>专项预算项目绩效目标完成情况自评表</w:t>
            </w:r>
          </w:p>
        </w:tc>
      </w:tr>
      <w:tr w14:paraId="6CD333E6">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05412E66">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85A7B30">
            <w:pPr>
              <w:pStyle w:val="37"/>
              <w:keepNext w:val="0"/>
              <w:keepLines w:val="0"/>
              <w:pageBreakBefore w:val="0"/>
              <w:widowControl w:val="0"/>
              <w:kinsoku/>
              <w:wordWrap/>
              <w:overflowPunct/>
              <w:topLinePunct w:val="0"/>
              <w:autoSpaceDE/>
              <w:autoSpaceDN/>
              <w:bidi w:val="0"/>
              <w:spacing w:line="578" w:lineRule="exact"/>
              <w:ind w:left="0"/>
              <w:jc w:val="both"/>
              <w:textAlignment w:val="auto"/>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color w:val="000000"/>
                <w:kern w:val="0"/>
                <w:sz w:val="18"/>
                <w:szCs w:val="18"/>
                <w:u w:val="none"/>
                <w:lang w:val="en-US" w:eastAsia="zh-CN" w:bidi="ar"/>
              </w:rPr>
              <w:t>社区养老服务综合体</w:t>
            </w:r>
          </w:p>
        </w:tc>
      </w:tr>
      <w:tr w14:paraId="3A3C6F25">
        <w:tblPrEx>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040E855E">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8F537CB">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u w:val="none"/>
                <w:lang w:val="en-US" w:eastAsia="zh-CN" w:bidi="ar-SA"/>
              </w:rPr>
            </w:pPr>
            <w:r>
              <w:rPr>
                <w:rFonts w:hint="default" w:ascii="Times New Roman" w:hAnsi="Times New Roman" w:eastAsia="方正仿宋_GBK" w:cs="Times New Roman"/>
                <w:color w:val="000000"/>
                <w:sz w:val="18"/>
                <w:szCs w:val="18"/>
                <w:u w:val="none"/>
                <w:lang w:val="en-US" w:eastAsia="zh-CN" w:bidi="ar-SA"/>
              </w:rPr>
              <w:t>攀枝花市民政局</w:t>
            </w:r>
          </w:p>
        </w:tc>
      </w:tr>
      <w:tr w14:paraId="48CDFBCA">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67461212">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45DE725">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方正仿宋_GBK" w:cs="Times New Roman"/>
                <w:color w:val="000000"/>
                <w:sz w:val="18"/>
                <w:szCs w:val="18"/>
                <w:u w:val="none"/>
                <w:lang w:val="en-US" w:eastAsia="zh-CN" w:bidi="ar-SA"/>
              </w:rPr>
            </w:pPr>
            <w:r>
              <w:rPr>
                <w:rFonts w:hint="default" w:ascii="Times New Roman" w:hAnsi="Times New Roman" w:eastAsia="方正仿宋_GBK" w:cs="Times New Roman"/>
                <w:color w:val="000000"/>
                <w:sz w:val="18"/>
                <w:szCs w:val="18"/>
                <w:u w:val="none"/>
                <w:lang w:val="en-US" w:eastAsia="zh-CN" w:bidi="ar-SA"/>
              </w:rPr>
              <w:t>养老服务项目</w:t>
            </w:r>
          </w:p>
        </w:tc>
      </w:tr>
      <w:tr w14:paraId="73FB831C">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C5503F1">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DE1D135">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中长期规划（名称、文号，仅指</w:t>
            </w:r>
          </w:p>
          <w:p w14:paraId="325F8135">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2710351">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color w:val="000000"/>
                <w:sz w:val="18"/>
                <w:szCs w:val="18"/>
                <w:u w:val="none"/>
                <w:lang w:bidi="ar-SA"/>
              </w:rPr>
              <w:t>四川省民政厅关于印发《四川省社区养老服务综合体建设导则（试行）》的通知（川民发</w:t>
            </w:r>
            <w:r>
              <w:rPr>
                <w:rFonts w:hint="default" w:ascii="Times New Roman" w:hAnsi="Times New Roman" w:eastAsia="方正仿宋_GBK" w:cs="Times New Roman"/>
                <w:kern w:val="2"/>
                <w:sz w:val="18"/>
                <w:szCs w:val="18"/>
                <w:lang w:bidi="ar-SA"/>
              </w:rPr>
              <w:t>〔</w:t>
            </w:r>
            <w:r>
              <w:rPr>
                <w:rFonts w:hint="default" w:ascii="Times New Roman" w:hAnsi="Times New Roman" w:eastAsia="方正仿宋_GBK" w:cs="Times New Roman"/>
                <w:spacing w:val="-17"/>
                <w:sz w:val="18"/>
                <w:szCs w:val="18"/>
              </w:rPr>
              <w:t>2020</w:t>
            </w:r>
            <w:r>
              <w:rPr>
                <w:rFonts w:hint="default" w:ascii="Times New Roman" w:hAnsi="Times New Roman" w:eastAsia="方正仿宋_GBK" w:cs="Times New Roman"/>
                <w:kern w:val="2"/>
                <w:sz w:val="18"/>
                <w:szCs w:val="18"/>
                <w:lang w:bidi="ar-SA"/>
              </w:rPr>
              <w:t>〕67号</w:t>
            </w:r>
            <w:r>
              <w:rPr>
                <w:rFonts w:hint="default" w:ascii="Times New Roman" w:hAnsi="Times New Roman" w:eastAsia="方正仿宋_GBK" w:cs="Times New Roman"/>
                <w:color w:val="000000"/>
                <w:sz w:val="18"/>
                <w:szCs w:val="18"/>
                <w:u w:val="none"/>
                <w:lang w:bidi="ar-SA"/>
              </w:rPr>
              <w:t>）</w:t>
            </w:r>
          </w:p>
          <w:p w14:paraId="58A6BE45">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color w:val="000000"/>
                <w:sz w:val="18"/>
                <w:szCs w:val="18"/>
                <w:u w:val="none"/>
                <w:lang w:bidi="ar-SA"/>
              </w:rPr>
              <w:t>四川省财政厅 四川省民政厅关于印发《四川省省级财政养老服务业发展专项资金管理办法》的通知（川财社</w:t>
            </w:r>
            <w:r>
              <w:rPr>
                <w:rFonts w:hint="default" w:ascii="Times New Roman" w:hAnsi="Times New Roman" w:eastAsia="方正仿宋_GBK" w:cs="Times New Roman"/>
                <w:kern w:val="2"/>
                <w:sz w:val="18"/>
                <w:szCs w:val="18"/>
                <w:lang w:bidi="ar-SA"/>
              </w:rPr>
              <w:t>〔</w:t>
            </w:r>
            <w:r>
              <w:rPr>
                <w:rFonts w:hint="default" w:ascii="Times New Roman" w:hAnsi="Times New Roman" w:eastAsia="方正仿宋_GBK" w:cs="Times New Roman"/>
                <w:spacing w:val="-17"/>
                <w:sz w:val="18"/>
                <w:szCs w:val="18"/>
              </w:rPr>
              <w:t>2019</w:t>
            </w:r>
            <w:r>
              <w:rPr>
                <w:rFonts w:hint="default" w:ascii="Times New Roman" w:hAnsi="Times New Roman" w:eastAsia="方正仿宋_GBK" w:cs="Times New Roman"/>
                <w:kern w:val="2"/>
                <w:sz w:val="18"/>
                <w:szCs w:val="18"/>
                <w:lang w:bidi="ar-SA"/>
              </w:rPr>
              <w:t>〕59号</w:t>
            </w:r>
            <w:r>
              <w:rPr>
                <w:rFonts w:hint="default" w:ascii="Times New Roman" w:hAnsi="Times New Roman" w:eastAsia="方正仿宋_GBK" w:cs="Times New Roman"/>
                <w:color w:val="000000"/>
                <w:sz w:val="18"/>
                <w:szCs w:val="18"/>
                <w:u w:val="none"/>
                <w:lang w:bidi="ar-SA"/>
              </w:rPr>
              <w:t>）</w:t>
            </w:r>
          </w:p>
        </w:tc>
      </w:tr>
      <w:tr w14:paraId="76D29C7D">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40A97A">
            <w:pPr>
              <w:rPr>
                <w:rFonts w:hint="default" w:ascii="Times New Roman" w:hAnsi="Times New Roman" w:cs="Times New Roman"/>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F3E8572">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86AAC4C">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color w:val="000000"/>
                <w:sz w:val="18"/>
                <w:szCs w:val="18"/>
                <w:u w:val="none"/>
                <w:lang w:bidi="ar-SA"/>
              </w:rPr>
              <w:t>四川省财政厅 四川省民政厅关于印发《四川省省级财政养老服务业发展专项资金管理办法》的通知（川财社</w:t>
            </w:r>
            <w:r>
              <w:rPr>
                <w:rFonts w:hint="default" w:ascii="Times New Roman" w:hAnsi="Times New Roman" w:eastAsia="方正仿宋_GBK" w:cs="Times New Roman"/>
                <w:kern w:val="2"/>
                <w:sz w:val="18"/>
                <w:szCs w:val="18"/>
                <w:lang w:bidi="ar-SA"/>
              </w:rPr>
              <w:t>〔</w:t>
            </w:r>
            <w:r>
              <w:rPr>
                <w:rFonts w:hint="default" w:ascii="Times New Roman" w:hAnsi="Times New Roman" w:eastAsia="方正仿宋_GBK" w:cs="Times New Roman"/>
                <w:spacing w:val="-17"/>
                <w:sz w:val="18"/>
                <w:szCs w:val="18"/>
              </w:rPr>
              <w:t>2019</w:t>
            </w:r>
            <w:r>
              <w:rPr>
                <w:rFonts w:hint="default" w:ascii="Times New Roman" w:hAnsi="Times New Roman" w:eastAsia="方正仿宋_GBK" w:cs="Times New Roman"/>
                <w:kern w:val="2"/>
                <w:sz w:val="18"/>
                <w:szCs w:val="18"/>
                <w:lang w:bidi="ar-SA"/>
              </w:rPr>
              <w:t>〕59号</w:t>
            </w:r>
            <w:r>
              <w:rPr>
                <w:rFonts w:hint="default" w:ascii="Times New Roman" w:hAnsi="Times New Roman" w:eastAsia="方正仿宋_GBK" w:cs="Times New Roman"/>
                <w:color w:val="000000"/>
                <w:sz w:val="18"/>
                <w:szCs w:val="18"/>
                <w:u w:val="none"/>
                <w:lang w:bidi="ar-SA"/>
              </w:rPr>
              <w:t>）</w:t>
            </w:r>
          </w:p>
        </w:tc>
      </w:tr>
      <w:tr w14:paraId="1183996A">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00C899">
            <w:pPr>
              <w:rPr>
                <w:rFonts w:hint="default" w:ascii="Times New Roman" w:hAnsi="Times New Roman" w:cs="Times New Roman"/>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E7FFEB6">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BFDCD0B">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color w:val="000000"/>
                <w:kern w:val="0"/>
                <w:sz w:val="18"/>
                <w:szCs w:val="18"/>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476E3932">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color w:val="000000"/>
                <w:sz w:val="18"/>
                <w:szCs w:val="18"/>
              </w:rPr>
              <w:sym w:font="Wingdings 2" w:char="0052"/>
            </w:r>
            <w:r>
              <w:rPr>
                <w:rFonts w:hint="default" w:ascii="Times New Roman" w:hAnsi="Times New Roman" w:eastAsia="方正仿宋_GBK" w:cs="Times New Roman"/>
                <w:color w:val="000000"/>
                <w:kern w:val="0"/>
                <w:sz w:val="18"/>
                <w:szCs w:val="18"/>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72AFC4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color w:val="000000"/>
                <w:kern w:val="0"/>
                <w:sz w:val="18"/>
                <w:szCs w:val="18"/>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2718FAC">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color w:val="000000"/>
                <w:kern w:val="0"/>
                <w:sz w:val="18"/>
                <w:szCs w:val="18"/>
                <w:u w:val="none"/>
                <w:lang w:val="en-US" w:eastAsia="zh-CN" w:bidi="ar"/>
              </w:rPr>
              <w:t>因素法与项目法相结合</w:t>
            </w:r>
          </w:p>
        </w:tc>
      </w:tr>
      <w:tr w14:paraId="31956546">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6210C5">
            <w:pPr>
              <w:rPr>
                <w:rFonts w:hint="default" w:ascii="Times New Roman" w:hAnsi="Times New Roman" w:cs="Times New Roman"/>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51A0D6A">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99CA581">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color w:val="000000"/>
                <w:kern w:val="0"/>
                <w:sz w:val="18"/>
                <w:szCs w:val="18"/>
                <w:u w:val="none"/>
                <w:lang w:val="en-US" w:eastAsia="zh-CN" w:bidi="ar"/>
              </w:rPr>
              <w:t>《四川省民政厅 四川省财政厅关于做好2025年第一批民政领域转移支付项目申报工作的通知》</w:t>
            </w:r>
            <w:r>
              <w:rPr>
                <w:rFonts w:hint="default" w:ascii="Times New Roman" w:hAnsi="Times New Roman" w:eastAsia="方正仿宋_GBK" w:cs="Times New Roman"/>
                <w:color w:val="000000"/>
                <w:sz w:val="18"/>
                <w:szCs w:val="18"/>
                <w:u w:val="none"/>
                <w:lang w:bidi="ar-SA"/>
              </w:rPr>
              <w:t>（川民发</w:t>
            </w:r>
            <w:r>
              <w:rPr>
                <w:rFonts w:hint="default" w:ascii="Times New Roman" w:hAnsi="Times New Roman" w:eastAsia="方正仿宋_GBK" w:cs="Times New Roman"/>
                <w:kern w:val="2"/>
                <w:sz w:val="18"/>
                <w:szCs w:val="18"/>
                <w:lang w:bidi="ar-SA"/>
              </w:rPr>
              <w:t>〔</w:t>
            </w:r>
            <w:r>
              <w:rPr>
                <w:rFonts w:hint="default" w:ascii="Times New Roman" w:hAnsi="Times New Roman" w:eastAsia="方正仿宋_GBK" w:cs="Times New Roman"/>
                <w:spacing w:val="-17"/>
                <w:sz w:val="18"/>
                <w:szCs w:val="18"/>
              </w:rPr>
              <w:t>2025</w:t>
            </w:r>
            <w:r>
              <w:rPr>
                <w:rFonts w:hint="default" w:ascii="Times New Roman" w:hAnsi="Times New Roman" w:eastAsia="方正仿宋_GBK" w:cs="Times New Roman"/>
                <w:kern w:val="2"/>
                <w:sz w:val="18"/>
                <w:szCs w:val="18"/>
                <w:lang w:bidi="ar-SA"/>
              </w:rPr>
              <w:t>〕14号</w:t>
            </w:r>
            <w:r>
              <w:rPr>
                <w:rFonts w:hint="default" w:ascii="Times New Roman" w:hAnsi="Times New Roman" w:eastAsia="方正仿宋_GBK" w:cs="Times New Roman"/>
                <w:color w:val="000000"/>
                <w:sz w:val="18"/>
                <w:szCs w:val="18"/>
                <w:u w:val="none"/>
                <w:lang w:bidi="ar-SA"/>
              </w:rPr>
              <w:t>）</w:t>
            </w:r>
          </w:p>
        </w:tc>
      </w:tr>
      <w:tr w14:paraId="2849611B">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91F8F0">
            <w:pPr>
              <w:rPr>
                <w:rFonts w:hint="default" w:ascii="Times New Roman" w:hAnsi="Times New Roman" w:cs="Times New Roman"/>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F00EDF0">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808ED64">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snapToGrid w:val="0"/>
                <w:kern w:val="0"/>
                <w:sz w:val="18"/>
                <w:szCs w:val="18"/>
                <w:lang w:val="en-US" w:eastAsia="zh-CN" w:bidi="ar-SA"/>
              </w:rPr>
              <w:t>养老服务项目</w:t>
            </w:r>
          </w:p>
        </w:tc>
      </w:tr>
      <w:tr w14:paraId="07B01576">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FEE307">
            <w:pPr>
              <w:rPr>
                <w:rFonts w:hint="default" w:ascii="Times New Roman" w:hAnsi="Times New Roman" w:cs="Times New Roman"/>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BED556B">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AA32711">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方正仿宋_GBK" w:cs="Times New Roman"/>
                <w:color w:val="000000"/>
                <w:sz w:val="18"/>
                <w:szCs w:val="18"/>
                <w:u w:val="none"/>
                <w:lang w:val="en-US" w:eastAsia="en-US" w:bidi="ar-SA"/>
              </w:rPr>
            </w:pPr>
          </w:p>
        </w:tc>
      </w:tr>
      <w:tr w14:paraId="21FE436D">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8D88AF">
            <w:pPr>
              <w:rPr>
                <w:rFonts w:hint="default" w:ascii="Times New Roman" w:hAnsi="Times New Roman" w:cs="Times New Roman"/>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4997364C">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highlight w:val="none"/>
                <w:u w:val="none"/>
                <w:lang w:bidi="ar-SA"/>
              </w:rPr>
            </w:pPr>
            <w:r>
              <w:rPr>
                <w:rFonts w:hint="default" w:ascii="Times New Roman" w:hAnsi="Times New Roman" w:eastAsia="宋体" w:cs="Times New Roman"/>
                <w:color w:val="000000"/>
                <w:kern w:val="0"/>
                <w:sz w:val="24"/>
                <w:szCs w:val="24"/>
                <w:highlight w:val="none"/>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7524DF5">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2025年7月—2026年6月</w:t>
            </w:r>
          </w:p>
        </w:tc>
      </w:tr>
      <w:tr w14:paraId="3E0B728E">
        <w:tblPrEx>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26B727C">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项目资金</w:t>
            </w:r>
          </w:p>
          <w:p w14:paraId="04A3D2D1">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56E6B174">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08F0D84">
            <w:pPr>
              <w:keepNext w:val="0"/>
              <w:keepLines w:val="0"/>
              <w:pageBreakBefore w:val="0"/>
              <w:widowControl w:val="0"/>
              <w:kinsoku/>
              <w:wordWrap/>
              <w:overflowPunct/>
              <w:topLinePunct w:val="0"/>
              <w:autoSpaceDE/>
              <w:autoSpaceDN/>
              <w:bidi w:val="0"/>
              <w:adjustRightInd/>
              <w:snapToGrid/>
              <w:spacing w:line="300" w:lineRule="exact"/>
              <w:ind w:left="0"/>
              <w:jc w:val="right"/>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1000</w:t>
            </w:r>
          </w:p>
        </w:tc>
      </w:tr>
      <w:tr w14:paraId="759AE26E">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14A4DC">
            <w:pPr>
              <w:rPr>
                <w:rFonts w:hint="default" w:ascii="Times New Roman" w:hAnsi="Times New Roman" w:cs="Times New Roman"/>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429DC344">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9054484">
            <w:pPr>
              <w:keepNext w:val="0"/>
              <w:keepLines w:val="0"/>
              <w:pageBreakBefore w:val="0"/>
              <w:widowControl w:val="0"/>
              <w:kinsoku/>
              <w:wordWrap/>
              <w:overflowPunct/>
              <w:topLinePunct w:val="0"/>
              <w:autoSpaceDE/>
              <w:autoSpaceDN/>
              <w:bidi w:val="0"/>
              <w:adjustRightInd/>
              <w:snapToGrid/>
              <w:spacing w:line="300" w:lineRule="exact"/>
              <w:ind w:left="0"/>
              <w:jc w:val="right"/>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1000</w:t>
            </w:r>
          </w:p>
        </w:tc>
      </w:tr>
      <w:tr w14:paraId="76B8ED25">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B086BC">
            <w:pPr>
              <w:rPr>
                <w:rFonts w:hint="default" w:ascii="Times New Roman" w:hAnsi="Times New Roman" w:cs="Times New Roman"/>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1FF315BF">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06F2024">
            <w:pPr>
              <w:keepNext w:val="0"/>
              <w:keepLines w:val="0"/>
              <w:pageBreakBefore w:val="0"/>
              <w:widowControl w:val="0"/>
              <w:kinsoku/>
              <w:wordWrap/>
              <w:overflowPunct/>
              <w:topLinePunct w:val="0"/>
              <w:autoSpaceDE/>
              <w:autoSpaceDN/>
              <w:bidi w:val="0"/>
              <w:adjustRightInd/>
              <w:snapToGrid/>
              <w:spacing w:line="300" w:lineRule="exact"/>
              <w:ind w:left="0"/>
              <w:jc w:val="right"/>
              <w:rPr>
                <w:rFonts w:hint="eastAsia" w:ascii="方正仿宋_GBK" w:hAnsi="方正仿宋_GBK" w:eastAsia="方正仿宋_GBK" w:cs="方正仿宋_GBK"/>
                <w:color w:val="000000"/>
                <w:sz w:val="18"/>
                <w:szCs w:val="18"/>
                <w:u w:val="none"/>
                <w:lang w:val="en-US" w:eastAsia="zh-CN" w:bidi="ar-SA"/>
              </w:rPr>
            </w:pPr>
          </w:p>
        </w:tc>
      </w:tr>
      <w:tr w14:paraId="07910298">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D804AE5">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2BD6FEDE">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年度目标</w:t>
            </w:r>
          </w:p>
        </w:tc>
      </w:tr>
      <w:tr w14:paraId="4DB9374B">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179FFC">
            <w:pPr>
              <w:rPr>
                <w:rFonts w:hint="default" w:ascii="Times New Roman" w:hAnsi="Times New Roman" w:cs="Times New Roman"/>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5CCDA1F3">
            <w:pPr>
              <w:keepNext w:val="0"/>
              <w:keepLines w:val="0"/>
              <w:pageBreakBefore w:val="0"/>
              <w:widowControl w:val="0"/>
              <w:kinsoku/>
              <w:wordWrap/>
              <w:overflowPunct/>
              <w:topLinePunct w:val="0"/>
              <w:autoSpaceDE/>
              <w:autoSpaceDN/>
              <w:bidi w:val="0"/>
              <w:adjustRightInd/>
              <w:snapToGrid/>
              <w:spacing w:line="300" w:lineRule="exact"/>
              <w:rPr>
                <w:rFonts w:hint="default" w:ascii="Times New Roman" w:hAnsi="Times New Roman" w:eastAsia="方正仿宋_GBK" w:cs="Times New Roman"/>
                <w:color w:val="000000"/>
                <w:sz w:val="24"/>
                <w:szCs w:val="24"/>
                <w:u w:val="none"/>
                <w:lang w:eastAsia="zh-CN" w:bidi="ar-SA"/>
              </w:rPr>
            </w:pPr>
            <w:r>
              <w:rPr>
                <w:rFonts w:hint="default" w:ascii="Times New Roman" w:hAnsi="Times New Roman" w:eastAsia="方正仿宋_GBK" w:cs="Times New Roman"/>
                <w:color w:val="000000"/>
                <w:kern w:val="0"/>
                <w:sz w:val="18"/>
                <w:szCs w:val="18"/>
                <w:u w:val="none"/>
                <w:lang w:val="en-US" w:eastAsia="zh-CN" w:bidi="ar"/>
              </w:rPr>
              <w:t>积极支持构建以居家为基础、社区为依托、机构为补充、医养结合的社会养老服务体系，增加有效服务供给，提升养老服务质量，不断满足人民群众日益增长的养老服务需求。</w:t>
            </w:r>
          </w:p>
        </w:tc>
      </w:tr>
      <w:tr w14:paraId="7C79519B">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nil"/>
            </w:tcBorders>
            <w:noWrap w:val="0"/>
            <w:vAlign w:val="center"/>
          </w:tcPr>
          <w:p w14:paraId="624BD32B">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05E0296A">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6FA7A30E">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4A86CC85">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B35BC9B">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3CFC058">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1C80C1F">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82C078D">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F43EF03">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实际完成指标值</w:t>
            </w:r>
          </w:p>
        </w:tc>
      </w:tr>
      <w:tr w14:paraId="583068C4">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4287CB5A">
            <w:pPr>
              <w:rPr>
                <w:rFonts w:hint="default" w:ascii="Times New Roman" w:hAnsi="Times New Roman" w:cs="Times New Roman"/>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16CAA900">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4B90CA4C">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737F64E">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方正仿宋_GBK" w:cs="Times New Roman"/>
                <w:color w:val="000000"/>
                <w:sz w:val="18"/>
                <w:szCs w:val="18"/>
                <w:lang w:eastAsia="zh-CN" w:bidi="ar-SA"/>
              </w:rPr>
            </w:pPr>
            <w:r>
              <w:rPr>
                <w:rFonts w:hint="default" w:ascii="Times New Roman" w:hAnsi="Times New Roman" w:eastAsia="方正仿宋_GBK" w:cs="Times New Roman"/>
                <w:color w:val="000000"/>
                <w:sz w:val="18"/>
                <w:szCs w:val="18"/>
                <w:lang w:eastAsia="zh-CN" w:bidi="ar-SA"/>
              </w:rPr>
              <w:t>新增社区养老服务综合体</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160FCEC">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color w:val="000000"/>
                <w:sz w:val="18"/>
                <w:szCs w:val="18"/>
                <w:lang w:eastAsia="zh-CN" w:bidi="ar-SA"/>
              </w:rPr>
              <w:t>定量</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4A77591">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u w:val="none"/>
                <w:lang w:val="en-US" w:eastAsia="zh-CN" w:bidi="ar-SA"/>
              </w:rPr>
            </w:pPr>
            <w:r>
              <w:rPr>
                <w:rFonts w:hint="default" w:ascii="Times New Roman" w:hAnsi="Times New Roman" w:eastAsia="方正仿宋_GBK" w:cs="Times New Roman"/>
                <w:color w:val="000000"/>
                <w:sz w:val="18"/>
                <w:szCs w:val="18"/>
                <w:u w:val="none"/>
                <w:lang w:bidi="ar-SA"/>
              </w:rPr>
              <w:t>≥5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69476C8">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u w:val="none"/>
                <w:lang w:val="en-US" w:eastAsia="zh-CN" w:bidi="ar-SA"/>
              </w:rPr>
            </w:pPr>
            <w:r>
              <w:rPr>
                <w:rFonts w:hint="default" w:ascii="Times New Roman" w:hAnsi="Times New Roman" w:eastAsia="方正仿宋_GBK" w:cs="Times New Roman"/>
                <w:color w:val="000000"/>
                <w:sz w:val="18"/>
                <w:szCs w:val="18"/>
                <w:u w:val="none"/>
                <w:lang w:val="en-US" w:eastAsia="zh-CN" w:bidi="ar-SA"/>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6908BE6">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u w:val="none"/>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C19EAE5">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5个</w:t>
            </w:r>
          </w:p>
        </w:tc>
      </w:tr>
      <w:tr w14:paraId="6E40CB07">
        <w:tblPrEx>
          <w:tblCellMar>
            <w:top w:w="15" w:type="dxa"/>
            <w:left w:w="15" w:type="dxa"/>
            <w:bottom w:w="15" w:type="dxa"/>
            <w:right w:w="15" w:type="dxa"/>
          </w:tblCellMar>
        </w:tblPrEx>
        <w:trPr>
          <w:trHeight w:val="668"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2844F8A7">
            <w:pPr>
              <w:rPr>
                <w:rFonts w:hint="default" w:ascii="Times New Roman" w:hAnsi="Times New Roman" w:cs="Times New Roman"/>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2D7DDE">
            <w:pPr>
              <w:rPr>
                <w:rFonts w:hint="default" w:ascii="Times New Roman" w:hAnsi="Times New Roman" w:cs="Times New Roman"/>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0785B898">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07FCA75B">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方正仿宋_GBK" w:cs="Times New Roman"/>
                <w:color w:val="000000"/>
                <w:sz w:val="18"/>
                <w:szCs w:val="18"/>
                <w:lang w:val="en-US" w:eastAsia="zh-CN" w:bidi="ar-SA"/>
              </w:rPr>
            </w:pPr>
            <w:r>
              <w:rPr>
                <w:rFonts w:hint="default" w:ascii="Times New Roman" w:hAnsi="Times New Roman" w:eastAsia="方正仿宋_GBK" w:cs="Times New Roman"/>
                <w:color w:val="000000"/>
                <w:sz w:val="18"/>
                <w:szCs w:val="18"/>
                <w:lang w:eastAsia="zh-CN" w:bidi="ar-SA"/>
              </w:rPr>
              <w:t>项目验收合格率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BB08360">
            <w:pPr>
              <w:spacing w:line="300" w:lineRule="exact"/>
              <w:jc w:val="center"/>
              <w:rPr>
                <w:rFonts w:hint="default" w:ascii="Times New Roman" w:hAnsi="Times New Roman" w:eastAsia="方正仿宋_GBK" w:cs="Times New Roman"/>
                <w:color w:val="000000"/>
                <w:kern w:val="2"/>
                <w:sz w:val="18"/>
                <w:szCs w:val="18"/>
                <w:lang w:val="en-US" w:eastAsia="zh-CN" w:bidi="ar-SA"/>
              </w:rPr>
            </w:pPr>
            <w:r>
              <w:rPr>
                <w:rFonts w:hint="default" w:ascii="Times New Roman" w:hAnsi="Times New Roman" w:eastAsia="方正仿宋_GBK" w:cs="Times New Roman"/>
                <w:color w:val="000000"/>
                <w:sz w:val="18"/>
                <w:szCs w:val="18"/>
                <w:lang w:eastAsia="zh-CN" w:bidi="ar-SA"/>
              </w:rPr>
              <w:t>定量</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64FBB16">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u w:val="none"/>
                <w:lang w:val="en-US" w:eastAsia="zh-CN" w:bidi="ar-SA"/>
              </w:rPr>
            </w:pPr>
            <w:r>
              <w:rPr>
                <w:rFonts w:hint="default" w:ascii="Times New Roman" w:hAnsi="Times New Roman" w:eastAsia="方正仿宋_GBK" w:cs="Times New Roman"/>
                <w:color w:val="000000"/>
                <w:sz w:val="18"/>
                <w:szCs w:val="18"/>
                <w:u w:val="none"/>
                <w:lang w:val="en-US" w:eastAsia="zh-CN" w:bidi="ar-SA"/>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16098D4">
            <w:pPr>
              <w:spacing w:line="300" w:lineRule="exact"/>
              <w:jc w:val="center"/>
              <w:rPr>
                <w:rFonts w:hint="default" w:ascii="Times New Roman" w:hAnsi="Times New Roman" w:eastAsia="方正仿宋_GBK" w:cs="Times New Roman"/>
                <w:color w:val="000000"/>
                <w:kern w:val="2"/>
                <w:sz w:val="18"/>
                <w:szCs w:val="18"/>
                <w:lang w:val="en-US" w:eastAsia="zh-CN" w:bidi="ar-SA"/>
              </w:rPr>
            </w:pPr>
            <w:r>
              <w:rPr>
                <w:rFonts w:hint="default" w:ascii="Times New Roman" w:hAnsi="Times New Roman" w:eastAsia="方正仿宋_GBK" w:cs="Times New Roman"/>
                <w:color w:val="000000"/>
                <w:sz w:val="18"/>
                <w:szCs w:val="18"/>
                <w:lang w:val="en-US" w:eastAsia="zh-CN" w:bidi="ar-SA"/>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568858F">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u w:val="none"/>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A7B559E">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目前项目正在施工中</w:t>
            </w:r>
          </w:p>
        </w:tc>
      </w:tr>
      <w:tr w14:paraId="6DD80A5A">
        <w:tblPrEx>
          <w:tblCellMar>
            <w:top w:w="15" w:type="dxa"/>
            <w:left w:w="15" w:type="dxa"/>
            <w:bottom w:w="15" w:type="dxa"/>
            <w:right w:w="15" w:type="dxa"/>
          </w:tblCellMar>
        </w:tblPrEx>
        <w:trPr>
          <w:trHeight w:val="665"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6AD4E0E0">
            <w:pPr>
              <w:rPr>
                <w:rFonts w:hint="default" w:ascii="Times New Roman" w:hAnsi="Times New Roman" w:cs="Times New Roman"/>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CE1DCE">
            <w:pPr>
              <w:rPr>
                <w:rFonts w:hint="default" w:ascii="Times New Roman" w:hAnsi="Times New Roman" w:cs="Times New Roman"/>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01D96EDA">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DB81EE5">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方正仿宋_GBK" w:cs="Times New Roman"/>
                <w:color w:val="000000"/>
                <w:sz w:val="18"/>
                <w:szCs w:val="18"/>
                <w:lang w:val="en-US" w:eastAsia="zh-CN" w:bidi="ar-SA"/>
              </w:rPr>
            </w:pPr>
            <w:r>
              <w:rPr>
                <w:rFonts w:hint="default" w:ascii="Times New Roman" w:hAnsi="Times New Roman" w:eastAsia="方正仿宋_GBK" w:cs="Times New Roman"/>
                <w:color w:val="000000"/>
                <w:sz w:val="18"/>
                <w:szCs w:val="18"/>
                <w:lang w:eastAsia="zh-CN" w:bidi="ar-SA"/>
              </w:rPr>
              <w:t>经费保障时间</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391F47E">
            <w:pPr>
              <w:spacing w:line="300" w:lineRule="exact"/>
              <w:jc w:val="center"/>
              <w:rPr>
                <w:rFonts w:hint="default" w:ascii="Times New Roman" w:hAnsi="Times New Roman" w:eastAsia="方正仿宋_GBK" w:cs="Times New Roman"/>
                <w:color w:val="000000"/>
                <w:kern w:val="2"/>
                <w:sz w:val="18"/>
                <w:szCs w:val="18"/>
                <w:lang w:val="en-US" w:eastAsia="zh-CN" w:bidi="ar-SA"/>
              </w:rPr>
            </w:pPr>
            <w:r>
              <w:rPr>
                <w:rFonts w:hint="default" w:ascii="Times New Roman" w:hAnsi="Times New Roman" w:eastAsia="方正仿宋_GBK" w:cs="Times New Roman"/>
                <w:color w:val="000000"/>
                <w:sz w:val="18"/>
                <w:szCs w:val="18"/>
                <w:lang w:eastAsia="zh-CN" w:bidi="ar-SA"/>
              </w:rPr>
              <w:t>定量</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7BA5EE9">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u w:val="none"/>
                <w:lang w:val="en-US" w:eastAsia="zh-CN" w:bidi="ar-SA"/>
              </w:rPr>
            </w:pPr>
            <w:r>
              <w:rPr>
                <w:rFonts w:hint="default" w:ascii="Times New Roman" w:hAnsi="Times New Roman" w:eastAsia="方正仿宋_GBK" w:cs="Times New Roman"/>
                <w:color w:val="000000"/>
                <w:sz w:val="18"/>
                <w:szCs w:val="18"/>
                <w:u w:val="none"/>
                <w:lang w:val="en-US" w:eastAsia="zh-CN" w:bidi="ar-SA"/>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3D7288E">
            <w:pPr>
              <w:spacing w:line="300" w:lineRule="exact"/>
              <w:jc w:val="center"/>
              <w:rPr>
                <w:rFonts w:hint="default" w:ascii="Times New Roman" w:hAnsi="Times New Roman" w:eastAsia="方正仿宋_GBK" w:cs="Times New Roman"/>
                <w:color w:val="000000"/>
                <w:kern w:val="2"/>
                <w:sz w:val="18"/>
                <w:szCs w:val="18"/>
                <w:lang w:val="en-US" w:eastAsia="zh-CN" w:bidi="ar-SA"/>
              </w:rPr>
            </w:pPr>
            <w:r>
              <w:rPr>
                <w:rFonts w:hint="default" w:ascii="Times New Roman" w:hAnsi="Times New Roman" w:eastAsia="方正仿宋_GBK" w:cs="Times New Roman"/>
                <w:color w:val="000000"/>
                <w:sz w:val="18"/>
                <w:szCs w:val="18"/>
                <w:lang w:val="en-US" w:eastAsia="zh-CN" w:bidi="ar-SA"/>
              </w:rPr>
              <w:t>年</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F781693">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u w:val="none"/>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F82DEB9">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1年</w:t>
            </w:r>
          </w:p>
        </w:tc>
      </w:tr>
      <w:tr w14:paraId="7C975285">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515AECC5">
            <w:pPr>
              <w:rPr>
                <w:rFonts w:hint="default" w:ascii="Times New Roman" w:hAnsi="Times New Roman" w:cs="Times New Roman"/>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1A3A52F9">
            <w:pPr>
              <w:keepNext w:val="0"/>
              <w:keepLines w:val="0"/>
              <w:pageBreakBefore w:val="0"/>
              <w:widowControl/>
              <w:suppressLineNumbers w:val="0"/>
              <w:kinsoku/>
              <w:wordWrap/>
              <w:overflowPunct/>
              <w:topLinePunct w:val="0"/>
              <w:autoSpaceDE/>
              <w:autoSpaceDN/>
              <w:adjustRightInd/>
              <w:snapToGrid/>
              <w:spacing w:line="300" w:lineRule="exact"/>
              <w:ind w:left="0"/>
              <w:textAlignment w:val="center"/>
              <w:rPr>
                <w:rFonts w:hint="default" w:ascii="Times New Roman" w:hAnsi="Times New Roman" w:eastAsia="宋体" w:cs="Times New Roman"/>
                <w:color w:val="000000"/>
                <w:kern w:val="0"/>
                <w:sz w:val="24"/>
                <w:szCs w:val="24"/>
                <w:lang w:bidi="ar"/>
              </w:rPr>
            </w:pPr>
            <w:r>
              <w:rPr>
                <w:rFonts w:hint="default" w:ascii="Times New Roman" w:hAnsi="Times New Roman" w:eastAsia="宋体" w:cs="Times New Roman"/>
                <w:color w:val="000000"/>
                <w:kern w:val="0"/>
                <w:sz w:val="24"/>
                <w:szCs w:val="24"/>
                <w:u w:val="none"/>
                <w:lang w:val="en-US" w:eastAsia="zh-CN" w:bidi="ar"/>
              </w:rPr>
              <w:t>效益指标</w:t>
            </w:r>
          </w:p>
        </w:tc>
        <w:tc>
          <w:tcPr>
            <w:tcW w:w="1250" w:type="dxa"/>
            <w:vMerge w:val="restart"/>
            <w:tcBorders>
              <w:top w:val="single" w:color="000000" w:sz="4" w:space="0"/>
              <w:left w:val="single" w:color="000000" w:sz="4" w:space="0"/>
              <w:bottom w:val="nil"/>
              <w:right w:val="single" w:color="000000" w:sz="4" w:space="0"/>
            </w:tcBorders>
            <w:noWrap w:val="0"/>
            <w:vAlign w:val="center"/>
          </w:tcPr>
          <w:p w14:paraId="08EE2767">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社会效益</w:t>
            </w:r>
          </w:p>
          <w:p w14:paraId="4BBA9DFA">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78B24E0">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方正仿宋_GBK" w:cs="Times New Roman"/>
                <w:color w:val="000000"/>
                <w:sz w:val="18"/>
                <w:szCs w:val="18"/>
                <w:lang w:val="en-US" w:eastAsia="zh-CN" w:bidi="ar-SA"/>
              </w:rPr>
            </w:pPr>
            <w:r>
              <w:rPr>
                <w:rFonts w:hint="default" w:ascii="Times New Roman" w:hAnsi="Times New Roman" w:eastAsia="方正仿宋_GBK" w:cs="Times New Roman"/>
                <w:color w:val="000000"/>
                <w:sz w:val="18"/>
                <w:szCs w:val="18"/>
                <w:lang w:eastAsia="zh-CN" w:bidi="ar-SA"/>
              </w:rPr>
              <w:t>老年人日益增加的养老服务需求</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230AC78">
            <w:pPr>
              <w:spacing w:line="300" w:lineRule="exact"/>
              <w:jc w:val="center"/>
              <w:rPr>
                <w:rFonts w:hint="default" w:ascii="Times New Roman" w:hAnsi="Times New Roman" w:eastAsia="方正仿宋_GBK" w:cs="Times New Roman"/>
                <w:color w:val="000000"/>
                <w:kern w:val="2"/>
                <w:sz w:val="18"/>
                <w:szCs w:val="18"/>
                <w:lang w:val="en-US" w:eastAsia="zh-CN" w:bidi="ar-SA"/>
              </w:rPr>
            </w:pPr>
            <w:r>
              <w:rPr>
                <w:rFonts w:hint="default" w:ascii="Times New Roman" w:hAnsi="Times New Roman" w:eastAsia="方正仿宋_GBK" w:cs="Times New Roman"/>
                <w:color w:val="000000"/>
                <w:sz w:val="18"/>
                <w:szCs w:val="18"/>
                <w:lang w:eastAsia="zh-CN" w:bidi="ar-SA"/>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722F855">
            <w:pPr>
              <w:spacing w:line="300" w:lineRule="exact"/>
              <w:jc w:val="center"/>
              <w:rPr>
                <w:rFonts w:hint="default" w:ascii="Times New Roman" w:hAnsi="Times New Roman" w:eastAsia="方正仿宋_GBK" w:cs="Times New Roman"/>
                <w:color w:val="000000"/>
                <w:kern w:val="2"/>
                <w:sz w:val="18"/>
                <w:szCs w:val="18"/>
                <w:lang w:val="en-US" w:eastAsia="zh-CN" w:bidi="ar-SA"/>
              </w:rPr>
            </w:pPr>
            <w:r>
              <w:rPr>
                <w:rFonts w:hint="default" w:ascii="Times New Roman" w:hAnsi="Times New Roman" w:eastAsia="方正仿宋_GBK" w:cs="Times New Roman"/>
                <w:color w:val="000000"/>
                <w:kern w:val="2"/>
                <w:sz w:val="18"/>
                <w:szCs w:val="18"/>
                <w:lang w:val="en-US" w:eastAsia="zh-CN" w:bidi="ar-SA"/>
              </w:rPr>
              <w:t>不断满足</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9953330">
            <w:pPr>
              <w:spacing w:line="300" w:lineRule="exact"/>
              <w:jc w:val="center"/>
              <w:rPr>
                <w:rFonts w:hint="default" w:ascii="Times New Roman" w:hAnsi="Times New Roman" w:eastAsia="方正仿宋_GBK" w:cs="Times New Roman"/>
                <w:color w:val="000000"/>
                <w:kern w:val="2"/>
                <w:sz w:val="18"/>
                <w:szCs w:val="18"/>
                <w:lang w:val="en-US" w:eastAsia="zh-CN" w:bidi="ar-SA"/>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0F5847B">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u w:val="none"/>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9E3C390">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不断满足</w:t>
            </w:r>
          </w:p>
        </w:tc>
      </w:tr>
      <w:tr w14:paraId="45630831">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7C7573FA">
            <w:pPr>
              <w:rPr>
                <w:rFonts w:hint="default" w:ascii="Times New Roman" w:hAnsi="Times New Roman" w:cs="Times New Roman"/>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10505C">
            <w:pPr>
              <w:rPr>
                <w:rFonts w:hint="default" w:ascii="Times New Roman" w:hAnsi="Times New Roman" w:cs="Times New Roman"/>
              </w:rPr>
            </w:pPr>
          </w:p>
        </w:tc>
        <w:tc>
          <w:tcPr>
            <w:tcW w:w="1250" w:type="dxa"/>
            <w:vMerge w:val="continue"/>
            <w:tcBorders>
              <w:top w:val="single" w:color="000000" w:sz="4" w:space="0"/>
              <w:left w:val="single" w:color="000000" w:sz="4" w:space="0"/>
              <w:bottom w:val="nil"/>
              <w:right w:val="single" w:color="000000" w:sz="4" w:space="0"/>
            </w:tcBorders>
            <w:noWrap w:val="0"/>
            <w:vAlign w:val="center"/>
          </w:tcPr>
          <w:p w14:paraId="2648298A">
            <w:pPr>
              <w:rPr>
                <w:rFonts w:hint="default" w:ascii="Times New Roman" w:hAnsi="Times New Roman" w:cs="Times New Roman"/>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6D01EEF">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方正仿宋_GBK" w:cs="Times New Roman"/>
                <w:color w:val="000000"/>
                <w:sz w:val="18"/>
                <w:szCs w:val="18"/>
                <w:lang w:val="en-US" w:eastAsia="zh-CN" w:bidi="ar-SA"/>
              </w:rPr>
            </w:pPr>
            <w:r>
              <w:rPr>
                <w:rFonts w:hint="default" w:ascii="Times New Roman" w:hAnsi="Times New Roman" w:eastAsia="方正仿宋_GBK" w:cs="Times New Roman"/>
                <w:color w:val="000000"/>
                <w:sz w:val="18"/>
                <w:szCs w:val="18"/>
                <w:lang w:eastAsia="zh-CN" w:bidi="ar-SA"/>
              </w:rPr>
              <w:t>养老服务体系建设</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D9E3AB1">
            <w:pPr>
              <w:spacing w:line="300" w:lineRule="exact"/>
              <w:jc w:val="center"/>
              <w:rPr>
                <w:rFonts w:hint="default" w:ascii="Times New Roman" w:hAnsi="Times New Roman" w:eastAsia="方正仿宋_GBK" w:cs="Times New Roman"/>
                <w:color w:val="000000"/>
                <w:kern w:val="2"/>
                <w:sz w:val="18"/>
                <w:szCs w:val="18"/>
                <w:lang w:val="en-US" w:eastAsia="zh-CN" w:bidi="ar-SA"/>
              </w:rPr>
            </w:pPr>
            <w:r>
              <w:rPr>
                <w:rFonts w:hint="default" w:ascii="Times New Roman" w:hAnsi="Times New Roman" w:eastAsia="方正仿宋_GBK" w:cs="Times New Roman"/>
                <w:color w:val="000000"/>
                <w:sz w:val="18"/>
                <w:szCs w:val="18"/>
                <w:lang w:eastAsia="zh-CN" w:bidi="ar-SA"/>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580C8CF">
            <w:pPr>
              <w:spacing w:line="300" w:lineRule="exact"/>
              <w:rPr>
                <w:rFonts w:hint="default" w:ascii="Times New Roman" w:hAnsi="Times New Roman" w:eastAsia="方正仿宋_GBK" w:cs="Times New Roman"/>
                <w:color w:val="000000"/>
                <w:kern w:val="2"/>
                <w:sz w:val="18"/>
                <w:szCs w:val="18"/>
                <w:lang w:val="en-US" w:eastAsia="zh-CN" w:bidi="ar-SA"/>
              </w:rPr>
            </w:pPr>
            <w:r>
              <w:rPr>
                <w:rFonts w:hint="default" w:ascii="Times New Roman" w:hAnsi="Times New Roman" w:eastAsia="方正仿宋_GBK" w:cs="Times New Roman"/>
                <w:color w:val="000000"/>
                <w:sz w:val="18"/>
                <w:szCs w:val="18"/>
                <w:lang w:eastAsia="zh-CN" w:bidi="ar-SA"/>
              </w:rPr>
              <w:t>不断完善</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D7BE9B2">
            <w:pPr>
              <w:spacing w:line="300" w:lineRule="exact"/>
              <w:jc w:val="center"/>
              <w:rPr>
                <w:rFonts w:hint="default" w:ascii="Times New Roman" w:hAnsi="Times New Roman" w:eastAsia="方正仿宋_GBK" w:cs="Times New Roman"/>
                <w:color w:val="000000"/>
                <w:kern w:val="2"/>
                <w:sz w:val="18"/>
                <w:szCs w:val="18"/>
                <w:lang w:val="en-US" w:eastAsia="zh-CN" w:bidi="ar-SA"/>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023DA0F">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u w:val="none"/>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03E12BA">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不断完善</w:t>
            </w:r>
          </w:p>
        </w:tc>
      </w:tr>
      <w:tr w14:paraId="3F3B9FAC">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4161A6D0">
            <w:pPr>
              <w:rPr>
                <w:rFonts w:hint="default" w:ascii="Times New Roman" w:hAnsi="Times New Roman" w:cs="Times New Roman"/>
              </w:rPr>
            </w:pPr>
          </w:p>
        </w:tc>
        <w:tc>
          <w:tcPr>
            <w:tcW w:w="1081" w:type="dxa"/>
            <w:tcBorders>
              <w:top w:val="single" w:color="000000" w:sz="4" w:space="0"/>
              <w:left w:val="single" w:color="000000" w:sz="4" w:space="0"/>
              <w:bottom w:val="nil"/>
              <w:right w:val="single" w:color="000000" w:sz="4" w:space="0"/>
            </w:tcBorders>
            <w:noWrap w:val="0"/>
            <w:vAlign w:val="center"/>
          </w:tcPr>
          <w:p w14:paraId="62AA693A">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满意度</w:t>
            </w:r>
          </w:p>
          <w:p w14:paraId="4152D077">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lang w:bidi="ar-SA"/>
              </w:rPr>
            </w:pPr>
            <w:r>
              <w:rPr>
                <w:rFonts w:hint="default" w:ascii="Times New Roman" w:hAnsi="Times New Roman" w:eastAsia="宋体" w:cs="Times New Roman"/>
                <w:color w:val="000000"/>
                <w:kern w:val="0"/>
                <w:sz w:val="24"/>
                <w:szCs w:val="24"/>
                <w:lang w:val="en-US" w:eastAsia="zh-CN" w:bidi="ar"/>
              </w:rPr>
              <w:t>指标</w:t>
            </w:r>
          </w:p>
        </w:tc>
        <w:tc>
          <w:tcPr>
            <w:tcW w:w="1250" w:type="dxa"/>
            <w:tcBorders>
              <w:top w:val="single" w:color="000000" w:sz="4" w:space="0"/>
              <w:left w:val="single" w:color="000000" w:sz="4" w:space="0"/>
              <w:bottom w:val="nil"/>
              <w:right w:val="single" w:color="000000" w:sz="4" w:space="0"/>
            </w:tcBorders>
            <w:noWrap w:val="0"/>
            <w:vAlign w:val="center"/>
          </w:tcPr>
          <w:p w14:paraId="19342C85">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服务对象</w:t>
            </w:r>
          </w:p>
          <w:p w14:paraId="237CB470">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lang w:bidi="ar-SA"/>
              </w:rPr>
            </w:pPr>
            <w:r>
              <w:rPr>
                <w:rFonts w:hint="default" w:ascii="Times New Roman" w:hAnsi="Times New Roman" w:eastAsia="宋体" w:cs="Times New Roman"/>
                <w:color w:val="000000"/>
                <w:kern w:val="0"/>
                <w:sz w:val="24"/>
                <w:szCs w:val="24"/>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45775E17">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方正仿宋_GBK" w:cs="Times New Roman"/>
                <w:color w:val="000000"/>
                <w:sz w:val="18"/>
                <w:szCs w:val="18"/>
                <w:lang w:val="en-US" w:eastAsia="zh-CN" w:bidi="ar-SA"/>
              </w:rPr>
            </w:pPr>
            <w:r>
              <w:rPr>
                <w:rFonts w:hint="default" w:ascii="Times New Roman" w:hAnsi="Times New Roman" w:eastAsia="方正仿宋_GBK" w:cs="Times New Roman"/>
                <w:color w:val="000000"/>
                <w:sz w:val="18"/>
                <w:szCs w:val="18"/>
                <w:lang w:eastAsia="zh-CN" w:bidi="ar-SA"/>
              </w:rPr>
              <w:t>受益老年人对养老服务质量满意度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D05A9FD">
            <w:pPr>
              <w:spacing w:line="300" w:lineRule="exact"/>
              <w:jc w:val="center"/>
              <w:rPr>
                <w:rFonts w:hint="default" w:ascii="Times New Roman" w:hAnsi="Times New Roman" w:eastAsia="方正仿宋_GBK" w:cs="Times New Roman"/>
                <w:color w:val="000000"/>
                <w:kern w:val="2"/>
                <w:sz w:val="18"/>
                <w:szCs w:val="18"/>
                <w:lang w:val="en-US" w:eastAsia="zh-CN" w:bidi="ar-SA"/>
              </w:rPr>
            </w:pPr>
            <w:r>
              <w:rPr>
                <w:rFonts w:hint="default" w:ascii="Times New Roman" w:hAnsi="Times New Roman" w:eastAsia="方正仿宋_GBK" w:cs="Times New Roman"/>
                <w:color w:val="000000"/>
                <w:sz w:val="18"/>
                <w:szCs w:val="18"/>
                <w:lang w:eastAsia="zh-CN" w:bidi="ar-SA"/>
              </w:rPr>
              <w:t>定量</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9FB628D">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u w:val="none"/>
                <w:lang w:val="en-US" w:eastAsia="zh-CN" w:bidi="ar-SA"/>
              </w:rPr>
            </w:pPr>
            <w:r>
              <w:rPr>
                <w:rFonts w:hint="default" w:ascii="Times New Roman" w:hAnsi="Times New Roman" w:eastAsia="方正仿宋_GBK" w:cs="Times New Roman"/>
                <w:color w:val="000000"/>
                <w:sz w:val="18"/>
                <w:szCs w:val="18"/>
                <w:u w:val="none"/>
                <w:lang w:bidi="ar-SA"/>
              </w:rPr>
              <w:t>≥</w:t>
            </w:r>
            <w:r>
              <w:rPr>
                <w:rFonts w:hint="default" w:ascii="Times New Roman" w:hAnsi="Times New Roman" w:eastAsia="方正仿宋_GBK" w:cs="Times New Roman"/>
                <w:color w:val="000000"/>
                <w:sz w:val="18"/>
                <w:szCs w:val="18"/>
                <w:u w:val="none"/>
                <w:lang w:val="en-US" w:eastAsia="zh-CN" w:bidi="ar-SA"/>
              </w:rPr>
              <w:t>90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CE45CD5">
            <w:pPr>
              <w:spacing w:line="300" w:lineRule="exact"/>
              <w:jc w:val="center"/>
              <w:rPr>
                <w:rFonts w:hint="default" w:ascii="Times New Roman" w:hAnsi="Times New Roman" w:eastAsia="方正仿宋_GBK" w:cs="Times New Roman"/>
                <w:color w:val="000000"/>
                <w:kern w:val="2"/>
                <w:sz w:val="18"/>
                <w:szCs w:val="18"/>
                <w:lang w:val="en-US" w:eastAsia="zh-CN" w:bidi="ar-SA"/>
              </w:rPr>
            </w:pPr>
            <w:r>
              <w:rPr>
                <w:rFonts w:hint="default" w:ascii="Times New Roman" w:hAnsi="Times New Roman" w:eastAsia="方正仿宋_GBK" w:cs="Times New Roman"/>
                <w:color w:val="000000"/>
                <w:sz w:val="18"/>
                <w:szCs w:val="18"/>
                <w:lang w:val="en-US" w:eastAsia="zh-CN" w:bidi="ar-SA"/>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4CA4AE1">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u w:val="none"/>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21AA244">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90%</w:t>
            </w:r>
          </w:p>
        </w:tc>
      </w:tr>
    </w:tbl>
    <w:p w14:paraId="116322DE">
      <w:pPr>
        <w:pStyle w:val="7"/>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bidi="ar-SA"/>
        </w:rPr>
      </w:pPr>
    </w:p>
    <w:p w14:paraId="4BA8D42C">
      <w:pPr>
        <w:rPr>
          <w:rFonts w:hint="default" w:ascii="Times New Roman" w:hAnsi="Times New Roman" w:eastAsia="黑体" w:cs="Times New Roman"/>
          <w:sz w:val="24"/>
        </w:rPr>
      </w:pPr>
    </w:p>
    <w:p w14:paraId="2EAAFFF2">
      <w:pPr>
        <w:rPr>
          <w:rFonts w:hint="default" w:ascii="Times New Roman" w:hAnsi="Times New Roman" w:eastAsia="黑体" w:cs="Times New Roman"/>
          <w:sz w:val="24"/>
        </w:rPr>
      </w:pPr>
    </w:p>
    <w:p w14:paraId="41AD9484">
      <w:pPr>
        <w:keepNext w:val="0"/>
        <w:keepLines w:val="0"/>
        <w:pageBreakBefore w:val="0"/>
        <w:widowControl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color w:val="auto"/>
          <w:kern w:val="0"/>
          <w:sz w:val="32"/>
          <w:szCs w:val="32"/>
          <w:highlight w:val="none"/>
          <w:u w:val="none"/>
          <w:shd w:val="clear" w:color="auto" w:fill="FFFFFF"/>
          <w:lang w:val="en-US" w:eastAsia="zh-CN" w:bidi="ar-SA"/>
        </w:rPr>
      </w:pPr>
      <w:r>
        <w:rPr>
          <w:rFonts w:hint="default" w:ascii="Times New Roman" w:hAnsi="Times New Roman" w:eastAsia="黑体" w:cs="Times New Roman"/>
          <w:color w:val="auto"/>
          <w:kern w:val="0"/>
          <w:sz w:val="32"/>
          <w:szCs w:val="32"/>
          <w:highlight w:val="none"/>
          <w:u w:val="none"/>
          <w:shd w:val="clear" w:color="auto" w:fill="FFFFFF"/>
          <w:lang w:val="zh-CN" w:eastAsia="zh-CN" w:bidi="ar-SA"/>
        </w:rPr>
        <w:t>附表</w:t>
      </w:r>
      <w:r>
        <w:rPr>
          <w:rFonts w:hint="default" w:ascii="Times New Roman" w:hAnsi="Times New Roman" w:eastAsia="黑体" w:cs="Times New Roman"/>
          <w:color w:val="auto"/>
          <w:kern w:val="0"/>
          <w:sz w:val="32"/>
          <w:szCs w:val="32"/>
          <w:highlight w:val="none"/>
          <w:u w:val="none"/>
          <w:shd w:val="clear" w:color="auto" w:fill="FFFFFF"/>
          <w:lang w:val="en-US" w:eastAsia="zh-CN" w:bidi="ar-SA"/>
        </w:rPr>
        <w:t>3</w:t>
      </w:r>
    </w:p>
    <w:tbl>
      <w:tblPr>
        <w:tblStyle w:val="17"/>
        <w:tblW w:w="10233" w:type="dxa"/>
        <w:jc w:val="center"/>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3D290CBA">
        <w:tblPrEx>
          <w:tblCellMar>
            <w:top w:w="15" w:type="dxa"/>
            <w:left w:w="15" w:type="dxa"/>
            <w:bottom w:w="15" w:type="dxa"/>
            <w:right w:w="15" w:type="dxa"/>
          </w:tblCellMar>
        </w:tblPrEx>
        <w:trPr>
          <w:trHeight w:val="576" w:hRule="atLeast"/>
          <w:jc w:val="center"/>
        </w:trPr>
        <w:tc>
          <w:tcPr>
            <w:tcW w:w="10233" w:type="dxa"/>
            <w:gridSpan w:val="9"/>
            <w:tcBorders>
              <w:top w:val="nil"/>
              <w:left w:val="nil"/>
              <w:bottom w:val="nil"/>
              <w:right w:val="nil"/>
            </w:tcBorders>
            <w:noWrap w:val="0"/>
            <w:vAlign w:val="center"/>
          </w:tcPr>
          <w:p w14:paraId="43FC80CB">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hint="default" w:ascii="Times New Roman" w:hAnsi="Times New Roman" w:eastAsia="黑体" w:cs="Times New Roman"/>
                <w:color w:val="000000"/>
                <w:sz w:val="30"/>
                <w:szCs w:val="30"/>
                <w:u w:val="none"/>
                <w:lang w:bidi="ar-SA"/>
              </w:rPr>
            </w:pPr>
            <w:r>
              <w:rPr>
                <w:rFonts w:hint="default" w:ascii="Times New Roman" w:hAnsi="Times New Roman" w:eastAsia="方正小标宋简体" w:cs="Times New Roman"/>
                <w:color w:val="000000"/>
                <w:kern w:val="0"/>
                <w:sz w:val="40"/>
                <w:szCs w:val="40"/>
                <w:u w:val="none"/>
                <w:lang w:val="en-US" w:eastAsia="zh-CN" w:bidi="ar"/>
              </w:rPr>
              <w:t>专项预算项目绩效目标完成情况自评表</w:t>
            </w:r>
          </w:p>
        </w:tc>
      </w:tr>
      <w:tr w14:paraId="3F6DA173">
        <w:tblPrEx>
          <w:tblCellMar>
            <w:top w:w="15" w:type="dxa"/>
            <w:left w:w="15" w:type="dxa"/>
            <w:bottom w:w="15" w:type="dxa"/>
            <w:right w:w="15" w:type="dxa"/>
          </w:tblCellMar>
        </w:tblPrEx>
        <w:trPr>
          <w:trHeight w:val="30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0B307017">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45943C6">
            <w:pPr>
              <w:pStyle w:val="37"/>
              <w:keepNext w:val="0"/>
              <w:keepLines w:val="0"/>
              <w:pageBreakBefore w:val="0"/>
              <w:widowControl w:val="0"/>
              <w:kinsoku/>
              <w:wordWrap/>
              <w:overflowPunct/>
              <w:topLinePunct w:val="0"/>
              <w:autoSpaceDE/>
              <w:autoSpaceDN/>
              <w:bidi w:val="0"/>
              <w:spacing w:line="578" w:lineRule="exact"/>
              <w:ind w:left="0"/>
              <w:jc w:val="both"/>
              <w:textAlignment w:val="auto"/>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color w:val="000000"/>
                <w:kern w:val="0"/>
                <w:sz w:val="18"/>
                <w:szCs w:val="18"/>
                <w:u w:val="none"/>
                <w:lang w:val="en-US" w:eastAsia="zh-CN" w:bidi="ar"/>
              </w:rPr>
              <w:t>示范性老年助餐网络</w:t>
            </w:r>
          </w:p>
        </w:tc>
      </w:tr>
      <w:tr w14:paraId="7C16CEFC">
        <w:tblPrEx>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1FBFC977">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6004E8C">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u w:val="none"/>
                <w:lang w:val="en-US" w:eastAsia="zh-CN" w:bidi="ar-SA"/>
              </w:rPr>
            </w:pPr>
            <w:r>
              <w:rPr>
                <w:rFonts w:hint="default" w:ascii="Times New Roman" w:hAnsi="Times New Roman" w:eastAsia="方正仿宋_GBK" w:cs="Times New Roman"/>
                <w:color w:val="000000"/>
                <w:sz w:val="18"/>
                <w:szCs w:val="18"/>
                <w:u w:val="none"/>
                <w:lang w:val="en-US" w:eastAsia="zh-CN" w:bidi="ar-SA"/>
              </w:rPr>
              <w:t>攀枝花市民政局</w:t>
            </w:r>
          </w:p>
        </w:tc>
      </w:tr>
      <w:tr w14:paraId="3FCD1FD4">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7E2EC1E4">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22E0D46">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方正仿宋_GBK" w:cs="Times New Roman"/>
                <w:color w:val="000000"/>
                <w:sz w:val="18"/>
                <w:szCs w:val="18"/>
                <w:u w:val="none"/>
                <w:lang w:val="en-US" w:eastAsia="zh-CN" w:bidi="ar-SA"/>
              </w:rPr>
            </w:pPr>
            <w:r>
              <w:rPr>
                <w:rFonts w:hint="default" w:ascii="Times New Roman" w:hAnsi="Times New Roman" w:eastAsia="方正仿宋_GBK" w:cs="Times New Roman"/>
                <w:color w:val="000000"/>
                <w:sz w:val="18"/>
                <w:szCs w:val="18"/>
                <w:u w:val="none"/>
                <w:lang w:val="en-US" w:eastAsia="zh-CN" w:bidi="ar-SA"/>
              </w:rPr>
              <w:t>养老服务项目</w:t>
            </w:r>
          </w:p>
        </w:tc>
      </w:tr>
      <w:tr w14:paraId="1E399A85">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90CB645">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503E9E6">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中长期规划（名称、文号，仅指</w:t>
            </w:r>
          </w:p>
          <w:p w14:paraId="676F0B74">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B60D537">
            <w:pPr>
              <w:keepNext w:val="0"/>
              <w:keepLines w:val="0"/>
              <w:pageBreakBefore w:val="0"/>
              <w:widowControl w:val="0"/>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color w:val="000000"/>
                <w:sz w:val="18"/>
                <w:szCs w:val="18"/>
                <w:highlight w:val="none"/>
                <w:lang w:val="en-US" w:eastAsia="zh-CN"/>
              </w:rPr>
            </w:pPr>
            <w:r>
              <w:rPr>
                <w:rFonts w:hint="default" w:ascii="Times New Roman" w:hAnsi="Times New Roman" w:eastAsia="方正仿宋_GBK" w:cs="Times New Roman"/>
                <w:color w:val="000000"/>
                <w:sz w:val="18"/>
                <w:szCs w:val="18"/>
                <w:highlight w:val="none"/>
                <w:lang w:val="en-US" w:eastAsia="zh-CN"/>
              </w:rPr>
              <w:t>《关于实施“蜀适幸福食光”老年助餐服务三年行动计划(2024-2026年)的通知》（川民发〔2024〕10号）</w:t>
            </w:r>
          </w:p>
          <w:p w14:paraId="300DC854">
            <w:pPr>
              <w:keepNext w:val="0"/>
              <w:keepLines w:val="0"/>
              <w:pageBreakBefore w:val="0"/>
              <w:widowControl w:val="0"/>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color w:val="000000"/>
                <w:sz w:val="18"/>
                <w:szCs w:val="18"/>
                <w:u w:val="none"/>
                <w:lang w:bidi="ar-SA"/>
              </w:rPr>
              <w:t>四川省民政厅关于印发《四川省困难老年人家庭智能适老化改造工作导则（试行）》等三个工作导则的通知（川民发</w:t>
            </w:r>
            <w:r>
              <w:rPr>
                <w:rFonts w:hint="default" w:ascii="Times New Roman" w:hAnsi="Times New Roman" w:eastAsia="方正仿宋_GBK" w:cs="Times New Roman"/>
                <w:kern w:val="2"/>
                <w:sz w:val="18"/>
                <w:szCs w:val="18"/>
                <w:lang w:bidi="ar-SA"/>
              </w:rPr>
              <w:t>〔</w:t>
            </w:r>
            <w:r>
              <w:rPr>
                <w:rFonts w:hint="default" w:ascii="Times New Roman" w:hAnsi="Times New Roman" w:eastAsia="方正仿宋_GBK" w:cs="Times New Roman"/>
                <w:spacing w:val="-17"/>
                <w:sz w:val="18"/>
                <w:szCs w:val="18"/>
              </w:rPr>
              <w:t>2025</w:t>
            </w:r>
            <w:r>
              <w:rPr>
                <w:rFonts w:hint="default" w:ascii="Times New Roman" w:hAnsi="Times New Roman" w:eastAsia="方正仿宋_GBK" w:cs="Times New Roman"/>
                <w:kern w:val="2"/>
                <w:sz w:val="18"/>
                <w:szCs w:val="18"/>
                <w:lang w:bidi="ar-SA"/>
              </w:rPr>
              <w:t>〕80号</w:t>
            </w:r>
            <w:r>
              <w:rPr>
                <w:rFonts w:hint="default" w:ascii="Times New Roman" w:hAnsi="Times New Roman" w:eastAsia="方正仿宋_GBK" w:cs="Times New Roman"/>
                <w:color w:val="000000"/>
                <w:sz w:val="18"/>
                <w:szCs w:val="18"/>
                <w:u w:val="none"/>
                <w:lang w:bidi="ar-SA"/>
              </w:rPr>
              <w:t>）</w:t>
            </w:r>
          </w:p>
          <w:p w14:paraId="22B2F33B">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color w:val="000000"/>
                <w:sz w:val="18"/>
                <w:szCs w:val="18"/>
                <w:u w:val="none"/>
                <w:lang w:bidi="ar-SA"/>
              </w:rPr>
              <w:t>四川省财政厅 四川省民政厅关于印发《四川省省级财政养老服务业发展专项资金管理办法》的通知（川财社</w:t>
            </w:r>
            <w:r>
              <w:rPr>
                <w:rFonts w:hint="default" w:ascii="Times New Roman" w:hAnsi="Times New Roman" w:eastAsia="方正仿宋_GBK" w:cs="Times New Roman"/>
                <w:kern w:val="2"/>
                <w:sz w:val="18"/>
                <w:szCs w:val="18"/>
                <w:lang w:bidi="ar-SA"/>
              </w:rPr>
              <w:t>〔</w:t>
            </w:r>
            <w:r>
              <w:rPr>
                <w:rFonts w:hint="default" w:ascii="Times New Roman" w:hAnsi="Times New Roman" w:eastAsia="方正仿宋_GBK" w:cs="Times New Roman"/>
                <w:spacing w:val="-17"/>
                <w:sz w:val="18"/>
                <w:szCs w:val="18"/>
              </w:rPr>
              <w:t>2019</w:t>
            </w:r>
            <w:r>
              <w:rPr>
                <w:rFonts w:hint="default" w:ascii="Times New Roman" w:hAnsi="Times New Roman" w:eastAsia="方正仿宋_GBK" w:cs="Times New Roman"/>
                <w:kern w:val="2"/>
                <w:sz w:val="18"/>
                <w:szCs w:val="18"/>
                <w:lang w:bidi="ar-SA"/>
              </w:rPr>
              <w:t>〕59号</w:t>
            </w:r>
            <w:r>
              <w:rPr>
                <w:rFonts w:hint="default" w:ascii="Times New Roman" w:hAnsi="Times New Roman" w:eastAsia="方正仿宋_GBK" w:cs="Times New Roman"/>
                <w:color w:val="000000"/>
                <w:sz w:val="18"/>
                <w:szCs w:val="18"/>
                <w:u w:val="none"/>
                <w:lang w:bidi="ar-SA"/>
              </w:rPr>
              <w:t>）</w:t>
            </w:r>
          </w:p>
        </w:tc>
      </w:tr>
      <w:tr w14:paraId="3D826F01">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B67988">
            <w:pPr>
              <w:rPr>
                <w:rFonts w:hint="default" w:ascii="Times New Roman" w:hAnsi="Times New Roman" w:cs="Times New Roman"/>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4CCF731">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F6EB997">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color w:val="000000"/>
                <w:sz w:val="18"/>
                <w:szCs w:val="18"/>
                <w:u w:val="none"/>
                <w:lang w:bidi="ar-SA"/>
              </w:rPr>
              <w:t>四川省财政厅 四川省民政厅关于印发《四川省省级财政养老服务业发展专项资金管理办法》的通知（川财社</w:t>
            </w:r>
            <w:r>
              <w:rPr>
                <w:rFonts w:hint="default" w:ascii="Times New Roman" w:hAnsi="Times New Roman" w:eastAsia="方正仿宋_GBK" w:cs="Times New Roman"/>
                <w:kern w:val="2"/>
                <w:sz w:val="18"/>
                <w:szCs w:val="18"/>
                <w:lang w:bidi="ar-SA"/>
              </w:rPr>
              <w:t>〔</w:t>
            </w:r>
            <w:r>
              <w:rPr>
                <w:rFonts w:hint="default" w:ascii="Times New Roman" w:hAnsi="Times New Roman" w:eastAsia="方正仿宋_GBK" w:cs="Times New Roman"/>
                <w:spacing w:val="-17"/>
                <w:sz w:val="18"/>
                <w:szCs w:val="18"/>
              </w:rPr>
              <w:t>2019</w:t>
            </w:r>
            <w:r>
              <w:rPr>
                <w:rFonts w:hint="default" w:ascii="Times New Roman" w:hAnsi="Times New Roman" w:eastAsia="方正仿宋_GBK" w:cs="Times New Roman"/>
                <w:kern w:val="2"/>
                <w:sz w:val="18"/>
                <w:szCs w:val="18"/>
                <w:lang w:bidi="ar-SA"/>
              </w:rPr>
              <w:t>〕59号</w:t>
            </w:r>
            <w:r>
              <w:rPr>
                <w:rFonts w:hint="default" w:ascii="Times New Roman" w:hAnsi="Times New Roman" w:eastAsia="方正仿宋_GBK" w:cs="Times New Roman"/>
                <w:color w:val="000000"/>
                <w:sz w:val="18"/>
                <w:szCs w:val="18"/>
                <w:u w:val="none"/>
                <w:lang w:bidi="ar-SA"/>
              </w:rPr>
              <w:t>）</w:t>
            </w:r>
          </w:p>
        </w:tc>
      </w:tr>
      <w:tr w14:paraId="70F6A23C">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2F1CFA">
            <w:pPr>
              <w:rPr>
                <w:rFonts w:hint="default" w:ascii="Times New Roman" w:hAnsi="Times New Roman" w:cs="Times New Roman"/>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6A5E31F">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49440EC">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color w:val="000000"/>
                <w:kern w:val="0"/>
                <w:sz w:val="18"/>
                <w:szCs w:val="18"/>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7C589C55">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color w:val="000000"/>
                <w:sz w:val="18"/>
                <w:szCs w:val="18"/>
              </w:rPr>
              <w:sym w:font="Wingdings 2" w:char="0052"/>
            </w:r>
            <w:r>
              <w:rPr>
                <w:rFonts w:hint="default" w:ascii="Times New Roman" w:hAnsi="Times New Roman" w:eastAsia="方正仿宋_GBK" w:cs="Times New Roman"/>
                <w:color w:val="000000"/>
                <w:kern w:val="0"/>
                <w:sz w:val="18"/>
                <w:szCs w:val="18"/>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05016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color w:val="000000"/>
                <w:kern w:val="0"/>
                <w:sz w:val="18"/>
                <w:szCs w:val="18"/>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2B8541D">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color w:val="000000"/>
                <w:kern w:val="0"/>
                <w:sz w:val="18"/>
                <w:szCs w:val="18"/>
                <w:u w:val="none"/>
                <w:lang w:val="en-US" w:eastAsia="zh-CN" w:bidi="ar"/>
              </w:rPr>
              <w:t>因素法与项目法相结合</w:t>
            </w:r>
          </w:p>
        </w:tc>
      </w:tr>
      <w:tr w14:paraId="5CB72E56">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83D9E9">
            <w:pPr>
              <w:rPr>
                <w:rFonts w:hint="default" w:ascii="Times New Roman" w:hAnsi="Times New Roman" w:cs="Times New Roman"/>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90479A9">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B3FE69D">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方正仿宋_GBK" w:cs="Times New Roman"/>
                <w:color w:val="000000"/>
                <w:sz w:val="18"/>
                <w:szCs w:val="18"/>
                <w:highlight w:val="none"/>
                <w:lang w:val="en-US" w:eastAsia="zh-CN"/>
              </w:rPr>
            </w:pPr>
            <w:r>
              <w:rPr>
                <w:rFonts w:hint="default" w:ascii="Times New Roman" w:hAnsi="Times New Roman" w:eastAsia="方正仿宋_GBK" w:cs="Times New Roman"/>
                <w:color w:val="000000"/>
                <w:sz w:val="18"/>
                <w:szCs w:val="18"/>
                <w:highlight w:val="none"/>
                <w:lang w:val="en-US" w:eastAsia="zh-CN"/>
              </w:rPr>
              <w:t>《关于实施“蜀适幸福食光”老年助餐服务三年行动计划(2024-2026年)的通知》（川民发〔2024〕10号）</w:t>
            </w:r>
          </w:p>
          <w:p w14:paraId="594F2644">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color w:val="000000"/>
                <w:kern w:val="0"/>
                <w:sz w:val="18"/>
                <w:szCs w:val="18"/>
                <w:u w:val="none"/>
                <w:lang w:val="en-US" w:eastAsia="zh-CN" w:bidi="ar"/>
              </w:rPr>
              <w:t>《四川省民政厅 四川省财政厅关于做好2025年第一批民政领域转移支付项目申报工作的通知》</w:t>
            </w:r>
            <w:r>
              <w:rPr>
                <w:rFonts w:hint="default" w:ascii="Times New Roman" w:hAnsi="Times New Roman" w:eastAsia="方正仿宋_GBK" w:cs="Times New Roman"/>
                <w:color w:val="000000"/>
                <w:sz w:val="18"/>
                <w:szCs w:val="18"/>
                <w:u w:val="none"/>
                <w:lang w:bidi="ar-SA"/>
              </w:rPr>
              <w:t>（川民发</w:t>
            </w:r>
            <w:r>
              <w:rPr>
                <w:rFonts w:hint="default" w:ascii="Times New Roman" w:hAnsi="Times New Roman" w:eastAsia="方正仿宋_GBK" w:cs="Times New Roman"/>
                <w:kern w:val="2"/>
                <w:sz w:val="18"/>
                <w:szCs w:val="18"/>
                <w:lang w:bidi="ar-SA"/>
              </w:rPr>
              <w:t>〔</w:t>
            </w:r>
            <w:r>
              <w:rPr>
                <w:rFonts w:hint="default" w:ascii="Times New Roman" w:hAnsi="Times New Roman" w:eastAsia="方正仿宋_GBK" w:cs="Times New Roman"/>
                <w:spacing w:val="-17"/>
                <w:sz w:val="18"/>
                <w:szCs w:val="18"/>
              </w:rPr>
              <w:t>2025</w:t>
            </w:r>
            <w:r>
              <w:rPr>
                <w:rFonts w:hint="default" w:ascii="Times New Roman" w:hAnsi="Times New Roman" w:eastAsia="方正仿宋_GBK" w:cs="Times New Roman"/>
                <w:kern w:val="2"/>
                <w:sz w:val="18"/>
                <w:szCs w:val="18"/>
                <w:lang w:bidi="ar-SA"/>
              </w:rPr>
              <w:t>〕14号</w:t>
            </w:r>
            <w:r>
              <w:rPr>
                <w:rFonts w:hint="default" w:ascii="Times New Roman" w:hAnsi="Times New Roman" w:eastAsia="方正仿宋_GBK" w:cs="Times New Roman"/>
                <w:color w:val="000000"/>
                <w:sz w:val="18"/>
                <w:szCs w:val="18"/>
                <w:u w:val="none"/>
                <w:lang w:bidi="ar-SA"/>
              </w:rPr>
              <w:t>）</w:t>
            </w:r>
          </w:p>
        </w:tc>
      </w:tr>
      <w:tr w14:paraId="730187C7">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AFDFFC">
            <w:pPr>
              <w:rPr>
                <w:rFonts w:hint="default" w:ascii="Times New Roman" w:hAnsi="Times New Roman" w:cs="Times New Roman"/>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9158900">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AAEE4EA">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snapToGrid w:val="0"/>
                <w:kern w:val="0"/>
                <w:sz w:val="18"/>
                <w:szCs w:val="18"/>
                <w:lang w:val="en-US" w:eastAsia="zh-CN" w:bidi="ar-SA"/>
              </w:rPr>
              <w:t>养老服务项目</w:t>
            </w:r>
          </w:p>
        </w:tc>
      </w:tr>
      <w:tr w14:paraId="5EBD6FC4">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EF2F75">
            <w:pPr>
              <w:rPr>
                <w:rFonts w:hint="default" w:ascii="Times New Roman" w:hAnsi="Times New Roman" w:cs="Times New Roman"/>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9418FD5">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74319C0">
            <w:pPr>
              <w:keepNext w:val="0"/>
              <w:keepLines w:val="0"/>
              <w:pageBreakBefore w:val="0"/>
              <w:widowControl w:val="0"/>
              <w:kinsoku/>
              <w:wordWrap/>
              <w:overflowPunct/>
              <w:topLinePunct w:val="0"/>
              <w:autoSpaceDE/>
              <w:autoSpaceDN/>
              <w:adjustRightInd/>
              <w:snapToGrid/>
              <w:spacing w:line="300" w:lineRule="exact"/>
              <w:jc w:val="left"/>
              <w:rPr>
                <w:rFonts w:hint="default" w:ascii="Times New Roman" w:hAnsi="Times New Roman" w:eastAsia="方正仿宋_GBK" w:cs="Times New Roman"/>
                <w:color w:val="000000"/>
                <w:sz w:val="18"/>
                <w:szCs w:val="18"/>
                <w:u w:val="none"/>
                <w:lang w:val="en-US" w:eastAsia="en-US" w:bidi="ar-SA"/>
              </w:rPr>
            </w:pPr>
          </w:p>
        </w:tc>
      </w:tr>
      <w:tr w14:paraId="5954A664">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D4B751">
            <w:pPr>
              <w:rPr>
                <w:rFonts w:hint="default" w:ascii="Times New Roman" w:hAnsi="Times New Roman" w:cs="Times New Roman"/>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E46130C">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highlight w:val="none"/>
                <w:u w:val="none"/>
                <w:lang w:bidi="ar-SA"/>
              </w:rPr>
            </w:pPr>
            <w:r>
              <w:rPr>
                <w:rFonts w:hint="default" w:ascii="Times New Roman" w:hAnsi="Times New Roman" w:eastAsia="宋体" w:cs="Times New Roman"/>
                <w:color w:val="000000"/>
                <w:kern w:val="0"/>
                <w:sz w:val="24"/>
                <w:szCs w:val="24"/>
                <w:highlight w:val="none"/>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0EEE151">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2025年7月—2026年6月</w:t>
            </w:r>
          </w:p>
        </w:tc>
      </w:tr>
      <w:tr w14:paraId="0AC507D0">
        <w:tblPrEx>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01F5027">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项目资金</w:t>
            </w:r>
          </w:p>
          <w:p w14:paraId="4AE20EE5">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619FA57E">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3F2FB91">
            <w:pPr>
              <w:keepNext w:val="0"/>
              <w:keepLines w:val="0"/>
              <w:pageBreakBefore w:val="0"/>
              <w:widowControl w:val="0"/>
              <w:kinsoku/>
              <w:wordWrap/>
              <w:overflowPunct/>
              <w:topLinePunct w:val="0"/>
              <w:autoSpaceDE/>
              <w:autoSpaceDN/>
              <w:bidi w:val="0"/>
              <w:adjustRightInd/>
              <w:snapToGrid/>
              <w:spacing w:line="300" w:lineRule="exact"/>
              <w:ind w:left="0"/>
              <w:jc w:val="right"/>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400</w:t>
            </w:r>
          </w:p>
        </w:tc>
      </w:tr>
      <w:tr w14:paraId="38189F2A">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8EDC71">
            <w:pPr>
              <w:rPr>
                <w:rFonts w:hint="default" w:ascii="Times New Roman" w:hAnsi="Times New Roman" w:cs="Times New Roman"/>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03A2787C">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F3EA868">
            <w:pPr>
              <w:keepNext w:val="0"/>
              <w:keepLines w:val="0"/>
              <w:pageBreakBefore w:val="0"/>
              <w:widowControl w:val="0"/>
              <w:kinsoku/>
              <w:wordWrap/>
              <w:overflowPunct/>
              <w:topLinePunct w:val="0"/>
              <w:autoSpaceDE/>
              <w:autoSpaceDN/>
              <w:bidi w:val="0"/>
              <w:adjustRightInd/>
              <w:snapToGrid/>
              <w:spacing w:line="300" w:lineRule="exact"/>
              <w:ind w:left="0"/>
              <w:jc w:val="right"/>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400</w:t>
            </w:r>
          </w:p>
        </w:tc>
      </w:tr>
      <w:tr w14:paraId="53E23DC3">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B26B1E">
            <w:pPr>
              <w:rPr>
                <w:rFonts w:hint="default" w:ascii="Times New Roman" w:hAnsi="Times New Roman" w:cs="Times New Roman"/>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050EA202">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5C4FD67">
            <w:pPr>
              <w:keepNext w:val="0"/>
              <w:keepLines w:val="0"/>
              <w:pageBreakBefore w:val="0"/>
              <w:widowControl w:val="0"/>
              <w:kinsoku/>
              <w:wordWrap/>
              <w:overflowPunct/>
              <w:topLinePunct w:val="0"/>
              <w:autoSpaceDE/>
              <w:autoSpaceDN/>
              <w:bidi w:val="0"/>
              <w:adjustRightInd/>
              <w:snapToGrid/>
              <w:spacing w:line="300" w:lineRule="exact"/>
              <w:ind w:left="0"/>
              <w:jc w:val="right"/>
              <w:rPr>
                <w:rFonts w:hint="default" w:ascii="Times New Roman" w:hAnsi="Times New Roman" w:eastAsia="方正仿宋_GBK" w:cs="Times New Roman"/>
                <w:color w:val="000000"/>
                <w:sz w:val="24"/>
                <w:szCs w:val="24"/>
                <w:u w:val="none"/>
                <w:lang w:val="en-US" w:eastAsia="zh-CN" w:bidi="ar-SA"/>
              </w:rPr>
            </w:pPr>
          </w:p>
        </w:tc>
      </w:tr>
      <w:tr w14:paraId="1D3D2A3A">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F2BEA84">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75C7DAD0">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年度目标</w:t>
            </w:r>
          </w:p>
        </w:tc>
      </w:tr>
      <w:tr w14:paraId="1619E353">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1736BA">
            <w:pPr>
              <w:rPr>
                <w:rFonts w:hint="default" w:ascii="Times New Roman" w:hAnsi="Times New Roman" w:cs="Times New Roman"/>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75346ADF">
            <w:pPr>
              <w:keepNext w:val="0"/>
              <w:keepLines w:val="0"/>
              <w:pageBreakBefore w:val="0"/>
              <w:widowControl w:val="0"/>
              <w:kinsoku/>
              <w:wordWrap/>
              <w:overflowPunct/>
              <w:topLinePunct w:val="0"/>
              <w:autoSpaceDE/>
              <w:autoSpaceDN/>
              <w:bidi w:val="0"/>
              <w:adjustRightInd/>
              <w:snapToGrid/>
              <w:spacing w:line="300" w:lineRule="exact"/>
              <w:rPr>
                <w:rFonts w:hint="default" w:ascii="Times New Roman" w:hAnsi="Times New Roman" w:eastAsia="方正仿宋_GBK" w:cs="Times New Roman"/>
                <w:color w:val="000000"/>
                <w:sz w:val="24"/>
                <w:szCs w:val="24"/>
                <w:u w:val="none"/>
                <w:lang w:eastAsia="zh-CN" w:bidi="ar-SA"/>
              </w:rPr>
            </w:pPr>
            <w:r>
              <w:rPr>
                <w:rFonts w:hint="default" w:ascii="Times New Roman" w:hAnsi="Times New Roman" w:eastAsia="方正仿宋_GBK" w:cs="Times New Roman"/>
                <w:color w:val="000000"/>
                <w:kern w:val="0"/>
                <w:sz w:val="18"/>
                <w:szCs w:val="18"/>
                <w:u w:val="none"/>
                <w:lang w:val="en-US" w:eastAsia="zh-CN" w:bidi="ar"/>
              </w:rPr>
              <w:t>积极支持构建以居家为基础、社区为依托、机构为补充、医养结合的社会养老服务体系，增加有效服务供给，提升养老服务质量，不断满足人民群众日益增长的养老服务需求。</w:t>
            </w:r>
          </w:p>
        </w:tc>
      </w:tr>
      <w:tr w14:paraId="70D83261">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nil"/>
            </w:tcBorders>
            <w:noWrap w:val="0"/>
            <w:vAlign w:val="center"/>
          </w:tcPr>
          <w:p w14:paraId="740CBAE5">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4E06C2F3">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78521B2E">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CC6FF70">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9B28CF0">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7F3FEB7">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55971D1">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BEF8976">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D6853ED">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实际完成指标值</w:t>
            </w:r>
          </w:p>
        </w:tc>
      </w:tr>
      <w:tr w14:paraId="70A1C86E">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3DB00CE6">
            <w:pPr>
              <w:rPr>
                <w:rFonts w:hint="default" w:ascii="Times New Roman" w:hAnsi="Times New Roman" w:cs="Times New Roman"/>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52CB7115">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22D3825">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0814BED5">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方正仿宋_GBK" w:cs="Times New Roman"/>
                <w:color w:val="000000"/>
                <w:sz w:val="18"/>
                <w:szCs w:val="18"/>
                <w:lang w:eastAsia="zh-CN" w:bidi="ar-SA"/>
              </w:rPr>
            </w:pPr>
            <w:r>
              <w:rPr>
                <w:rFonts w:hint="default" w:ascii="Times New Roman" w:hAnsi="Times New Roman" w:eastAsia="方正仿宋_GBK" w:cs="Times New Roman"/>
                <w:color w:val="000000"/>
                <w:sz w:val="18"/>
                <w:szCs w:val="18"/>
                <w:lang w:eastAsia="zh-CN" w:bidi="ar-SA"/>
              </w:rPr>
              <w:t>新增示范性老年助餐网络</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6CD67C6">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color w:val="000000"/>
                <w:sz w:val="18"/>
                <w:szCs w:val="18"/>
                <w:lang w:eastAsia="zh-CN" w:bidi="ar-SA"/>
              </w:rPr>
              <w:t>定量</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FADC54F">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u w:val="none"/>
                <w:lang w:val="en-US" w:eastAsia="zh-CN" w:bidi="ar-SA"/>
              </w:rPr>
            </w:pPr>
            <w:r>
              <w:rPr>
                <w:rFonts w:hint="default" w:ascii="Times New Roman" w:hAnsi="Times New Roman" w:eastAsia="方正仿宋_GBK" w:cs="Times New Roman"/>
                <w:color w:val="000000"/>
                <w:sz w:val="18"/>
                <w:szCs w:val="18"/>
                <w:u w:val="none"/>
                <w:lang w:bidi="ar-SA"/>
              </w:rPr>
              <w:t>≥5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21D26B5">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u w:val="none"/>
                <w:lang w:val="en-US" w:eastAsia="zh-CN" w:bidi="ar-SA"/>
              </w:rPr>
            </w:pPr>
            <w:r>
              <w:rPr>
                <w:rFonts w:hint="default" w:ascii="Times New Roman" w:hAnsi="Times New Roman" w:eastAsia="方正仿宋_GBK" w:cs="Times New Roman"/>
                <w:color w:val="000000"/>
                <w:sz w:val="18"/>
                <w:szCs w:val="18"/>
                <w:u w:val="none"/>
                <w:lang w:val="en-US" w:eastAsia="zh-CN" w:bidi="ar-SA"/>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CBAB2DB">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u w:val="none"/>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345B562">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5个</w:t>
            </w:r>
          </w:p>
        </w:tc>
      </w:tr>
      <w:tr w14:paraId="240581AB">
        <w:tblPrEx>
          <w:tblCellMar>
            <w:top w:w="15" w:type="dxa"/>
            <w:left w:w="15" w:type="dxa"/>
            <w:bottom w:w="15" w:type="dxa"/>
            <w:right w:w="15" w:type="dxa"/>
          </w:tblCellMar>
        </w:tblPrEx>
        <w:trPr>
          <w:trHeight w:val="491"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4DF4EDBE">
            <w:pPr>
              <w:rPr>
                <w:rFonts w:hint="default" w:ascii="Times New Roman" w:hAnsi="Times New Roman" w:cs="Times New Roman"/>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2C839A">
            <w:pPr>
              <w:rPr>
                <w:rFonts w:hint="default" w:ascii="Times New Roman" w:hAnsi="Times New Roman" w:cs="Times New Roman"/>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8CC59F9">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4C76F5C6">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方正仿宋_GBK" w:cs="Times New Roman"/>
                <w:color w:val="000000"/>
                <w:sz w:val="18"/>
                <w:szCs w:val="18"/>
                <w:lang w:val="en-US" w:eastAsia="zh-CN" w:bidi="ar-SA"/>
              </w:rPr>
            </w:pPr>
            <w:r>
              <w:rPr>
                <w:rFonts w:hint="default" w:ascii="Times New Roman" w:hAnsi="Times New Roman" w:eastAsia="方正仿宋_GBK" w:cs="Times New Roman"/>
                <w:color w:val="000000"/>
                <w:sz w:val="18"/>
                <w:szCs w:val="18"/>
                <w:lang w:eastAsia="zh-CN" w:bidi="ar-SA"/>
              </w:rPr>
              <w:t>项目验收合格率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78D69CF">
            <w:pPr>
              <w:spacing w:line="300" w:lineRule="exact"/>
              <w:jc w:val="center"/>
              <w:rPr>
                <w:rFonts w:hint="default" w:ascii="Times New Roman" w:hAnsi="Times New Roman" w:eastAsia="方正仿宋_GBK" w:cs="Times New Roman"/>
                <w:color w:val="000000"/>
                <w:kern w:val="2"/>
                <w:sz w:val="18"/>
                <w:szCs w:val="18"/>
                <w:lang w:val="en-US" w:eastAsia="zh-CN" w:bidi="ar-SA"/>
              </w:rPr>
            </w:pPr>
            <w:r>
              <w:rPr>
                <w:rFonts w:hint="default" w:ascii="Times New Roman" w:hAnsi="Times New Roman" w:eastAsia="方正仿宋_GBK" w:cs="Times New Roman"/>
                <w:color w:val="000000"/>
                <w:sz w:val="18"/>
                <w:szCs w:val="18"/>
                <w:lang w:eastAsia="zh-CN" w:bidi="ar-SA"/>
              </w:rPr>
              <w:t>定量</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D1B993B">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u w:val="none"/>
                <w:lang w:val="en-US" w:eastAsia="zh-CN" w:bidi="ar-SA"/>
              </w:rPr>
            </w:pPr>
            <w:r>
              <w:rPr>
                <w:rFonts w:hint="default" w:ascii="Times New Roman" w:hAnsi="Times New Roman" w:eastAsia="方正仿宋_GBK" w:cs="Times New Roman"/>
                <w:color w:val="000000"/>
                <w:sz w:val="18"/>
                <w:szCs w:val="18"/>
                <w:u w:val="none"/>
                <w:lang w:val="en-US" w:eastAsia="zh-CN" w:bidi="ar-SA"/>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635FC5C">
            <w:pPr>
              <w:spacing w:line="300" w:lineRule="exact"/>
              <w:jc w:val="center"/>
              <w:rPr>
                <w:rFonts w:hint="default" w:ascii="Times New Roman" w:hAnsi="Times New Roman" w:eastAsia="方正仿宋_GBK" w:cs="Times New Roman"/>
                <w:color w:val="000000"/>
                <w:kern w:val="2"/>
                <w:sz w:val="18"/>
                <w:szCs w:val="18"/>
                <w:lang w:val="en-US" w:eastAsia="zh-CN" w:bidi="ar-SA"/>
              </w:rPr>
            </w:pPr>
            <w:r>
              <w:rPr>
                <w:rFonts w:hint="default" w:ascii="Times New Roman" w:hAnsi="Times New Roman" w:eastAsia="方正仿宋_GBK" w:cs="Times New Roman"/>
                <w:color w:val="000000"/>
                <w:sz w:val="18"/>
                <w:szCs w:val="18"/>
                <w:lang w:val="en-US" w:eastAsia="zh-CN" w:bidi="ar-SA"/>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EAE576C">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u w:val="none"/>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C43A5D7">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已完成验收3个，2个正在建设中</w:t>
            </w:r>
          </w:p>
        </w:tc>
      </w:tr>
      <w:tr w14:paraId="6EE3ECAB">
        <w:tblPrEx>
          <w:tblCellMar>
            <w:top w:w="15" w:type="dxa"/>
            <w:left w:w="15" w:type="dxa"/>
            <w:bottom w:w="15" w:type="dxa"/>
            <w:right w:w="15" w:type="dxa"/>
          </w:tblCellMar>
        </w:tblPrEx>
        <w:trPr>
          <w:trHeight w:val="280"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407D1DF7">
            <w:pPr>
              <w:rPr>
                <w:rFonts w:hint="default" w:ascii="Times New Roman" w:hAnsi="Times New Roman" w:cs="Times New Roman"/>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56A02C">
            <w:pPr>
              <w:rPr>
                <w:rFonts w:hint="default" w:ascii="Times New Roman" w:hAnsi="Times New Roman" w:cs="Times New Roman"/>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6D9ADC1D">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83B569B">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方正仿宋_GBK" w:cs="Times New Roman"/>
                <w:color w:val="000000"/>
                <w:sz w:val="18"/>
                <w:szCs w:val="18"/>
                <w:lang w:val="en-US" w:eastAsia="zh-CN" w:bidi="ar-SA"/>
              </w:rPr>
            </w:pPr>
            <w:r>
              <w:rPr>
                <w:rFonts w:hint="default" w:ascii="Times New Roman" w:hAnsi="Times New Roman" w:eastAsia="方正仿宋_GBK" w:cs="Times New Roman"/>
                <w:color w:val="000000"/>
                <w:sz w:val="18"/>
                <w:szCs w:val="18"/>
                <w:lang w:eastAsia="zh-CN" w:bidi="ar-SA"/>
              </w:rPr>
              <w:t>经费保障时间</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5B5A6C5">
            <w:pPr>
              <w:spacing w:line="300" w:lineRule="exact"/>
              <w:jc w:val="center"/>
              <w:rPr>
                <w:rFonts w:hint="default" w:ascii="Times New Roman" w:hAnsi="Times New Roman" w:eastAsia="方正仿宋_GBK" w:cs="Times New Roman"/>
                <w:color w:val="000000"/>
                <w:kern w:val="2"/>
                <w:sz w:val="18"/>
                <w:szCs w:val="18"/>
                <w:lang w:val="en-US" w:eastAsia="zh-CN" w:bidi="ar-SA"/>
              </w:rPr>
            </w:pPr>
            <w:r>
              <w:rPr>
                <w:rFonts w:hint="default" w:ascii="Times New Roman" w:hAnsi="Times New Roman" w:eastAsia="方正仿宋_GBK" w:cs="Times New Roman"/>
                <w:color w:val="000000"/>
                <w:sz w:val="18"/>
                <w:szCs w:val="18"/>
                <w:lang w:eastAsia="zh-CN" w:bidi="ar-SA"/>
              </w:rPr>
              <w:t>定量</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2BED704">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u w:val="none"/>
                <w:lang w:val="en-US" w:eastAsia="zh-CN" w:bidi="ar-SA"/>
              </w:rPr>
            </w:pPr>
            <w:r>
              <w:rPr>
                <w:rFonts w:hint="default" w:ascii="Times New Roman" w:hAnsi="Times New Roman" w:eastAsia="方正仿宋_GBK" w:cs="Times New Roman"/>
                <w:color w:val="000000"/>
                <w:sz w:val="18"/>
                <w:szCs w:val="18"/>
                <w:u w:val="none"/>
                <w:lang w:val="en-US" w:eastAsia="zh-CN" w:bidi="ar-SA"/>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5ACE254">
            <w:pPr>
              <w:spacing w:line="300" w:lineRule="exact"/>
              <w:jc w:val="center"/>
              <w:rPr>
                <w:rFonts w:hint="default" w:ascii="Times New Roman" w:hAnsi="Times New Roman" w:eastAsia="方正仿宋_GBK" w:cs="Times New Roman"/>
                <w:color w:val="000000"/>
                <w:kern w:val="2"/>
                <w:sz w:val="18"/>
                <w:szCs w:val="18"/>
                <w:lang w:val="en-US" w:eastAsia="zh-CN" w:bidi="ar-SA"/>
              </w:rPr>
            </w:pPr>
            <w:r>
              <w:rPr>
                <w:rFonts w:hint="default" w:ascii="Times New Roman" w:hAnsi="Times New Roman" w:eastAsia="方正仿宋_GBK" w:cs="Times New Roman"/>
                <w:color w:val="000000"/>
                <w:sz w:val="18"/>
                <w:szCs w:val="18"/>
                <w:lang w:val="en-US" w:eastAsia="zh-CN" w:bidi="ar-SA"/>
              </w:rPr>
              <w:t>年</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EFDEFD2">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u w:val="none"/>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C250600">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1年</w:t>
            </w:r>
          </w:p>
        </w:tc>
      </w:tr>
      <w:tr w14:paraId="68E11767">
        <w:tblPrEx>
          <w:tblCellMar>
            <w:top w:w="15" w:type="dxa"/>
            <w:left w:w="15" w:type="dxa"/>
            <w:bottom w:w="15" w:type="dxa"/>
            <w:right w:w="15" w:type="dxa"/>
          </w:tblCellMar>
        </w:tblPrEx>
        <w:trPr>
          <w:trHeight w:val="291"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59179912">
            <w:pPr>
              <w:rPr>
                <w:rFonts w:hint="default" w:ascii="Times New Roman" w:hAnsi="Times New Roman" w:cs="Times New Roman"/>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4C96A196">
            <w:pPr>
              <w:keepNext w:val="0"/>
              <w:keepLines w:val="0"/>
              <w:pageBreakBefore w:val="0"/>
              <w:widowControl/>
              <w:suppressLineNumbers w:val="0"/>
              <w:kinsoku/>
              <w:wordWrap/>
              <w:overflowPunct/>
              <w:topLinePunct w:val="0"/>
              <w:autoSpaceDE/>
              <w:autoSpaceDN/>
              <w:adjustRightInd/>
              <w:snapToGrid/>
              <w:spacing w:line="300" w:lineRule="exact"/>
              <w:ind w:left="0"/>
              <w:textAlignment w:val="center"/>
              <w:rPr>
                <w:rFonts w:hint="default" w:ascii="Times New Roman" w:hAnsi="Times New Roman" w:eastAsia="宋体" w:cs="Times New Roman"/>
                <w:color w:val="000000"/>
                <w:kern w:val="0"/>
                <w:sz w:val="24"/>
                <w:szCs w:val="24"/>
                <w:lang w:bidi="ar"/>
              </w:rPr>
            </w:pPr>
            <w:r>
              <w:rPr>
                <w:rFonts w:hint="default" w:ascii="Times New Roman" w:hAnsi="Times New Roman" w:eastAsia="宋体" w:cs="Times New Roman"/>
                <w:color w:val="000000"/>
                <w:kern w:val="0"/>
                <w:sz w:val="24"/>
                <w:szCs w:val="24"/>
                <w:u w:val="none"/>
                <w:lang w:val="en-US" w:eastAsia="zh-CN" w:bidi="ar"/>
              </w:rPr>
              <w:t>效益指标</w:t>
            </w:r>
          </w:p>
        </w:tc>
        <w:tc>
          <w:tcPr>
            <w:tcW w:w="1250" w:type="dxa"/>
            <w:tcBorders>
              <w:top w:val="single" w:color="000000" w:sz="4" w:space="0"/>
              <w:left w:val="single" w:color="000000" w:sz="4" w:space="0"/>
              <w:bottom w:val="nil"/>
              <w:right w:val="single" w:color="000000" w:sz="4" w:space="0"/>
            </w:tcBorders>
            <w:noWrap w:val="0"/>
            <w:vAlign w:val="center"/>
          </w:tcPr>
          <w:p w14:paraId="18195C66">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社会效益</w:t>
            </w:r>
          </w:p>
          <w:p w14:paraId="46B50A91">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89CF765">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方正仿宋_GBK" w:cs="Times New Roman"/>
                <w:color w:val="000000"/>
                <w:sz w:val="18"/>
                <w:szCs w:val="18"/>
                <w:lang w:val="en-US" w:eastAsia="zh-CN" w:bidi="ar-SA"/>
              </w:rPr>
            </w:pPr>
            <w:r>
              <w:rPr>
                <w:rFonts w:hint="default" w:ascii="Times New Roman" w:hAnsi="Times New Roman" w:eastAsia="方正仿宋_GBK" w:cs="Times New Roman"/>
                <w:color w:val="000000"/>
                <w:sz w:val="18"/>
                <w:szCs w:val="18"/>
                <w:lang w:eastAsia="zh-CN" w:bidi="ar-SA"/>
              </w:rPr>
              <w:t>居家和社区基本养老服务能力</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968815E">
            <w:pPr>
              <w:spacing w:line="300" w:lineRule="exact"/>
              <w:jc w:val="center"/>
              <w:rPr>
                <w:rFonts w:hint="default" w:ascii="Times New Roman" w:hAnsi="Times New Roman" w:eastAsia="方正仿宋_GBK" w:cs="Times New Roman"/>
                <w:color w:val="000000"/>
                <w:kern w:val="2"/>
                <w:sz w:val="18"/>
                <w:szCs w:val="18"/>
                <w:lang w:val="en-US" w:eastAsia="zh-CN" w:bidi="ar-SA"/>
              </w:rPr>
            </w:pPr>
            <w:r>
              <w:rPr>
                <w:rFonts w:hint="default" w:ascii="Times New Roman" w:hAnsi="Times New Roman" w:eastAsia="方正仿宋_GBK" w:cs="Times New Roman"/>
                <w:color w:val="000000"/>
                <w:sz w:val="18"/>
                <w:szCs w:val="18"/>
                <w:lang w:eastAsia="zh-CN" w:bidi="ar-SA"/>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BFCB536">
            <w:pPr>
              <w:spacing w:line="300" w:lineRule="exact"/>
              <w:jc w:val="center"/>
              <w:rPr>
                <w:rFonts w:hint="default" w:ascii="Times New Roman" w:hAnsi="Times New Roman" w:eastAsia="方正仿宋_GBK" w:cs="Times New Roman"/>
                <w:color w:val="000000"/>
                <w:kern w:val="2"/>
                <w:sz w:val="18"/>
                <w:szCs w:val="18"/>
                <w:lang w:val="en-US" w:eastAsia="zh-CN" w:bidi="ar-SA"/>
              </w:rPr>
            </w:pPr>
            <w:r>
              <w:rPr>
                <w:rFonts w:hint="default" w:ascii="Times New Roman" w:hAnsi="Times New Roman" w:eastAsia="方正仿宋_GBK" w:cs="Times New Roman"/>
                <w:color w:val="000000"/>
                <w:kern w:val="2"/>
                <w:sz w:val="18"/>
                <w:szCs w:val="18"/>
                <w:lang w:val="en-US" w:eastAsia="zh-CN" w:bidi="ar-SA"/>
              </w:rPr>
              <w:t>有效提高</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43C2738">
            <w:pPr>
              <w:spacing w:line="300" w:lineRule="exact"/>
              <w:jc w:val="center"/>
              <w:rPr>
                <w:rFonts w:hint="default" w:ascii="Times New Roman" w:hAnsi="Times New Roman" w:eastAsia="方正仿宋_GBK" w:cs="Times New Roman"/>
                <w:color w:val="000000"/>
                <w:kern w:val="2"/>
                <w:sz w:val="18"/>
                <w:szCs w:val="18"/>
                <w:lang w:val="en-US" w:eastAsia="zh-CN" w:bidi="ar-SA"/>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EE568C5">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u w:val="none"/>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BC5B595">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kern w:val="2"/>
                <w:sz w:val="18"/>
                <w:szCs w:val="18"/>
                <w:lang w:val="en-US" w:eastAsia="zh-CN" w:bidi="ar-SA"/>
              </w:rPr>
              <w:t>有效提高</w:t>
            </w:r>
          </w:p>
        </w:tc>
      </w:tr>
      <w:tr w14:paraId="3E72C111">
        <w:tblPrEx>
          <w:tblCellMar>
            <w:top w:w="15" w:type="dxa"/>
            <w:left w:w="15" w:type="dxa"/>
            <w:bottom w:w="15" w:type="dxa"/>
            <w:right w:w="15" w:type="dxa"/>
          </w:tblCellMar>
        </w:tblPrEx>
        <w:trPr>
          <w:trHeight w:val="90"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2B827DF1">
            <w:pPr>
              <w:rPr>
                <w:rFonts w:hint="default" w:ascii="Times New Roman" w:hAnsi="Times New Roman" w:cs="Times New Roman"/>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3EB766">
            <w:pPr>
              <w:rPr>
                <w:rFonts w:hint="default" w:ascii="Times New Roman" w:hAnsi="Times New Roman" w:cs="Times New Roman"/>
              </w:rPr>
            </w:pPr>
          </w:p>
        </w:tc>
        <w:tc>
          <w:tcPr>
            <w:tcW w:w="1250" w:type="dxa"/>
            <w:tcBorders>
              <w:top w:val="single" w:color="000000" w:sz="4" w:space="0"/>
              <w:left w:val="single" w:color="000000" w:sz="4" w:space="0"/>
              <w:bottom w:val="nil"/>
              <w:right w:val="single" w:color="000000" w:sz="4" w:space="0"/>
            </w:tcBorders>
            <w:noWrap w:val="0"/>
            <w:vAlign w:val="center"/>
          </w:tcPr>
          <w:p w14:paraId="7922A7A8">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可持续影响</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39A47C46">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方正仿宋_GBK" w:cs="Times New Roman"/>
                <w:color w:val="000000"/>
                <w:sz w:val="18"/>
                <w:szCs w:val="18"/>
                <w:lang w:val="en-US" w:eastAsia="zh-CN" w:bidi="ar-SA"/>
              </w:rPr>
            </w:pPr>
            <w:r>
              <w:rPr>
                <w:rFonts w:hint="default" w:ascii="Times New Roman" w:hAnsi="Times New Roman" w:eastAsia="方正仿宋_GBK" w:cs="Times New Roman"/>
                <w:color w:val="000000"/>
                <w:sz w:val="18"/>
                <w:szCs w:val="18"/>
                <w:lang w:eastAsia="zh-CN" w:bidi="ar-SA"/>
              </w:rPr>
              <w:t>收益老年群体幸福感</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4C074C2">
            <w:pPr>
              <w:spacing w:line="300" w:lineRule="exact"/>
              <w:jc w:val="center"/>
              <w:rPr>
                <w:rFonts w:hint="default" w:ascii="Times New Roman" w:hAnsi="Times New Roman" w:eastAsia="方正仿宋_GBK" w:cs="Times New Roman"/>
                <w:color w:val="000000"/>
                <w:kern w:val="2"/>
                <w:sz w:val="18"/>
                <w:szCs w:val="18"/>
                <w:lang w:val="en-US" w:eastAsia="zh-CN" w:bidi="ar-SA"/>
              </w:rPr>
            </w:pPr>
            <w:r>
              <w:rPr>
                <w:rFonts w:hint="default" w:ascii="Times New Roman" w:hAnsi="Times New Roman" w:eastAsia="方正仿宋_GBK" w:cs="Times New Roman"/>
                <w:color w:val="000000"/>
                <w:sz w:val="18"/>
                <w:szCs w:val="18"/>
                <w:lang w:eastAsia="zh-CN" w:bidi="ar-SA"/>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8AE84FD">
            <w:pPr>
              <w:spacing w:line="300" w:lineRule="exact"/>
              <w:rPr>
                <w:rFonts w:hint="default" w:ascii="Times New Roman" w:hAnsi="Times New Roman" w:eastAsia="方正仿宋_GBK" w:cs="Times New Roman"/>
                <w:color w:val="000000"/>
                <w:kern w:val="2"/>
                <w:sz w:val="18"/>
                <w:szCs w:val="18"/>
                <w:lang w:val="en-US" w:eastAsia="zh-CN" w:bidi="ar-SA"/>
              </w:rPr>
            </w:pPr>
            <w:r>
              <w:rPr>
                <w:rFonts w:hint="default" w:ascii="Times New Roman" w:hAnsi="Times New Roman" w:eastAsia="方正仿宋_GBK" w:cs="Times New Roman"/>
                <w:color w:val="000000"/>
                <w:sz w:val="18"/>
                <w:szCs w:val="18"/>
                <w:lang w:eastAsia="zh-CN" w:bidi="ar-SA"/>
              </w:rPr>
              <w:t>不断提升</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6266C26">
            <w:pPr>
              <w:spacing w:line="300" w:lineRule="exact"/>
              <w:jc w:val="center"/>
              <w:rPr>
                <w:rFonts w:hint="default" w:ascii="Times New Roman" w:hAnsi="Times New Roman" w:eastAsia="方正仿宋_GBK" w:cs="Times New Roman"/>
                <w:color w:val="000000"/>
                <w:kern w:val="2"/>
                <w:sz w:val="18"/>
                <w:szCs w:val="18"/>
                <w:lang w:val="en-US" w:eastAsia="zh-CN" w:bidi="ar-SA"/>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94079C3">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u w:val="none"/>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78DD7A5">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不断提升</w:t>
            </w:r>
          </w:p>
        </w:tc>
      </w:tr>
      <w:tr w14:paraId="344B3A20">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14D1B858">
            <w:pPr>
              <w:rPr>
                <w:rFonts w:hint="default" w:ascii="Times New Roman" w:hAnsi="Times New Roman" w:cs="Times New Roman"/>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6FB179A2">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满意度</w:t>
            </w:r>
          </w:p>
          <w:p w14:paraId="2F38A28A">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lang w:bidi="ar-SA"/>
              </w:rPr>
            </w:pPr>
            <w:r>
              <w:rPr>
                <w:rFonts w:hint="default" w:ascii="Times New Roman" w:hAnsi="Times New Roman" w:eastAsia="宋体" w:cs="Times New Roman"/>
                <w:color w:val="000000"/>
                <w:kern w:val="0"/>
                <w:sz w:val="24"/>
                <w:szCs w:val="24"/>
                <w:lang w:val="en-US" w:eastAsia="zh-CN" w:bidi="ar"/>
              </w:rPr>
              <w:t>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07570C57">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服务对象</w:t>
            </w:r>
          </w:p>
          <w:p w14:paraId="33D541B0">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lang w:bidi="ar-SA"/>
              </w:rPr>
            </w:pPr>
            <w:r>
              <w:rPr>
                <w:rFonts w:hint="default" w:ascii="Times New Roman" w:hAnsi="Times New Roman" w:eastAsia="宋体" w:cs="Times New Roman"/>
                <w:color w:val="000000"/>
                <w:kern w:val="0"/>
                <w:sz w:val="24"/>
                <w:szCs w:val="24"/>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E52B5E1">
            <w:pPr>
              <w:spacing w:line="300" w:lineRule="exact"/>
              <w:rPr>
                <w:rFonts w:hint="default" w:ascii="Times New Roman" w:hAnsi="Times New Roman" w:eastAsia="方正仿宋_GBK" w:cs="Times New Roman"/>
                <w:color w:val="000000"/>
                <w:sz w:val="18"/>
                <w:szCs w:val="18"/>
                <w:lang w:val="en-US" w:eastAsia="zh-CN" w:bidi="ar-SA"/>
              </w:rPr>
            </w:pPr>
            <w:r>
              <w:rPr>
                <w:rFonts w:hint="default" w:ascii="Times New Roman" w:hAnsi="Times New Roman" w:eastAsia="方正仿宋_GBK" w:cs="Times New Roman"/>
                <w:color w:val="000000"/>
                <w:sz w:val="18"/>
                <w:szCs w:val="18"/>
                <w:lang w:eastAsia="zh-CN" w:bidi="ar-SA"/>
              </w:rPr>
              <w:t>受益老年人满意度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31851D5">
            <w:pPr>
              <w:spacing w:line="300" w:lineRule="exact"/>
              <w:rPr>
                <w:rFonts w:hint="default" w:ascii="Times New Roman" w:hAnsi="Times New Roman" w:eastAsia="方正仿宋_GBK" w:cs="Times New Roman"/>
                <w:color w:val="000000"/>
                <w:sz w:val="18"/>
                <w:szCs w:val="18"/>
                <w:lang w:val="en-US" w:eastAsia="zh-CN" w:bidi="ar-SA"/>
              </w:rPr>
            </w:pPr>
            <w:r>
              <w:rPr>
                <w:rFonts w:hint="default" w:ascii="Times New Roman" w:hAnsi="Times New Roman" w:eastAsia="方正仿宋_GBK" w:cs="Times New Roman"/>
                <w:color w:val="000000"/>
                <w:sz w:val="18"/>
                <w:szCs w:val="18"/>
                <w:lang w:eastAsia="zh-CN" w:bidi="ar-SA"/>
              </w:rPr>
              <w:t>定量</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6B34FAF">
            <w:pPr>
              <w:spacing w:line="300" w:lineRule="exact"/>
              <w:rPr>
                <w:rFonts w:hint="default" w:ascii="Times New Roman" w:hAnsi="Times New Roman" w:eastAsia="方正仿宋_GBK" w:cs="Times New Roman"/>
                <w:color w:val="000000"/>
                <w:sz w:val="18"/>
                <w:szCs w:val="18"/>
                <w:lang w:val="en-US" w:eastAsia="zh-CN" w:bidi="ar-SA"/>
              </w:rPr>
            </w:pPr>
            <w:r>
              <w:rPr>
                <w:rFonts w:hint="default" w:ascii="Times New Roman" w:hAnsi="Times New Roman" w:eastAsia="方正仿宋_GBK" w:cs="Times New Roman"/>
                <w:color w:val="000000"/>
                <w:sz w:val="18"/>
                <w:szCs w:val="18"/>
                <w:lang w:eastAsia="zh-CN" w:bidi="ar-SA"/>
              </w:rPr>
              <w:t>≥</w:t>
            </w:r>
            <w:r>
              <w:rPr>
                <w:rFonts w:hint="default" w:ascii="Times New Roman" w:hAnsi="Times New Roman" w:eastAsia="方正仿宋_GBK" w:cs="Times New Roman"/>
                <w:color w:val="000000"/>
                <w:sz w:val="18"/>
                <w:szCs w:val="18"/>
                <w:lang w:val="en-US" w:eastAsia="zh-CN" w:bidi="ar-SA"/>
              </w:rPr>
              <w:t>90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F0AB465">
            <w:pPr>
              <w:spacing w:line="300" w:lineRule="exact"/>
              <w:rPr>
                <w:rFonts w:hint="default" w:ascii="Times New Roman" w:hAnsi="Times New Roman" w:eastAsia="方正仿宋_GBK" w:cs="Times New Roman"/>
                <w:color w:val="000000"/>
                <w:sz w:val="18"/>
                <w:szCs w:val="18"/>
                <w:lang w:val="en-US" w:eastAsia="zh-CN" w:bidi="ar-SA"/>
              </w:rPr>
            </w:pPr>
            <w:r>
              <w:rPr>
                <w:rFonts w:hint="default" w:ascii="Times New Roman" w:hAnsi="Times New Roman" w:eastAsia="方正仿宋_GBK" w:cs="Times New Roman"/>
                <w:color w:val="000000"/>
                <w:sz w:val="18"/>
                <w:szCs w:val="18"/>
                <w:lang w:val="en-US" w:eastAsia="zh-CN" w:bidi="ar-SA"/>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9156F4B">
            <w:pPr>
              <w:spacing w:line="300" w:lineRule="exact"/>
              <w:rPr>
                <w:rFonts w:hint="default" w:ascii="Times New Roman" w:hAnsi="Times New Roman" w:eastAsia="方正仿宋_GBK" w:cs="Times New Roman"/>
                <w:color w:val="000000"/>
                <w:sz w:val="18"/>
                <w:szCs w:val="18"/>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FE5D712">
            <w:pPr>
              <w:spacing w:line="300" w:lineRule="exact"/>
              <w:rPr>
                <w:rFonts w:hint="default" w:ascii="Times New Roman" w:hAnsi="Times New Roman" w:eastAsia="方正仿宋_GBK" w:cs="Times New Roman"/>
                <w:color w:val="000000"/>
                <w:sz w:val="18"/>
                <w:szCs w:val="18"/>
                <w:lang w:val="en-US" w:eastAsia="zh-CN" w:bidi="ar-SA"/>
              </w:rPr>
            </w:pPr>
            <w:r>
              <w:rPr>
                <w:rFonts w:hint="default" w:ascii="Times New Roman" w:hAnsi="Times New Roman" w:eastAsia="方正仿宋_GBK" w:cs="Times New Roman"/>
                <w:color w:val="000000"/>
                <w:sz w:val="18"/>
                <w:szCs w:val="18"/>
                <w:lang w:val="en-US" w:eastAsia="zh-CN" w:bidi="ar-SA"/>
              </w:rPr>
              <w:t>90%</w:t>
            </w:r>
          </w:p>
        </w:tc>
      </w:tr>
    </w:tbl>
    <w:p w14:paraId="22DCB498">
      <w:pPr>
        <w:pStyle w:val="7"/>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bidi="ar-SA"/>
        </w:rPr>
      </w:pPr>
    </w:p>
    <w:p w14:paraId="23D94194">
      <w:pPr>
        <w:tabs>
          <w:tab w:val="left" w:pos="-60"/>
        </w:tabs>
        <w:rPr>
          <w:rFonts w:hint="default" w:ascii="Times New Roman" w:hAnsi="Times New Roman" w:eastAsia="黑体" w:cs="Times New Roman"/>
          <w:sz w:val="24"/>
        </w:rPr>
      </w:pPr>
      <w:r>
        <w:rPr>
          <w:rFonts w:hint="default" w:ascii="Times New Roman" w:hAnsi="Times New Roman" w:eastAsia="黑体" w:cs="Times New Roman"/>
          <w:sz w:val="24"/>
        </w:rPr>
        <w:tab/>
      </w:r>
    </w:p>
    <w:p w14:paraId="6BEBE2B5">
      <w:pPr>
        <w:tabs>
          <w:tab w:val="left" w:pos="-60"/>
        </w:tabs>
        <w:rPr>
          <w:rFonts w:hint="default" w:ascii="Times New Roman" w:hAnsi="Times New Roman" w:eastAsia="黑体" w:cs="Times New Roman"/>
          <w:sz w:val="24"/>
        </w:rPr>
      </w:pPr>
    </w:p>
    <w:p w14:paraId="1F6A8C3C">
      <w:pPr>
        <w:tabs>
          <w:tab w:val="left" w:pos="-60"/>
        </w:tabs>
        <w:rPr>
          <w:rFonts w:hint="default" w:ascii="Times New Roman" w:hAnsi="Times New Roman" w:eastAsia="黑体" w:cs="Times New Roman"/>
          <w:sz w:val="24"/>
        </w:rPr>
      </w:pPr>
    </w:p>
    <w:p w14:paraId="13B4F464">
      <w:pPr>
        <w:tabs>
          <w:tab w:val="left" w:pos="-60"/>
        </w:tabs>
        <w:rPr>
          <w:rFonts w:hint="default" w:ascii="Times New Roman" w:hAnsi="Times New Roman" w:eastAsia="黑体" w:cs="Times New Roman"/>
          <w:sz w:val="24"/>
        </w:rPr>
      </w:pPr>
    </w:p>
    <w:p w14:paraId="56A23D0D">
      <w:pPr>
        <w:tabs>
          <w:tab w:val="left" w:pos="-60"/>
        </w:tabs>
        <w:rPr>
          <w:rFonts w:hint="default" w:ascii="Times New Roman" w:hAnsi="Times New Roman" w:eastAsia="黑体" w:cs="Times New Roman"/>
          <w:sz w:val="24"/>
        </w:rPr>
      </w:pPr>
    </w:p>
    <w:p w14:paraId="703AA7A7">
      <w:pPr>
        <w:keepNext w:val="0"/>
        <w:keepLines w:val="0"/>
        <w:pageBreakBefore w:val="0"/>
        <w:widowControl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color w:val="auto"/>
          <w:kern w:val="0"/>
          <w:sz w:val="32"/>
          <w:szCs w:val="32"/>
          <w:highlight w:val="none"/>
          <w:u w:val="none"/>
          <w:shd w:val="clear" w:color="auto" w:fill="FFFFFF"/>
          <w:lang w:val="en-US" w:eastAsia="zh-CN" w:bidi="ar-SA"/>
        </w:rPr>
      </w:pPr>
      <w:r>
        <w:rPr>
          <w:rFonts w:hint="default" w:ascii="Times New Roman" w:hAnsi="Times New Roman" w:eastAsia="黑体" w:cs="Times New Roman"/>
          <w:color w:val="auto"/>
          <w:kern w:val="0"/>
          <w:sz w:val="32"/>
          <w:szCs w:val="32"/>
          <w:highlight w:val="none"/>
          <w:u w:val="none"/>
          <w:shd w:val="clear" w:color="auto" w:fill="FFFFFF"/>
          <w:lang w:val="zh-CN" w:eastAsia="zh-CN" w:bidi="ar-SA"/>
        </w:rPr>
        <w:t>附表</w:t>
      </w:r>
      <w:r>
        <w:rPr>
          <w:rFonts w:hint="default" w:ascii="Times New Roman" w:hAnsi="Times New Roman" w:eastAsia="黑体" w:cs="Times New Roman"/>
          <w:color w:val="auto"/>
          <w:kern w:val="0"/>
          <w:sz w:val="32"/>
          <w:szCs w:val="32"/>
          <w:highlight w:val="none"/>
          <w:u w:val="none"/>
          <w:shd w:val="clear" w:color="auto" w:fill="FFFFFF"/>
          <w:lang w:val="en-US" w:eastAsia="zh-CN" w:bidi="ar-SA"/>
        </w:rPr>
        <w:t>3</w:t>
      </w:r>
    </w:p>
    <w:tbl>
      <w:tblPr>
        <w:tblStyle w:val="17"/>
        <w:tblW w:w="10232" w:type="dxa"/>
        <w:jc w:val="center"/>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6E950F34">
        <w:tblPrEx>
          <w:tblCellMar>
            <w:top w:w="15" w:type="dxa"/>
            <w:left w:w="15" w:type="dxa"/>
            <w:bottom w:w="15" w:type="dxa"/>
            <w:right w:w="15" w:type="dxa"/>
          </w:tblCellMar>
        </w:tblPrEx>
        <w:trPr>
          <w:trHeight w:val="576" w:hRule="atLeast"/>
          <w:jc w:val="center"/>
        </w:trPr>
        <w:tc>
          <w:tcPr>
            <w:tcW w:w="10233" w:type="dxa"/>
            <w:gridSpan w:val="9"/>
            <w:tcBorders>
              <w:top w:val="nil"/>
              <w:left w:val="nil"/>
              <w:bottom w:val="nil"/>
              <w:right w:val="nil"/>
            </w:tcBorders>
            <w:noWrap w:val="0"/>
            <w:vAlign w:val="center"/>
          </w:tcPr>
          <w:p w14:paraId="59901E3B">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hint="default" w:ascii="Times New Roman" w:hAnsi="Times New Roman" w:eastAsia="黑体" w:cs="Times New Roman"/>
                <w:color w:val="000000"/>
                <w:sz w:val="30"/>
                <w:szCs w:val="30"/>
                <w:u w:val="none"/>
                <w:lang w:bidi="ar-SA"/>
              </w:rPr>
            </w:pPr>
            <w:r>
              <w:rPr>
                <w:rFonts w:hint="default" w:ascii="Times New Roman" w:hAnsi="Times New Roman" w:eastAsia="方正小标宋简体" w:cs="Times New Roman"/>
                <w:color w:val="000000"/>
                <w:kern w:val="0"/>
                <w:sz w:val="40"/>
                <w:szCs w:val="40"/>
                <w:u w:val="none"/>
                <w:lang w:val="en-US" w:eastAsia="zh-CN" w:bidi="ar"/>
              </w:rPr>
              <w:t>专项预算项目绩效目标完成情况自评表</w:t>
            </w:r>
          </w:p>
        </w:tc>
      </w:tr>
      <w:tr w14:paraId="49C3B8C6">
        <w:tblPrEx>
          <w:tblCellMar>
            <w:top w:w="15" w:type="dxa"/>
            <w:left w:w="15" w:type="dxa"/>
            <w:bottom w:w="15" w:type="dxa"/>
            <w:right w:w="15" w:type="dxa"/>
          </w:tblCellMar>
        </w:tblPrEx>
        <w:trPr>
          <w:trHeight w:val="31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4BA1F7CA">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45C4EB5">
            <w:pPr>
              <w:pStyle w:val="37"/>
              <w:keepNext w:val="0"/>
              <w:keepLines w:val="0"/>
              <w:pageBreakBefore w:val="0"/>
              <w:widowControl w:val="0"/>
              <w:kinsoku/>
              <w:wordWrap/>
              <w:overflowPunct/>
              <w:topLinePunct w:val="0"/>
              <w:autoSpaceDE/>
              <w:autoSpaceDN/>
              <w:bidi w:val="0"/>
              <w:spacing w:line="578" w:lineRule="exact"/>
              <w:ind w:left="0"/>
              <w:jc w:val="both"/>
              <w:textAlignment w:val="auto"/>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color w:val="000000"/>
                <w:kern w:val="0"/>
                <w:sz w:val="18"/>
                <w:szCs w:val="18"/>
                <w:u w:val="none"/>
                <w:lang w:val="en-US" w:eastAsia="zh-CN" w:bidi="ar"/>
              </w:rPr>
              <w:t>失能老年人家庭照护服务</w:t>
            </w:r>
          </w:p>
        </w:tc>
      </w:tr>
      <w:tr w14:paraId="0B4B20CE">
        <w:tblPrEx>
          <w:tblCellMar>
            <w:top w:w="15" w:type="dxa"/>
            <w:left w:w="15" w:type="dxa"/>
            <w:bottom w:w="15" w:type="dxa"/>
            <w:right w:w="15" w:type="dxa"/>
          </w:tblCellMar>
        </w:tblPrEx>
        <w:trPr>
          <w:trHeight w:val="259"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5C8BF3E0">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288760E">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u w:val="none"/>
                <w:lang w:val="en-US" w:eastAsia="zh-CN" w:bidi="ar-SA"/>
              </w:rPr>
            </w:pPr>
            <w:r>
              <w:rPr>
                <w:rFonts w:hint="default" w:ascii="Times New Roman" w:hAnsi="Times New Roman" w:eastAsia="方正仿宋_GBK" w:cs="Times New Roman"/>
                <w:color w:val="000000"/>
                <w:sz w:val="18"/>
                <w:szCs w:val="18"/>
                <w:u w:val="none"/>
                <w:lang w:val="en-US" w:eastAsia="zh-CN" w:bidi="ar-SA"/>
              </w:rPr>
              <w:t>攀枝花市民政局</w:t>
            </w:r>
          </w:p>
        </w:tc>
      </w:tr>
      <w:tr w14:paraId="3979905F">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0680C558">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8847B90">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方正仿宋_GBK" w:cs="Times New Roman"/>
                <w:color w:val="000000"/>
                <w:sz w:val="18"/>
                <w:szCs w:val="18"/>
                <w:u w:val="none"/>
                <w:lang w:val="en-US" w:eastAsia="zh-CN" w:bidi="ar-SA"/>
              </w:rPr>
            </w:pPr>
            <w:r>
              <w:rPr>
                <w:rFonts w:hint="default" w:ascii="Times New Roman" w:hAnsi="Times New Roman" w:eastAsia="方正仿宋_GBK" w:cs="Times New Roman"/>
                <w:color w:val="000000"/>
                <w:sz w:val="18"/>
                <w:szCs w:val="18"/>
                <w:u w:val="none"/>
                <w:lang w:val="en-US" w:eastAsia="zh-CN" w:bidi="ar-SA"/>
              </w:rPr>
              <w:t>养老服务项目</w:t>
            </w:r>
          </w:p>
        </w:tc>
      </w:tr>
      <w:tr w14:paraId="14912EB3">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59B4270">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21CCE30">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中长期规划（名称、文号，仅指</w:t>
            </w:r>
          </w:p>
          <w:p w14:paraId="37195435">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7B140E7">
            <w:pPr>
              <w:keepNext w:val="0"/>
              <w:keepLines w:val="0"/>
              <w:pageBreakBefore w:val="0"/>
              <w:widowControl w:val="0"/>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color w:val="000000"/>
                <w:sz w:val="18"/>
                <w:szCs w:val="18"/>
                <w:u w:val="none"/>
                <w:lang w:bidi="ar-SA"/>
              </w:rPr>
              <w:t>四川省民政厅关于印发《四川省困难老年人家庭智能适老化改造工作导则（试行）》等三个工作导则的通知（川民发</w:t>
            </w:r>
            <w:r>
              <w:rPr>
                <w:rFonts w:hint="default" w:ascii="Times New Roman" w:hAnsi="Times New Roman" w:eastAsia="方正仿宋_GBK" w:cs="Times New Roman"/>
                <w:kern w:val="2"/>
                <w:sz w:val="18"/>
                <w:szCs w:val="18"/>
                <w:lang w:bidi="ar-SA"/>
              </w:rPr>
              <w:t>〔</w:t>
            </w:r>
            <w:r>
              <w:rPr>
                <w:rFonts w:hint="default" w:ascii="Times New Roman" w:hAnsi="Times New Roman" w:eastAsia="方正仿宋_GBK" w:cs="Times New Roman"/>
                <w:spacing w:val="-17"/>
                <w:sz w:val="18"/>
                <w:szCs w:val="18"/>
              </w:rPr>
              <w:t>2025</w:t>
            </w:r>
            <w:r>
              <w:rPr>
                <w:rFonts w:hint="default" w:ascii="Times New Roman" w:hAnsi="Times New Roman" w:eastAsia="方正仿宋_GBK" w:cs="Times New Roman"/>
                <w:kern w:val="2"/>
                <w:sz w:val="18"/>
                <w:szCs w:val="18"/>
                <w:lang w:bidi="ar-SA"/>
              </w:rPr>
              <w:t>〕80号</w:t>
            </w:r>
            <w:r>
              <w:rPr>
                <w:rFonts w:hint="default" w:ascii="Times New Roman" w:hAnsi="Times New Roman" w:eastAsia="方正仿宋_GBK" w:cs="Times New Roman"/>
                <w:color w:val="000000"/>
                <w:sz w:val="18"/>
                <w:szCs w:val="18"/>
                <w:u w:val="none"/>
                <w:lang w:bidi="ar-SA"/>
              </w:rPr>
              <w:t>）</w:t>
            </w:r>
          </w:p>
          <w:p w14:paraId="7D26C8D7">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color w:val="000000"/>
                <w:sz w:val="18"/>
                <w:szCs w:val="18"/>
                <w:u w:val="none"/>
                <w:lang w:bidi="ar-SA"/>
              </w:rPr>
              <w:t>四川省财政厅 四川省民政厅关于印发《四川省省级财政养老服务业发展专项资金管理办法》的通知（川财社</w:t>
            </w:r>
            <w:r>
              <w:rPr>
                <w:rFonts w:hint="default" w:ascii="Times New Roman" w:hAnsi="Times New Roman" w:eastAsia="方正仿宋_GBK" w:cs="Times New Roman"/>
                <w:kern w:val="2"/>
                <w:sz w:val="18"/>
                <w:szCs w:val="18"/>
                <w:lang w:bidi="ar-SA"/>
              </w:rPr>
              <w:t>〔</w:t>
            </w:r>
            <w:r>
              <w:rPr>
                <w:rFonts w:hint="default" w:ascii="Times New Roman" w:hAnsi="Times New Roman" w:eastAsia="方正仿宋_GBK" w:cs="Times New Roman"/>
                <w:spacing w:val="-17"/>
                <w:sz w:val="18"/>
                <w:szCs w:val="18"/>
              </w:rPr>
              <w:t>2019</w:t>
            </w:r>
            <w:r>
              <w:rPr>
                <w:rFonts w:hint="default" w:ascii="Times New Roman" w:hAnsi="Times New Roman" w:eastAsia="方正仿宋_GBK" w:cs="Times New Roman"/>
                <w:kern w:val="2"/>
                <w:sz w:val="18"/>
                <w:szCs w:val="18"/>
                <w:lang w:bidi="ar-SA"/>
              </w:rPr>
              <w:t>〕59号</w:t>
            </w:r>
            <w:r>
              <w:rPr>
                <w:rFonts w:hint="default" w:ascii="Times New Roman" w:hAnsi="Times New Roman" w:eastAsia="方正仿宋_GBK" w:cs="Times New Roman"/>
                <w:color w:val="000000"/>
                <w:sz w:val="18"/>
                <w:szCs w:val="18"/>
                <w:u w:val="none"/>
                <w:lang w:bidi="ar-SA"/>
              </w:rPr>
              <w:t>）</w:t>
            </w:r>
          </w:p>
        </w:tc>
      </w:tr>
      <w:tr w14:paraId="4B2CEC21">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9A15CB">
            <w:pPr>
              <w:rPr>
                <w:rFonts w:hint="default" w:ascii="Times New Roman" w:hAnsi="Times New Roman" w:cs="Times New Roman"/>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5B80358">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FB2FDA0">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color w:val="000000"/>
                <w:sz w:val="18"/>
                <w:szCs w:val="18"/>
                <w:u w:val="none"/>
                <w:lang w:bidi="ar-SA"/>
              </w:rPr>
              <w:t>四川省财政厅 四川省民政厅关于印发《四川省省级财政养老服务业发展专项资金管理办法》的通知（川财社</w:t>
            </w:r>
            <w:r>
              <w:rPr>
                <w:rFonts w:hint="default" w:ascii="Times New Roman" w:hAnsi="Times New Roman" w:eastAsia="方正仿宋_GBK" w:cs="Times New Roman"/>
                <w:kern w:val="2"/>
                <w:sz w:val="18"/>
                <w:szCs w:val="18"/>
                <w:lang w:bidi="ar-SA"/>
              </w:rPr>
              <w:t>〔</w:t>
            </w:r>
            <w:r>
              <w:rPr>
                <w:rFonts w:hint="default" w:ascii="Times New Roman" w:hAnsi="Times New Roman" w:eastAsia="方正仿宋_GBK" w:cs="Times New Roman"/>
                <w:spacing w:val="-17"/>
                <w:sz w:val="18"/>
                <w:szCs w:val="18"/>
              </w:rPr>
              <w:t>2019</w:t>
            </w:r>
            <w:r>
              <w:rPr>
                <w:rFonts w:hint="default" w:ascii="Times New Roman" w:hAnsi="Times New Roman" w:eastAsia="方正仿宋_GBK" w:cs="Times New Roman"/>
                <w:kern w:val="2"/>
                <w:sz w:val="18"/>
                <w:szCs w:val="18"/>
                <w:lang w:bidi="ar-SA"/>
              </w:rPr>
              <w:t>〕59号</w:t>
            </w:r>
            <w:r>
              <w:rPr>
                <w:rFonts w:hint="default" w:ascii="Times New Roman" w:hAnsi="Times New Roman" w:eastAsia="方正仿宋_GBK" w:cs="Times New Roman"/>
                <w:color w:val="000000"/>
                <w:sz w:val="18"/>
                <w:szCs w:val="18"/>
                <w:u w:val="none"/>
                <w:lang w:bidi="ar-SA"/>
              </w:rPr>
              <w:t>）</w:t>
            </w:r>
          </w:p>
        </w:tc>
      </w:tr>
      <w:tr w14:paraId="23CB63BD">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C7446C">
            <w:pPr>
              <w:rPr>
                <w:rFonts w:hint="default" w:ascii="Times New Roman" w:hAnsi="Times New Roman" w:cs="Times New Roman"/>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5ED1026">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3CAC51F">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color w:val="000000"/>
                <w:kern w:val="0"/>
                <w:sz w:val="18"/>
                <w:szCs w:val="18"/>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54D00E95">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color w:val="000000"/>
                <w:sz w:val="18"/>
                <w:szCs w:val="18"/>
              </w:rPr>
              <w:sym w:font="Wingdings 2" w:char="0052"/>
            </w:r>
            <w:r>
              <w:rPr>
                <w:rFonts w:hint="default" w:ascii="Times New Roman" w:hAnsi="Times New Roman" w:eastAsia="方正仿宋_GBK" w:cs="Times New Roman"/>
                <w:color w:val="000000"/>
                <w:kern w:val="0"/>
                <w:sz w:val="18"/>
                <w:szCs w:val="18"/>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6C8EA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color w:val="000000"/>
                <w:kern w:val="0"/>
                <w:sz w:val="18"/>
                <w:szCs w:val="18"/>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5A056C1">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color w:val="000000"/>
                <w:kern w:val="0"/>
                <w:sz w:val="18"/>
                <w:szCs w:val="18"/>
                <w:u w:val="none"/>
                <w:lang w:val="en-US" w:eastAsia="zh-CN" w:bidi="ar"/>
              </w:rPr>
              <w:t>因素法与项目法相结合</w:t>
            </w:r>
          </w:p>
        </w:tc>
      </w:tr>
      <w:tr w14:paraId="36A4DFCA">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35535F">
            <w:pPr>
              <w:rPr>
                <w:rFonts w:hint="default" w:ascii="Times New Roman" w:hAnsi="Times New Roman" w:cs="Times New Roman"/>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1337CC3">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B329493">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color w:val="000000"/>
                <w:kern w:val="0"/>
                <w:sz w:val="18"/>
                <w:szCs w:val="18"/>
                <w:u w:val="none"/>
                <w:lang w:val="en-US" w:eastAsia="zh-CN" w:bidi="ar"/>
              </w:rPr>
              <w:t>《四川省民政厅 四川省财政厅关于做好2025年第一批民政领域转移支付项目申报工作的通知》</w:t>
            </w:r>
            <w:r>
              <w:rPr>
                <w:rFonts w:hint="default" w:ascii="Times New Roman" w:hAnsi="Times New Roman" w:eastAsia="方正仿宋_GBK" w:cs="Times New Roman"/>
                <w:color w:val="000000"/>
                <w:sz w:val="18"/>
                <w:szCs w:val="18"/>
                <w:u w:val="none"/>
                <w:lang w:bidi="ar-SA"/>
              </w:rPr>
              <w:t>（川民发</w:t>
            </w:r>
            <w:r>
              <w:rPr>
                <w:rFonts w:hint="default" w:ascii="Times New Roman" w:hAnsi="Times New Roman" w:eastAsia="方正仿宋_GBK" w:cs="Times New Roman"/>
                <w:kern w:val="2"/>
                <w:sz w:val="18"/>
                <w:szCs w:val="18"/>
                <w:lang w:bidi="ar-SA"/>
              </w:rPr>
              <w:t>〔</w:t>
            </w:r>
            <w:r>
              <w:rPr>
                <w:rFonts w:hint="default" w:ascii="Times New Roman" w:hAnsi="Times New Roman" w:eastAsia="方正仿宋_GBK" w:cs="Times New Roman"/>
                <w:spacing w:val="-17"/>
                <w:sz w:val="18"/>
                <w:szCs w:val="18"/>
              </w:rPr>
              <w:t>2025</w:t>
            </w:r>
            <w:r>
              <w:rPr>
                <w:rFonts w:hint="default" w:ascii="Times New Roman" w:hAnsi="Times New Roman" w:eastAsia="方正仿宋_GBK" w:cs="Times New Roman"/>
                <w:kern w:val="2"/>
                <w:sz w:val="18"/>
                <w:szCs w:val="18"/>
                <w:lang w:bidi="ar-SA"/>
              </w:rPr>
              <w:t>〕14号</w:t>
            </w:r>
            <w:r>
              <w:rPr>
                <w:rFonts w:hint="default" w:ascii="Times New Roman" w:hAnsi="Times New Roman" w:eastAsia="方正仿宋_GBK" w:cs="Times New Roman"/>
                <w:color w:val="000000"/>
                <w:sz w:val="18"/>
                <w:szCs w:val="18"/>
                <w:u w:val="none"/>
                <w:lang w:bidi="ar-SA"/>
              </w:rPr>
              <w:t>）</w:t>
            </w:r>
          </w:p>
        </w:tc>
      </w:tr>
      <w:tr w14:paraId="19008A61">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98F975">
            <w:pPr>
              <w:rPr>
                <w:rFonts w:hint="default" w:ascii="Times New Roman" w:hAnsi="Times New Roman" w:cs="Times New Roman"/>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79338D8">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48B3059">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方正仿宋_GBK" w:cs="Times New Roman"/>
                <w:color w:val="000000"/>
                <w:sz w:val="18"/>
                <w:szCs w:val="18"/>
                <w:u w:val="none"/>
                <w:lang w:bidi="ar-SA"/>
              </w:rPr>
            </w:pPr>
            <w:r>
              <w:rPr>
                <w:rFonts w:hint="default" w:ascii="Times New Roman" w:hAnsi="Times New Roman" w:eastAsia="方正仿宋_GBK" w:cs="Times New Roman"/>
                <w:snapToGrid w:val="0"/>
                <w:kern w:val="0"/>
                <w:sz w:val="18"/>
                <w:szCs w:val="18"/>
                <w:lang w:val="en-US" w:eastAsia="zh-CN" w:bidi="ar-SA"/>
              </w:rPr>
              <w:t>养老服务项目</w:t>
            </w:r>
          </w:p>
        </w:tc>
      </w:tr>
      <w:tr w14:paraId="39FD4301">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A2B4F1">
            <w:pPr>
              <w:rPr>
                <w:rFonts w:hint="default" w:ascii="Times New Roman" w:hAnsi="Times New Roman" w:cs="Times New Roman"/>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1474750">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0933306">
            <w:pPr>
              <w:keepNext w:val="0"/>
              <w:keepLines w:val="0"/>
              <w:pageBreakBefore w:val="0"/>
              <w:widowControl w:val="0"/>
              <w:kinsoku/>
              <w:wordWrap/>
              <w:overflowPunct/>
              <w:topLinePunct w:val="0"/>
              <w:autoSpaceDE/>
              <w:autoSpaceDN/>
              <w:adjustRightInd/>
              <w:snapToGrid/>
              <w:spacing w:line="300" w:lineRule="exact"/>
              <w:jc w:val="left"/>
              <w:rPr>
                <w:rFonts w:hint="default" w:ascii="Times New Roman" w:hAnsi="Times New Roman" w:eastAsia="方正仿宋_GBK" w:cs="Times New Roman"/>
                <w:color w:val="000000"/>
                <w:sz w:val="18"/>
                <w:szCs w:val="18"/>
                <w:u w:val="none"/>
                <w:lang w:val="en-US" w:eastAsia="en-US" w:bidi="ar-SA"/>
              </w:rPr>
            </w:pPr>
          </w:p>
        </w:tc>
      </w:tr>
      <w:tr w14:paraId="60BC5105">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6ED251">
            <w:pPr>
              <w:rPr>
                <w:rFonts w:hint="default" w:ascii="Times New Roman" w:hAnsi="Times New Roman" w:cs="Times New Roman"/>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AD44E95">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highlight w:val="none"/>
                <w:u w:val="none"/>
                <w:lang w:bidi="ar-SA"/>
              </w:rPr>
            </w:pPr>
            <w:r>
              <w:rPr>
                <w:rFonts w:hint="default" w:ascii="Times New Roman" w:hAnsi="Times New Roman" w:eastAsia="宋体" w:cs="Times New Roman"/>
                <w:color w:val="000000"/>
                <w:kern w:val="0"/>
                <w:sz w:val="24"/>
                <w:szCs w:val="24"/>
                <w:highlight w:val="none"/>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C316B85">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2025年7月—2026年6月</w:t>
            </w:r>
          </w:p>
        </w:tc>
      </w:tr>
      <w:tr w14:paraId="26CC4521">
        <w:tblPrEx>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375A13">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项目资金</w:t>
            </w:r>
          </w:p>
          <w:p w14:paraId="38807336">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380B1647">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8894F4F">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500</w:t>
            </w:r>
          </w:p>
        </w:tc>
      </w:tr>
      <w:tr w14:paraId="311117CD">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46A02F">
            <w:pPr>
              <w:rPr>
                <w:rFonts w:hint="default" w:ascii="Times New Roman" w:hAnsi="Times New Roman" w:cs="Times New Roman"/>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227AC049">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2717801">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500</w:t>
            </w:r>
          </w:p>
        </w:tc>
      </w:tr>
      <w:tr w14:paraId="62A4CF5F">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C463EB">
            <w:pPr>
              <w:rPr>
                <w:rFonts w:hint="default" w:ascii="Times New Roman" w:hAnsi="Times New Roman" w:cs="Times New Roman"/>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518E6A4B">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C0E8B27">
            <w:pPr>
              <w:keepNext w:val="0"/>
              <w:keepLines w:val="0"/>
              <w:pageBreakBefore w:val="0"/>
              <w:widowControl w:val="0"/>
              <w:kinsoku/>
              <w:wordWrap/>
              <w:overflowPunct/>
              <w:topLinePunct w:val="0"/>
              <w:autoSpaceDE/>
              <w:autoSpaceDN/>
              <w:bidi w:val="0"/>
              <w:adjustRightInd/>
              <w:snapToGrid/>
              <w:spacing w:line="300" w:lineRule="exact"/>
              <w:ind w:left="0"/>
              <w:jc w:val="right"/>
              <w:rPr>
                <w:rFonts w:hint="default" w:ascii="Times New Roman" w:hAnsi="Times New Roman" w:eastAsia="方正仿宋_GBK" w:cs="Times New Roman"/>
                <w:color w:val="000000"/>
                <w:sz w:val="24"/>
                <w:szCs w:val="24"/>
                <w:u w:val="none"/>
                <w:lang w:val="en-US" w:eastAsia="zh-CN" w:bidi="ar-SA"/>
              </w:rPr>
            </w:pPr>
          </w:p>
        </w:tc>
      </w:tr>
      <w:tr w14:paraId="665CF1B0">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EFC140B">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186ED23B">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年度目标</w:t>
            </w:r>
          </w:p>
        </w:tc>
      </w:tr>
      <w:tr w14:paraId="7D9E66FA">
        <w:tblPrEx>
          <w:tblCellMar>
            <w:top w:w="15" w:type="dxa"/>
            <w:left w:w="15" w:type="dxa"/>
            <w:bottom w:w="15" w:type="dxa"/>
            <w:right w:w="15" w:type="dxa"/>
          </w:tblCellMar>
        </w:tblPrEx>
        <w:trPr>
          <w:trHeight w:val="4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B92ADB">
            <w:pPr>
              <w:rPr>
                <w:rFonts w:hint="default" w:ascii="Times New Roman" w:hAnsi="Times New Roman" w:cs="Times New Roman"/>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1C4691A0">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24"/>
                <w:szCs w:val="24"/>
                <w:u w:val="none"/>
                <w:lang w:eastAsia="zh-CN" w:bidi="ar-SA"/>
              </w:rPr>
            </w:pPr>
            <w:r>
              <w:rPr>
                <w:rFonts w:hint="default" w:ascii="Times New Roman" w:hAnsi="Times New Roman" w:eastAsia="方正仿宋_GBK" w:cs="Times New Roman"/>
                <w:color w:val="000000"/>
                <w:sz w:val="18"/>
                <w:szCs w:val="18"/>
                <w:highlight w:val="none"/>
                <w:u w:val="none"/>
                <w:lang w:val="en-US" w:eastAsia="zh-CN" w:bidi="ar-SA"/>
              </w:rPr>
              <w:t>积极支持构建以居家为基础、社区为依托、机构为补充、医养结合的社会养老服务体系，增加有效服务供给，提升养老服务质量，不断满足人民群众日益增长的养老服务需求。</w:t>
            </w:r>
          </w:p>
        </w:tc>
      </w:tr>
      <w:tr w14:paraId="6BE82C54">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nil"/>
            </w:tcBorders>
            <w:noWrap w:val="0"/>
            <w:vAlign w:val="center"/>
          </w:tcPr>
          <w:p w14:paraId="178A94BC">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39721815">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2634349B">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2C07F85">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817198B">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0915289">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453AE30">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4357D1A">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01BC60D">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实际完成指标值</w:t>
            </w:r>
          </w:p>
        </w:tc>
      </w:tr>
      <w:tr w14:paraId="78B3BB27">
        <w:tblPrEx>
          <w:tblCellMar>
            <w:top w:w="15" w:type="dxa"/>
            <w:left w:w="15" w:type="dxa"/>
            <w:bottom w:w="15" w:type="dxa"/>
            <w:right w:w="15" w:type="dxa"/>
          </w:tblCellMar>
        </w:tblPrEx>
        <w:trPr>
          <w:trHeight w:val="438"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7DC988D4">
            <w:pPr>
              <w:rPr>
                <w:rFonts w:hint="default" w:ascii="Times New Roman" w:hAnsi="Times New Roman" w:cs="Times New Roman"/>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3B82D49F">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79DC5E15">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B284F2F">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新增失能老年人家庭照护服务点位</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20D1BDE">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定量</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0952EBD">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13B1D85">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07D2C05">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31BAE41">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5个</w:t>
            </w:r>
          </w:p>
        </w:tc>
      </w:tr>
      <w:tr w14:paraId="3C9EFF6C">
        <w:tblPrEx>
          <w:tblCellMar>
            <w:top w:w="15" w:type="dxa"/>
            <w:left w:w="15" w:type="dxa"/>
            <w:bottom w:w="15" w:type="dxa"/>
            <w:right w:w="15" w:type="dxa"/>
          </w:tblCellMar>
        </w:tblPrEx>
        <w:trPr>
          <w:trHeight w:val="412"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5CB1CD7C">
            <w:pPr>
              <w:rPr>
                <w:rFonts w:hint="default" w:ascii="Times New Roman" w:hAnsi="Times New Roman" w:cs="Times New Roman"/>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0F0067">
            <w:pPr>
              <w:rPr>
                <w:rFonts w:hint="default" w:ascii="Times New Roman" w:hAnsi="Times New Roman" w:cs="Times New Roman"/>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0253B506">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D70B76C">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项目验收合格率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8169835">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定量</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BCAC862">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4451D67">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A18EECE">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4D5A9BB">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已完成验收1个，4个正在建设中</w:t>
            </w:r>
          </w:p>
        </w:tc>
      </w:tr>
      <w:tr w14:paraId="58E8E9E4">
        <w:tblPrEx>
          <w:tblCellMar>
            <w:top w:w="15" w:type="dxa"/>
            <w:left w:w="15" w:type="dxa"/>
            <w:bottom w:w="15" w:type="dxa"/>
            <w:right w:w="15" w:type="dxa"/>
          </w:tblCellMar>
        </w:tblPrEx>
        <w:trPr>
          <w:trHeight w:val="335"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71E07C12">
            <w:pPr>
              <w:rPr>
                <w:rFonts w:hint="default" w:ascii="Times New Roman" w:hAnsi="Times New Roman" w:cs="Times New Roman"/>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E790CA">
            <w:pPr>
              <w:rPr>
                <w:rFonts w:hint="default" w:ascii="Times New Roman" w:hAnsi="Times New Roman" w:cs="Times New Roman"/>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0F39771">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309A7C3A">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经费保障时间</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6B4E8E3">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定量</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BF4C950">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8307F21">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年</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B1FC49B">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490BD9D">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1年</w:t>
            </w:r>
          </w:p>
        </w:tc>
      </w:tr>
      <w:tr w14:paraId="44BB1780">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53849801">
            <w:pPr>
              <w:rPr>
                <w:rFonts w:hint="default" w:ascii="Times New Roman" w:hAnsi="Times New Roman" w:cs="Times New Roman"/>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2C3A6F99">
            <w:pPr>
              <w:keepNext w:val="0"/>
              <w:keepLines w:val="0"/>
              <w:pageBreakBefore w:val="0"/>
              <w:widowControl/>
              <w:suppressLineNumbers w:val="0"/>
              <w:kinsoku/>
              <w:wordWrap/>
              <w:overflowPunct/>
              <w:topLinePunct w:val="0"/>
              <w:autoSpaceDE/>
              <w:autoSpaceDN/>
              <w:adjustRightInd/>
              <w:snapToGrid/>
              <w:spacing w:line="300" w:lineRule="exact"/>
              <w:ind w:left="0"/>
              <w:textAlignment w:val="center"/>
              <w:rPr>
                <w:rFonts w:hint="default" w:ascii="Times New Roman" w:hAnsi="Times New Roman" w:eastAsia="宋体" w:cs="Times New Roman"/>
                <w:color w:val="000000"/>
                <w:kern w:val="0"/>
                <w:sz w:val="24"/>
                <w:szCs w:val="24"/>
                <w:lang w:bidi="ar"/>
              </w:rPr>
            </w:pPr>
            <w:r>
              <w:rPr>
                <w:rFonts w:hint="default" w:ascii="Times New Roman" w:hAnsi="Times New Roman" w:eastAsia="宋体" w:cs="Times New Roman"/>
                <w:color w:val="000000"/>
                <w:kern w:val="0"/>
                <w:sz w:val="24"/>
                <w:szCs w:val="24"/>
                <w:u w:val="none"/>
                <w:lang w:val="en-US" w:eastAsia="zh-CN" w:bidi="ar"/>
              </w:rPr>
              <w:t>效益指标</w:t>
            </w:r>
          </w:p>
        </w:tc>
        <w:tc>
          <w:tcPr>
            <w:tcW w:w="1250" w:type="dxa"/>
            <w:tcBorders>
              <w:top w:val="single" w:color="000000" w:sz="4" w:space="0"/>
              <w:left w:val="single" w:color="000000" w:sz="4" w:space="0"/>
              <w:bottom w:val="nil"/>
              <w:right w:val="single" w:color="000000" w:sz="4" w:space="0"/>
            </w:tcBorders>
            <w:noWrap w:val="0"/>
            <w:vAlign w:val="center"/>
          </w:tcPr>
          <w:p w14:paraId="1B93DFE6">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社会效益</w:t>
            </w:r>
          </w:p>
          <w:p w14:paraId="44FBE3A2">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4BD10D47">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老年人日益增加的养老服务需求</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8C3DA59">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0CC242A">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不断满足</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E848D0B">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A52DB56">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D9115B5">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不断满足</w:t>
            </w:r>
          </w:p>
        </w:tc>
      </w:tr>
      <w:tr w14:paraId="6B546017">
        <w:tblPrEx>
          <w:tblCellMar>
            <w:top w:w="15" w:type="dxa"/>
            <w:left w:w="15" w:type="dxa"/>
            <w:bottom w:w="15" w:type="dxa"/>
            <w:right w:w="15" w:type="dxa"/>
          </w:tblCellMar>
        </w:tblPrEx>
        <w:trPr>
          <w:trHeight w:val="389"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1F69B0AF">
            <w:pPr>
              <w:rPr>
                <w:rFonts w:hint="default" w:ascii="Times New Roman" w:hAnsi="Times New Roman" w:cs="Times New Roman"/>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A225D7">
            <w:pPr>
              <w:rPr>
                <w:rFonts w:hint="default" w:ascii="Times New Roman" w:hAnsi="Times New Roman" w:cs="Times New Roman"/>
              </w:rPr>
            </w:pPr>
          </w:p>
        </w:tc>
        <w:tc>
          <w:tcPr>
            <w:tcW w:w="1250" w:type="dxa"/>
            <w:tcBorders>
              <w:top w:val="single" w:color="000000" w:sz="4" w:space="0"/>
              <w:left w:val="single" w:color="000000" w:sz="4" w:space="0"/>
              <w:bottom w:val="nil"/>
              <w:right w:val="single" w:color="000000" w:sz="4" w:space="0"/>
            </w:tcBorders>
            <w:noWrap w:val="0"/>
            <w:vAlign w:val="center"/>
          </w:tcPr>
          <w:p w14:paraId="16333C64">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可持续影响</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FADD903">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收益老年群体幸福感</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DF98F5E">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BDAD1B8">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不断提升</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302149F">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2F8ABF2">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E507FFE">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不断提升</w:t>
            </w:r>
          </w:p>
        </w:tc>
      </w:tr>
      <w:tr w14:paraId="6C0A7BF6">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7722B244">
            <w:pPr>
              <w:rPr>
                <w:rFonts w:hint="default" w:ascii="Times New Roman" w:hAnsi="Times New Roman" w:cs="Times New Roman"/>
              </w:rPr>
            </w:pPr>
          </w:p>
        </w:tc>
        <w:tc>
          <w:tcPr>
            <w:tcW w:w="1081" w:type="dxa"/>
            <w:tcBorders>
              <w:top w:val="single" w:color="000000" w:sz="4" w:space="0"/>
              <w:left w:val="single" w:color="000000" w:sz="4" w:space="0"/>
              <w:bottom w:val="nil"/>
              <w:right w:val="single" w:color="000000" w:sz="4" w:space="0"/>
            </w:tcBorders>
            <w:noWrap w:val="0"/>
            <w:vAlign w:val="center"/>
          </w:tcPr>
          <w:p w14:paraId="0E710B92">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满意度</w:t>
            </w:r>
          </w:p>
          <w:p w14:paraId="1B68F1A0">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lang w:bidi="ar-SA"/>
              </w:rPr>
            </w:pPr>
            <w:r>
              <w:rPr>
                <w:rFonts w:hint="default" w:ascii="Times New Roman" w:hAnsi="Times New Roman" w:eastAsia="宋体" w:cs="Times New Roman"/>
                <w:color w:val="000000"/>
                <w:kern w:val="0"/>
                <w:sz w:val="24"/>
                <w:szCs w:val="24"/>
                <w:lang w:val="en-US" w:eastAsia="zh-CN" w:bidi="ar"/>
              </w:rPr>
              <w:t>指标</w:t>
            </w:r>
          </w:p>
        </w:tc>
        <w:tc>
          <w:tcPr>
            <w:tcW w:w="1250" w:type="dxa"/>
            <w:tcBorders>
              <w:top w:val="single" w:color="000000" w:sz="4" w:space="0"/>
              <w:left w:val="single" w:color="000000" w:sz="4" w:space="0"/>
              <w:bottom w:val="nil"/>
              <w:right w:val="single" w:color="000000" w:sz="4" w:space="0"/>
            </w:tcBorders>
            <w:noWrap w:val="0"/>
            <w:vAlign w:val="center"/>
          </w:tcPr>
          <w:p w14:paraId="175D4DC4">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服务对象</w:t>
            </w:r>
          </w:p>
          <w:p w14:paraId="037EFC2B">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lang w:bidi="ar-SA"/>
              </w:rPr>
            </w:pPr>
            <w:r>
              <w:rPr>
                <w:rFonts w:hint="default" w:ascii="Times New Roman" w:hAnsi="Times New Roman" w:eastAsia="宋体" w:cs="Times New Roman"/>
                <w:color w:val="000000"/>
                <w:kern w:val="0"/>
                <w:sz w:val="24"/>
                <w:szCs w:val="24"/>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1C861D7">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受益老年人满意度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5E14096">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定量</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00E661D">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≥90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82AF48F">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C399A89">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5C40163">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90%</w:t>
            </w:r>
          </w:p>
        </w:tc>
      </w:tr>
    </w:tbl>
    <w:p w14:paraId="513C70FE">
      <w:pPr>
        <w:tabs>
          <w:tab w:val="left" w:pos="-60"/>
        </w:tabs>
        <w:rPr>
          <w:rFonts w:hint="default" w:ascii="Times New Roman" w:hAnsi="Times New Roman" w:eastAsia="黑体" w:cs="Times New Roman"/>
          <w:sz w:val="24"/>
        </w:rPr>
      </w:pPr>
    </w:p>
    <w:p w14:paraId="12EC6B99">
      <w:pPr>
        <w:keepNext w:val="0"/>
        <w:keepLines w:val="0"/>
        <w:pageBreakBefore w:val="0"/>
        <w:widowControl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color w:val="auto"/>
          <w:kern w:val="0"/>
          <w:sz w:val="32"/>
          <w:szCs w:val="32"/>
          <w:highlight w:val="none"/>
          <w:u w:val="none"/>
          <w:shd w:val="clear" w:color="auto" w:fill="FFFFFF"/>
          <w:lang w:val="en-US" w:eastAsia="zh-CN" w:bidi="ar-SA"/>
        </w:rPr>
      </w:pPr>
      <w:r>
        <w:rPr>
          <w:rFonts w:hint="default" w:ascii="Times New Roman" w:hAnsi="Times New Roman" w:eastAsia="黑体" w:cs="Times New Roman"/>
          <w:color w:val="auto"/>
          <w:kern w:val="0"/>
          <w:sz w:val="32"/>
          <w:szCs w:val="32"/>
          <w:highlight w:val="none"/>
          <w:u w:val="none"/>
          <w:shd w:val="clear" w:color="auto" w:fill="FFFFFF"/>
          <w:lang w:val="zh-CN" w:eastAsia="zh-CN" w:bidi="ar-SA"/>
        </w:rPr>
        <w:t>附表</w:t>
      </w:r>
      <w:r>
        <w:rPr>
          <w:rFonts w:hint="default" w:ascii="Times New Roman" w:hAnsi="Times New Roman" w:eastAsia="黑体" w:cs="Times New Roman"/>
          <w:color w:val="auto"/>
          <w:kern w:val="0"/>
          <w:sz w:val="32"/>
          <w:szCs w:val="32"/>
          <w:highlight w:val="none"/>
          <w:u w:val="none"/>
          <w:shd w:val="clear" w:color="auto" w:fill="FFFFFF"/>
          <w:lang w:val="en-US" w:eastAsia="zh-CN" w:bidi="ar-SA"/>
        </w:rPr>
        <w:t>3</w:t>
      </w:r>
    </w:p>
    <w:tbl>
      <w:tblPr>
        <w:tblStyle w:val="17"/>
        <w:tblW w:w="10233" w:type="dxa"/>
        <w:jc w:val="center"/>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664C6F42">
        <w:tblPrEx>
          <w:tblCellMar>
            <w:top w:w="15" w:type="dxa"/>
            <w:left w:w="15" w:type="dxa"/>
            <w:bottom w:w="15" w:type="dxa"/>
            <w:right w:w="15" w:type="dxa"/>
          </w:tblCellMar>
        </w:tblPrEx>
        <w:trPr>
          <w:trHeight w:val="576" w:hRule="atLeast"/>
          <w:jc w:val="center"/>
        </w:trPr>
        <w:tc>
          <w:tcPr>
            <w:tcW w:w="10233" w:type="dxa"/>
            <w:gridSpan w:val="9"/>
            <w:tcBorders>
              <w:top w:val="nil"/>
              <w:left w:val="nil"/>
              <w:bottom w:val="nil"/>
              <w:right w:val="nil"/>
            </w:tcBorders>
            <w:noWrap w:val="0"/>
            <w:vAlign w:val="center"/>
          </w:tcPr>
          <w:p w14:paraId="7215B942">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hint="default" w:ascii="Times New Roman" w:hAnsi="Times New Roman" w:eastAsia="黑体" w:cs="Times New Roman"/>
                <w:color w:val="000000"/>
                <w:sz w:val="30"/>
                <w:szCs w:val="30"/>
                <w:u w:val="none"/>
                <w:lang w:bidi="ar-SA"/>
              </w:rPr>
            </w:pPr>
            <w:r>
              <w:rPr>
                <w:rFonts w:hint="default" w:ascii="Times New Roman" w:hAnsi="Times New Roman" w:eastAsia="方正小标宋简体" w:cs="Times New Roman"/>
                <w:color w:val="000000"/>
                <w:kern w:val="0"/>
                <w:sz w:val="40"/>
                <w:szCs w:val="40"/>
                <w:u w:val="none"/>
                <w:lang w:val="en-US" w:eastAsia="zh-CN" w:bidi="ar"/>
              </w:rPr>
              <w:t>专项预算项目绩效目标完成情况自评表</w:t>
            </w:r>
          </w:p>
        </w:tc>
      </w:tr>
      <w:tr w14:paraId="172BD383">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2F1233DD">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387BFEC">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困难老年人家庭适老化改造</w:t>
            </w:r>
          </w:p>
        </w:tc>
      </w:tr>
      <w:tr w14:paraId="6D687658">
        <w:tblPrEx>
          <w:tblCellMar>
            <w:top w:w="15" w:type="dxa"/>
            <w:left w:w="15" w:type="dxa"/>
            <w:bottom w:w="15" w:type="dxa"/>
            <w:right w:w="15" w:type="dxa"/>
          </w:tblCellMar>
        </w:tblPrEx>
        <w:trPr>
          <w:trHeight w:val="237"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573B4A90">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F2152D8">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攀枝花市民政局</w:t>
            </w:r>
          </w:p>
        </w:tc>
      </w:tr>
      <w:tr w14:paraId="1BEB8A3A">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4AEAD371">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D8CC9EA">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养老服务项目</w:t>
            </w:r>
          </w:p>
        </w:tc>
      </w:tr>
      <w:tr w14:paraId="464B16ED">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959AFC9">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A0FD74E">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中长期规划（名称、文号，仅指</w:t>
            </w:r>
          </w:p>
          <w:p w14:paraId="683EE798">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A27B7F8">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四川省民政厅关于印发《四川省困难老年人家庭智能适老化改造工作导则（试行）》等三个工作导则的通知（川民发〔2025〕80号）</w:t>
            </w:r>
          </w:p>
          <w:p w14:paraId="38263048">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四川省财政厅 四川省民政厅关于印发《四川省省级财政养老服务业发展专项资金管理办法》的通知（川财社〔2019〕59号）</w:t>
            </w:r>
          </w:p>
        </w:tc>
      </w:tr>
      <w:tr w14:paraId="1EE19061">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18AAC8">
            <w:pPr>
              <w:rPr>
                <w:rFonts w:hint="default" w:ascii="Times New Roman" w:hAnsi="Times New Roman" w:cs="Times New Roman"/>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629AAF3">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EE50DB1">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四川省财政厅 四川省民政厅关于印发《四川省省级财政养老服务业发展专项资金管理办法》的通知（川财社〔2019〕59号）</w:t>
            </w:r>
          </w:p>
        </w:tc>
      </w:tr>
      <w:tr w14:paraId="4358464A">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1E9177">
            <w:pPr>
              <w:rPr>
                <w:rFonts w:hint="default" w:ascii="Times New Roman" w:hAnsi="Times New Roman" w:cs="Times New Roman"/>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EFC186B">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bidi="ar-SA"/>
              </w:rPr>
            </w:pPr>
            <w:r>
              <w:rPr>
                <w:rFonts w:hint="default" w:ascii="Times New Roman" w:hAnsi="Times New Roman" w:eastAsia="方正仿宋_GBK" w:cs="Times New Roman"/>
                <w:color w:val="000000"/>
                <w:sz w:val="24"/>
                <w:szCs w:val="24"/>
                <w:u w:val="none"/>
                <w:lang w:val="en-US" w:eastAsia="zh-CN" w:bidi="ar-SA"/>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2E04F4F">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68458A17">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sym w:font="Wingdings 2" w:char="0052"/>
            </w:r>
            <w:r>
              <w:rPr>
                <w:rFonts w:hint="default" w:ascii="Times New Roman" w:hAnsi="Times New Roman" w:eastAsia="方正仿宋_GBK" w:cs="Times New Roman"/>
                <w:color w:val="000000"/>
                <w:sz w:val="18"/>
                <w:szCs w:val="18"/>
                <w:highlight w:val="none"/>
                <w:u w:val="none"/>
                <w:lang w:val="en-US" w:eastAsia="zh-CN" w:bidi="ar-SA"/>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C5EEA24">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E5FAB91">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因素法与项目法相结合</w:t>
            </w:r>
          </w:p>
        </w:tc>
      </w:tr>
      <w:tr w14:paraId="3CA72494">
        <w:tblPrEx>
          <w:tblCellMar>
            <w:top w:w="15" w:type="dxa"/>
            <w:left w:w="15" w:type="dxa"/>
            <w:bottom w:w="15" w:type="dxa"/>
            <w:right w:w="15" w:type="dxa"/>
          </w:tblCellMar>
        </w:tblPrEx>
        <w:trPr>
          <w:trHeight w:val="47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949DAB">
            <w:pPr>
              <w:rPr>
                <w:rFonts w:hint="default" w:ascii="Times New Roman" w:hAnsi="Times New Roman" w:cs="Times New Roman"/>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FCA7FD7">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bidi="ar-SA"/>
              </w:rPr>
            </w:pPr>
            <w:r>
              <w:rPr>
                <w:rFonts w:hint="default" w:ascii="Times New Roman" w:hAnsi="Times New Roman" w:eastAsia="方正仿宋_GBK" w:cs="Times New Roman"/>
                <w:color w:val="000000"/>
                <w:sz w:val="24"/>
                <w:szCs w:val="24"/>
                <w:u w:val="none"/>
                <w:lang w:val="en-US" w:eastAsia="zh-CN" w:bidi="ar-SA"/>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F47C984">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四川省民政厅关于印发《四川省困难老年人家庭智能适老化改造工作导则（试行）》等三个工作导则的通知（川民发〔2025〕80号）</w:t>
            </w:r>
          </w:p>
        </w:tc>
      </w:tr>
      <w:tr w14:paraId="3A0BDE9C">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FC6C87">
            <w:pPr>
              <w:rPr>
                <w:rFonts w:hint="default" w:ascii="Times New Roman" w:hAnsi="Times New Roman" w:cs="Times New Roman"/>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2D27508">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snapToGrid w:val="0"/>
                <w:kern w:val="0"/>
                <w:sz w:val="24"/>
                <w:szCs w:val="24"/>
                <w:lang w:val="en-US" w:eastAsia="zh-CN" w:bidi="ar-SA"/>
              </w:rPr>
            </w:pPr>
            <w:r>
              <w:rPr>
                <w:rFonts w:hint="default" w:ascii="Times New Roman" w:hAnsi="Times New Roman" w:eastAsia="方正仿宋_GBK" w:cs="Times New Roman"/>
                <w:snapToGrid w:val="0"/>
                <w:kern w:val="0"/>
                <w:sz w:val="24"/>
                <w:szCs w:val="24"/>
                <w:lang w:val="en-US" w:eastAsia="zh-CN" w:bidi="ar-SA"/>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258BEBE">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养老服务项目</w:t>
            </w:r>
          </w:p>
        </w:tc>
      </w:tr>
      <w:tr w14:paraId="75DE3410">
        <w:tblPrEx>
          <w:tblCellMar>
            <w:top w:w="15" w:type="dxa"/>
            <w:left w:w="15" w:type="dxa"/>
            <w:bottom w:w="15" w:type="dxa"/>
            <w:right w:w="15" w:type="dxa"/>
          </w:tblCellMar>
        </w:tblPrEx>
        <w:trPr>
          <w:trHeight w:val="24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6C86E5">
            <w:pPr>
              <w:rPr>
                <w:rFonts w:hint="default" w:ascii="Times New Roman" w:hAnsi="Times New Roman" w:cs="Times New Roman"/>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2523467">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Times New Roman" w:hAnsi="Times New Roman" w:eastAsia="方正仿宋_GBK" w:cs="Times New Roman"/>
                <w:snapToGrid w:val="0"/>
                <w:kern w:val="0"/>
                <w:sz w:val="24"/>
                <w:szCs w:val="24"/>
                <w:lang w:val="en-US" w:eastAsia="zh-CN" w:bidi="ar-SA"/>
              </w:rPr>
            </w:pPr>
            <w:r>
              <w:rPr>
                <w:rFonts w:hint="default" w:ascii="Times New Roman" w:hAnsi="Times New Roman" w:eastAsia="方正仿宋_GBK" w:cs="Times New Roman"/>
                <w:snapToGrid w:val="0"/>
                <w:kern w:val="0"/>
                <w:sz w:val="24"/>
                <w:szCs w:val="24"/>
                <w:lang w:val="en-US" w:eastAsia="zh-CN" w:bidi="ar-SA"/>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47B96FC">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Times New Roman" w:hAnsi="Times New Roman" w:eastAsia="方正仿宋_GBK" w:cs="Times New Roman"/>
                <w:color w:val="000000"/>
                <w:sz w:val="18"/>
                <w:szCs w:val="18"/>
                <w:highlight w:val="none"/>
                <w:u w:val="none"/>
                <w:lang w:val="en-US" w:eastAsia="zh-CN" w:bidi="ar-SA"/>
              </w:rPr>
            </w:pPr>
            <w:r>
              <w:rPr>
                <w:rFonts w:hint="eastAsia" w:eastAsia="方正仿宋_GBK" w:cs="Times New Roman"/>
                <w:color w:val="000000"/>
                <w:sz w:val="18"/>
                <w:szCs w:val="18"/>
                <w:highlight w:val="none"/>
                <w:u w:val="none"/>
                <w:lang w:val="en-US" w:eastAsia="zh-CN" w:bidi="ar-SA"/>
              </w:rPr>
              <w:t>依法申报</w:t>
            </w:r>
          </w:p>
        </w:tc>
      </w:tr>
      <w:tr w14:paraId="7AC8C6A6">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87A40C">
            <w:pPr>
              <w:rPr>
                <w:rFonts w:hint="default" w:ascii="Times New Roman" w:hAnsi="Times New Roman" w:cs="Times New Roman"/>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C188D5C">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highlight w:val="none"/>
                <w:u w:val="none"/>
                <w:lang w:bidi="ar-SA"/>
              </w:rPr>
            </w:pPr>
            <w:r>
              <w:rPr>
                <w:rFonts w:hint="default" w:ascii="Times New Roman" w:hAnsi="Times New Roman" w:eastAsia="宋体" w:cs="Times New Roman"/>
                <w:color w:val="000000"/>
                <w:kern w:val="0"/>
                <w:sz w:val="24"/>
                <w:szCs w:val="24"/>
                <w:highlight w:val="none"/>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75D49A6">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2025年7月—2025年12月</w:t>
            </w:r>
          </w:p>
        </w:tc>
      </w:tr>
      <w:tr w14:paraId="00F615B4">
        <w:tblPrEx>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21F26E0">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项目资金</w:t>
            </w:r>
          </w:p>
          <w:p w14:paraId="180CC159">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7FF894EB">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2D8F558">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55.2</w:t>
            </w:r>
          </w:p>
        </w:tc>
      </w:tr>
      <w:tr w14:paraId="2A75B351">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A30170">
            <w:pPr>
              <w:rPr>
                <w:rFonts w:hint="default" w:ascii="Times New Roman" w:hAnsi="Times New Roman" w:cs="Times New Roman"/>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06165A98">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4F79DD3">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55.2</w:t>
            </w:r>
          </w:p>
        </w:tc>
      </w:tr>
      <w:tr w14:paraId="3C1BED11">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D04123">
            <w:pPr>
              <w:rPr>
                <w:rFonts w:hint="default" w:ascii="Times New Roman" w:hAnsi="Times New Roman" w:cs="Times New Roman"/>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0A5B2025">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1EB2E43">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p>
        </w:tc>
      </w:tr>
      <w:tr w14:paraId="162DC544">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95D2EB1">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r>
              <w:rPr>
                <w:rFonts w:hint="default" w:ascii="Times New Roman" w:hAnsi="Times New Roman" w:eastAsia="方正仿宋_GBK" w:cs="Times New Roman"/>
                <w:color w:val="000000"/>
                <w:sz w:val="24"/>
                <w:szCs w:val="24"/>
                <w:u w:val="none"/>
                <w:lang w:val="en-US" w:eastAsia="zh-CN" w:bidi="ar-SA"/>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51F09097">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年度目标</w:t>
            </w:r>
          </w:p>
        </w:tc>
      </w:tr>
      <w:tr w14:paraId="39F57F77">
        <w:tblPrEx>
          <w:tblCellMar>
            <w:top w:w="15" w:type="dxa"/>
            <w:left w:w="15" w:type="dxa"/>
            <w:bottom w:w="15" w:type="dxa"/>
            <w:right w:w="15" w:type="dxa"/>
          </w:tblCellMar>
        </w:tblPrEx>
        <w:trPr>
          <w:trHeight w:val="478"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21187A">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6400ADB2">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积极支持构建以居家为基础、社区为依托、机构为补充、医养结合的社会养老服务体系，增加有效服务供给，提升养老服务质量，不断满足人民群众日益增长的养老服务需求。</w:t>
            </w:r>
          </w:p>
        </w:tc>
      </w:tr>
      <w:tr w14:paraId="221066A9">
        <w:tblPrEx>
          <w:tblCellMar>
            <w:top w:w="15" w:type="dxa"/>
            <w:left w:w="15" w:type="dxa"/>
            <w:bottom w:w="15" w:type="dxa"/>
            <w:right w:w="15" w:type="dxa"/>
          </w:tblCellMar>
        </w:tblPrEx>
        <w:trPr>
          <w:trHeight w:val="575" w:hRule="atLeast"/>
          <w:jc w:val="center"/>
        </w:trPr>
        <w:tc>
          <w:tcPr>
            <w:tcW w:w="652" w:type="dxa"/>
            <w:vMerge w:val="restart"/>
            <w:tcBorders>
              <w:top w:val="single" w:color="000000" w:sz="4" w:space="0"/>
              <w:left w:val="single" w:color="000000" w:sz="4" w:space="0"/>
              <w:bottom w:val="single" w:color="000000" w:sz="4" w:space="0"/>
              <w:right w:val="nil"/>
            </w:tcBorders>
            <w:noWrap w:val="0"/>
            <w:vAlign w:val="center"/>
          </w:tcPr>
          <w:p w14:paraId="0EA8A9CD">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r>
              <w:rPr>
                <w:rFonts w:hint="default" w:ascii="Times New Roman" w:hAnsi="Times New Roman" w:eastAsia="方正仿宋_GBK" w:cs="Times New Roman"/>
                <w:color w:val="000000"/>
                <w:sz w:val="24"/>
                <w:szCs w:val="24"/>
                <w:u w:val="none"/>
                <w:lang w:val="en-US" w:eastAsia="zh-CN" w:bidi="ar-SA"/>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64A65F56">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r>
              <w:rPr>
                <w:rFonts w:hint="default" w:ascii="Times New Roman" w:hAnsi="Times New Roman" w:eastAsia="方正仿宋_GBK" w:cs="Times New Roman"/>
                <w:color w:val="000000"/>
                <w:sz w:val="24"/>
                <w:szCs w:val="24"/>
                <w:u w:val="none"/>
                <w:lang w:val="en-US" w:eastAsia="zh-CN" w:bidi="ar-SA"/>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00E054BD">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r>
              <w:rPr>
                <w:rFonts w:hint="default" w:ascii="Times New Roman" w:hAnsi="Times New Roman" w:eastAsia="方正仿宋_GBK" w:cs="Times New Roman"/>
                <w:color w:val="000000"/>
                <w:sz w:val="24"/>
                <w:szCs w:val="24"/>
                <w:u w:val="none"/>
                <w:lang w:val="en-US" w:eastAsia="zh-CN" w:bidi="ar-SA"/>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38A0DFE8">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r>
              <w:rPr>
                <w:rFonts w:hint="default" w:ascii="Times New Roman" w:hAnsi="Times New Roman" w:eastAsia="方正仿宋_GBK" w:cs="Times New Roman"/>
                <w:color w:val="000000"/>
                <w:sz w:val="24"/>
                <w:szCs w:val="24"/>
                <w:u w:val="none"/>
                <w:lang w:val="en-US" w:eastAsia="zh-CN" w:bidi="ar-SA"/>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36C54EF">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7C01ACC">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60C6833">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90D59C6">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D4C10BE">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实际完成指标值</w:t>
            </w:r>
          </w:p>
        </w:tc>
      </w:tr>
      <w:tr w14:paraId="5CE10ACA">
        <w:tblPrEx>
          <w:tblCellMar>
            <w:top w:w="15" w:type="dxa"/>
            <w:left w:w="15" w:type="dxa"/>
            <w:bottom w:w="15" w:type="dxa"/>
            <w:right w:w="15" w:type="dxa"/>
          </w:tblCellMar>
        </w:tblPrEx>
        <w:trPr>
          <w:trHeight w:val="745"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02CC112D">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1E9459A7">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r>
              <w:rPr>
                <w:rFonts w:hint="default" w:ascii="Times New Roman" w:hAnsi="Times New Roman" w:eastAsia="方正仿宋_GBK" w:cs="Times New Roman"/>
                <w:color w:val="000000"/>
                <w:sz w:val="24"/>
                <w:szCs w:val="24"/>
                <w:u w:val="none"/>
                <w:lang w:val="en-US" w:eastAsia="zh-CN" w:bidi="ar-SA"/>
              </w:rPr>
              <w:t>产出指标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5198B44E">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r>
              <w:rPr>
                <w:rFonts w:hint="default" w:ascii="Times New Roman" w:hAnsi="Times New Roman" w:eastAsia="方正仿宋_GBK" w:cs="Times New Roman"/>
                <w:color w:val="000000"/>
                <w:sz w:val="24"/>
                <w:szCs w:val="24"/>
                <w:u w:val="none"/>
                <w:lang w:val="en-US" w:eastAsia="zh-CN" w:bidi="ar-SA"/>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6456F2C">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r>
              <w:rPr>
                <w:rFonts w:hint="default" w:ascii="Times New Roman" w:hAnsi="Times New Roman" w:eastAsia="方正仿宋_GBK" w:cs="Times New Roman"/>
                <w:color w:val="000000"/>
                <w:sz w:val="24"/>
                <w:szCs w:val="24"/>
                <w:u w:val="none"/>
                <w:lang w:val="en-US" w:eastAsia="zh-CN" w:bidi="ar-SA"/>
              </w:rPr>
              <w:t>困难老年人家庭适老化改造户数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6045C52">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定量</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EEB7258">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≥184</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C95DBDD">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户</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870BD49">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F82FFE5">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184户</w:t>
            </w:r>
          </w:p>
        </w:tc>
      </w:tr>
      <w:tr w14:paraId="1FD7658A">
        <w:tblPrEx>
          <w:tblCellMar>
            <w:top w:w="15" w:type="dxa"/>
            <w:left w:w="15" w:type="dxa"/>
            <w:bottom w:w="15" w:type="dxa"/>
            <w:right w:w="15" w:type="dxa"/>
          </w:tblCellMar>
        </w:tblPrEx>
        <w:trPr>
          <w:trHeight w:val="456"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4F67260C">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FE9C25">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7248C7E">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r>
              <w:rPr>
                <w:rFonts w:hint="default" w:ascii="Times New Roman" w:hAnsi="Times New Roman" w:eastAsia="方正仿宋_GBK" w:cs="Times New Roman"/>
                <w:color w:val="000000"/>
                <w:sz w:val="24"/>
                <w:szCs w:val="24"/>
                <w:u w:val="none"/>
                <w:lang w:val="en-US" w:eastAsia="zh-CN" w:bidi="ar-SA"/>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24C4870">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r>
              <w:rPr>
                <w:rFonts w:hint="default" w:ascii="Times New Roman" w:hAnsi="Times New Roman" w:eastAsia="方正仿宋_GBK" w:cs="Times New Roman"/>
                <w:color w:val="000000"/>
                <w:sz w:val="24"/>
                <w:szCs w:val="24"/>
                <w:u w:val="none"/>
                <w:lang w:val="en-US" w:eastAsia="zh-CN" w:bidi="ar-SA"/>
              </w:rPr>
              <w:t>项目验收合格率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365114A">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定量</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C44819C">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805C266">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6E944B4">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12CAE4F">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100%</w:t>
            </w:r>
          </w:p>
        </w:tc>
      </w:tr>
      <w:tr w14:paraId="791C9A6C">
        <w:tblPrEx>
          <w:tblCellMar>
            <w:top w:w="15" w:type="dxa"/>
            <w:left w:w="15" w:type="dxa"/>
            <w:bottom w:w="15" w:type="dxa"/>
            <w:right w:w="15" w:type="dxa"/>
          </w:tblCellMar>
        </w:tblPrEx>
        <w:trPr>
          <w:trHeight w:val="269"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3CB188A1">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67E478">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5E9D44BB">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r>
              <w:rPr>
                <w:rFonts w:hint="default" w:ascii="Times New Roman" w:hAnsi="Times New Roman" w:eastAsia="方正仿宋_GBK" w:cs="Times New Roman"/>
                <w:color w:val="000000"/>
                <w:sz w:val="24"/>
                <w:szCs w:val="24"/>
                <w:u w:val="none"/>
                <w:lang w:val="en-US" w:eastAsia="zh-CN" w:bidi="ar-SA"/>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4C6349CA">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r>
              <w:rPr>
                <w:rFonts w:hint="default" w:ascii="Times New Roman" w:hAnsi="Times New Roman" w:eastAsia="方正仿宋_GBK" w:cs="Times New Roman"/>
                <w:color w:val="000000"/>
                <w:sz w:val="24"/>
                <w:szCs w:val="24"/>
                <w:u w:val="none"/>
                <w:lang w:val="en-US" w:eastAsia="zh-CN" w:bidi="ar-SA"/>
              </w:rPr>
              <w:t>经费保障时间</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5F323A4">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r>
              <w:rPr>
                <w:rFonts w:hint="default" w:ascii="Times New Roman" w:hAnsi="Times New Roman" w:eastAsia="方正仿宋_GBK" w:cs="Times New Roman"/>
                <w:color w:val="000000"/>
                <w:sz w:val="24"/>
                <w:szCs w:val="24"/>
                <w:u w:val="none"/>
                <w:lang w:val="en-US" w:eastAsia="zh-CN" w:bidi="ar-SA"/>
              </w:rPr>
              <w:t>定量</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35BC467">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r>
              <w:rPr>
                <w:rFonts w:hint="default" w:ascii="Times New Roman" w:hAnsi="Times New Roman" w:eastAsia="方正仿宋_GBK" w:cs="Times New Roman"/>
                <w:color w:val="000000"/>
                <w:sz w:val="24"/>
                <w:szCs w:val="24"/>
                <w:u w:val="none"/>
                <w:lang w:val="en-US" w:eastAsia="zh-CN" w:bidi="ar-SA"/>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D3BE260">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r>
              <w:rPr>
                <w:rFonts w:hint="default" w:ascii="Times New Roman" w:hAnsi="Times New Roman" w:eastAsia="方正仿宋_GBK" w:cs="Times New Roman"/>
                <w:color w:val="000000"/>
                <w:sz w:val="24"/>
                <w:szCs w:val="24"/>
                <w:u w:val="none"/>
                <w:lang w:val="en-US" w:eastAsia="zh-CN" w:bidi="ar-SA"/>
              </w:rPr>
              <w:t>年</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7B5379E">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9253A2F">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r>
              <w:rPr>
                <w:rFonts w:hint="default" w:ascii="Times New Roman" w:hAnsi="Times New Roman" w:eastAsia="方正仿宋_GBK" w:cs="Times New Roman"/>
                <w:color w:val="000000"/>
                <w:sz w:val="24"/>
                <w:szCs w:val="24"/>
                <w:u w:val="none"/>
                <w:lang w:val="en-US" w:eastAsia="zh-CN" w:bidi="ar-SA"/>
              </w:rPr>
              <w:t>1年</w:t>
            </w:r>
          </w:p>
        </w:tc>
      </w:tr>
      <w:tr w14:paraId="760AFA01">
        <w:tblPrEx>
          <w:tblCellMar>
            <w:top w:w="15" w:type="dxa"/>
            <w:left w:w="15" w:type="dxa"/>
            <w:bottom w:w="15" w:type="dxa"/>
            <w:right w:w="15" w:type="dxa"/>
          </w:tblCellMar>
        </w:tblPrEx>
        <w:trPr>
          <w:trHeight w:val="755"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3B841F5D">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2F675051">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r>
              <w:rPr>
                <w:rFonts w:hint="default" w:ascii="Times New Roman" w:hAnsi="Times New Roman" w:eastAsia="方正仿宋_GBK" w:cs="Times New Roman"/>
                <w:color w:val="000000"/>
                <w:sz w:val="24"/>
                <w:szCs w:val="24"/>
                <w:u w:val="none"/>
                <w:lang w:val="en-US" w:eastAsia="zh-CN" w:bidi="ar-SA"/>
              </w:rPr>
              <w:t>效益指标</w:t>
            </w:r>
          </w:p>
        </w:tc>
        <w:tc>
          <w:tcPr>
            <w:tcW w:w="1250" w:type="dxa"/>
            <w:tcBorders>
              <w:top w:val="single" w:color="000000" w:sz="4" w:space="0"/>
              <w:left w:val="single" w:color="000000" w:sz="4" w:space="0"/>
              <w:bottom w:val="nil"/>
              <w:right w:val="single" w:color="000000" w:sz="4" w:space="0"/>
            </w:tcBorders>
            <w:noWrap w:val="0"/>
            <w:vAlign w:val="center"/>
          </w:tcPr>
          <w:p w14:paraId="637EA849">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r>
              <w:rPr>
                <w:rFonts w:hint="default" w:ascii="Times New Roman" w:hAnsi="Times New Roman" w:eastAsia="方正仿宋_GBK" w:cs="Times New Roman"/>
                <w:color w:val="000000"/>
                <w:sz w:val="24"/>
                <w:szCs w:val="24"/>
                <w:u w:val="none"/>
                <w:lang w:val="en-US" w:eastAsia="zh-CN" w:bidi="ar-SA"/>
              </w:rPr>
              <w:t>社会效益</w:t>
            </w:r>
          </w:p>
          <w:p w14:paraId="6AC2A798">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r>
              <w:rPr>
                <w:rFonts w:hint="default" w:ascii="Times New Roman" w:hAnsi="Times New Roman" w:eastAsia="方正仿宋_GBK" w:cs="Times New Roman"/>
                <w:color w:val="000000"/>
                <w:sz w:val="24"/>
                <w:szCs w:val="24"/>
                <w:u w:val="none"/>
                <w:lang w:val="en-US" w:eastAsia="zh-CN" w:bidi="ar-SA"/>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6476A30">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r>
              <w:rPr>
                <w:rFonts w:hint="default" w:ascii="Times New Roman" w:hAnsi="Times New Roman" w:eastAsia="方正仿宋_GBK" w:cs="Times New Roman"/>
                <w:color w:val="000000"/>
                <w:sz w:val="24"/>
                <w:szCs w:val="24"/>
                <w:u w:val="none"/>
                <w:lang w:val="en-US" w:eastAsia="zh-CN" w:bidi="ar-SA"/>
              </w:rPr>
              <w:t>老年人日益增加的养老服务需求</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0CB2B74">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090C15A">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不断满足</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B3A19C7">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8298D53">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3258964">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不断满足</w:t>
            </w:r>
          </w:p>
        </w:tc>
      </w:tr>
      <w:tr w14:paraId="63277C5B">
        <w:tblPrEx>
          <w:tblCellMar>
            <w:top w:w="15" w:type="dxa"/>
            <w:left w:w="15" w:type="dxa"/>
            <w:bottom w:w="15" w:type="dxa"/>
            <w:right w:w="15" w:type="dxa"/>
          </w:tblCellMar>
        </w:tblPrEx>
        <w:trPr>
          <w:trHeight w:val="433"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72F1C7AF">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p>
        </w:tc>
        <w:tc>
          <w:tcPr>
            <w:tcW w:w="1081" w:type="dxa"/>
            <w:vMerge w:val="continue"/>
            <w:tcBorders>
              <w:top w:val="single" w:color="000000" w:sz="4" w:space="0"/>
              <w:left w:val="single" w:color="000000" w:sz="4" w:space="0"/>
              <w:bottom w:val="single" w:color="auto" w:sz="4" w:space="0"/>
              <w:right w:val="single" w:color="000000" w:sz="4" w:space="0"/>
            </w:tcBorders>
            <w:noWrap w:val="0"/>
            <w:vAlign w:val="center"/>
          </w:tcPr>
          <w:p w14:paraId="11CC2059">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p>
        </w:tc>
        <w:tc>
          <w:tcPr>
            <w:tcW w:w="1250" w:type="dxa"/>
            <w:tcBorders>
              <w:top w:val="single" w:color="000000" w:sz="4" w:space="0"/>
              <w:left w:val="single" w:color="000000" w:sz="4" w:space="0"/>
              <w:bottom w:val="single" w:color="auto" w:sz="4" w:space="0"/>
              <w:right w:val="single" w:color="000000" w:sz="4" w:space="0"/>
            </w:tcBorders>
            <w:noWrap w:val="0"/>
            <w:vAlign w:val="center"/>
          </w:tcPr>
          <w:p w14:paraId="275AC550">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r>
              <w:rPr>
                <w:rFonts w:hint="default" w:ascii="Times New Roman" w:hAnsi="Times New Roman" w:eastAsia="方正仿宋_GBK" w:cs="Times New Roman"/>
                <w:color w:val="000000"/>
                <w:sz w:val="24"/>
                <w:szCs w:val="24"/>
                <w:u w:val="none"/>
                <w:lang w:val="en-US" w:eastAsia="zh-CN" w:bidi="ar-SA"/>
              </w:rPr>
              <w:t>可持续影响</w:t>
            </w:r>
          </w:p>
        </w:tc>
        <w:tc>
          <w:tcPr>
            <w:tcW w:w="1312" w:type="dxa"/>
            <w:tcBorders>
              <w:top w:val="single" w:color="000000" w:sz="4" w:space="0"/>
              <w:left w:val="single" w:color="000000" w:sz="4" w:space="0"/>
              <w:bottom w:val="single" w:color="auto" w:sz="4" w:space="0"/>
              <w:right w:val="single" w:color="000000" w:sz="4" w:space="0"/>
            </w:tcBorders>
            <w:noWrap w:val="0"/>
            <w:vAlign w:val="center"/>
          </w:tcPr>
          <w:p w14:paraId="50D15EAA">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r>
              <w:rPr>
                <w:rFonts w:hint="default" w:ascii="Times New Roman" w:hAnsi="Times New Roman" w:eastAsia="方正仿宋_GBK" w:cs="Times New Roman"/>
                <w:color w:val="000000"/>
                <w:sz w:val="24"/>
                <w:szCs w:val="24"/>
                <w:u w:val="none"/>
                <w:lang w:val="en-US" w:eastAsia="zh-CN" w:bidi="ar-SA"/>
              </w:rPr>
              <w:t>收益老年群体幸福感</w:t>
            </w:r>
          </w:p>
        </w:tc>
        <w:tc>
          <w:tcPr>
            <w:tcW w:w="1127" w:type="dxa"/>
            <w:tcBorders>
              <w:top w:val="single" w:color="000000" w:sz="4" w:space="0"/>
              <w:left w:val="single" w:color="000000" w:sz="4" w:space="0"/>
              <w:bottom w:val="single" w:color="auto" w:sz="4" w:space="0"/>
              <w:right w:val="single" w:color="000000" w:sz="4" w:space="0"/>
            </w:tcBorders>
            <w:noWrap w:val="0"/>
            <w:vAlign w:val="center"/>
          </w:tcPr>
          <w:p w14:paraId="0D6DBA5F">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定性</w:t>
            </w:r>
          </w:p>
        </w:tc>
        <w:tc>
          <w:tcPr>
            <w:tcW w:w="971" w:type="dxa"/>
            <w:tcBorders>
              <w:top w:val="single" w:color="000000" w:sz="4" w:space="0"/>
              <w:left w:val="single" w:color="000000" w:sz="4" w:space="0"/>
              <w:bottom w:val="single" w:color="auto" w:sz="4" w:space="0"/>
              <w:right w:val="single" w:color="000000" w:sz="4" w:space="0"/>
            </w:tcBorders>
            <w:noWrap w:val="0"/>
            <w:vAlign w:val="center"/>
          </w:tcPr>
          <w:p w14:paraId="77F69C87">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不断提升</w:t>
            </w:r>
          </w:p>
        </w:tc>
        <w:tc>
          <w:tcPr>
            <w:tcW w:w="1061" w:type="dxa"/>
            <w:tcBorders>
              <w:top w:val="single" w:color="000000" w:sz="4" w:space="0"/>
              <w:left w:val="single" w:color="000000" w:sz="4" w:space="0"/>
              <w:bottom w:val="single" w:color="auto" w:sz="4" w:space="0"/>
              <w:right w:val="single" w:color="000000" w:sz="4" w:space="0"/>
            </w:tcBorders>
            <w:noWrap w:val="0"/>
            <w:vAlign w:val="center"/>
          </w:tcPr>
          <w:p w14:paraId="180EBE2F">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p>
        </w:tc>
        <w:tc>
          <w:tcPr>
            <w:tcW w:w="938" w:type="dxa"/>
            <w:tcBorders>
              <w:top w:val="single" w:color="000000" w:sz="4" w:space="0"/>
              <w:left w:val="single" w:color="000000" w:sz="4" w:space="0"/>
              <w:bottom w:val="single" w:color="auto" w:sz="4" w:space="0"/>
              <w:right w:val="single" w:color="000000" w:sz="4" w:space="0"/>
            </w:tcBorders>
            <w:noWrap w:val="0"/>
            <w:vAlign w:val="center"/>
          </w:tcPr>
          <w:p w14:paraId="5FAC7EF0">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p>
        </w:tc>
        <w:tc>
          <w:tcPr>
            <w:tcW w:w="1841" w:type="dxa"/>
            <w:tcBorders>
              <w:top w:val="single" w:color="000000" w:sz="4" w:space="0"/>
              <w:left w:val="single" w:color="000000" w:sz="4" w:space="0"/>
              <w:bottom w:val="single" w:color="auto" w:sz="4" w:space="0"/>
              <w:right w:val="single" w:color="000000" w:sz="4" w:space="0"/>
            </w:tcBorders>
            <w:noWrap w:val="0"/>
            <w:vAlign w:val="center"/>
          </w:tcPr>
          <w:p w14:paraId="7B61F6D7">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不断提升</w:t>
            </w:r>
          </w:p>
        </w:tc>
      </w:tr>
      <w:tr w14:paraId="74878789">
        <w:tblPrEx>
          <w:tblCellMar>
            <w:top w:w="15" w:type="dxa"/>
            <w:left w:w="15" w:type="dxa"/>
            <w:bottom w:w="15" w:type="dxa"/>
            <w:right w:w="15" w:type="dxa"/>
          </w:tblCellMar>
        </w:tblPrEx>
        <w:trPr>
          <w:trHeight w:val="900" w:hRule="atLeast"/>
          <w:jc w:val="center"/>
        </w:trPr>
        <w:tc>
          <w:tcPr>
            <w:tcW w:w="652" w:type="dxa"/>
            <w:vMerge w:val="continue"/>
            <w:tcBorders>
              <w:top w:val="single" w:color="000000" w:sz="4" w:space="0"/>
              <w:left w:val="single" w:color="000000" w:sz="4" w:space="0"/>
              <w:bottom w:val="single" w:color="000000" w:sz="4" w:space="0"/>
              <w:right w:val="single" w:color="auto" w:sz="4" w:space="0"/>
            </w:tcBorders>
            <w:noWrap w:val="0"/>
            <w:vAlign w:val="center"/>
          </w:tcPr>
          <w:p w14:paraId="62F86A92">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7D27115D">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r>
              <w:rPr>
                <w:rFonts w:hint="default" w:ascii="Times New Roman" w:hAnsi="Times New Roman" w:eastAsia="方正仿宋_GBK" w:cs="Times New Roman"/>
                <w:color w:val="000000"/>
                <w:sz w:val="24"/>
                <w:szCs w:val="24"/>
                <w:u w:val="none"/>
                <w:lang w:val="en-US" w:eastAsia="zh-CN" w:bidi="ar-SA"/>
              </w:rPr>
              <w:t>满意度</w:t>
            </w:r>
          </w:p>
          <w:p w14:paraId="1EA8DC08">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r>
              <w:rPr>
                <w:rFonts w:hint="default" w:ascii="Times New Roman" w:hAnsi="Times New Roman" w:eastAsia="方正仿宋_GBK" w:cs="Times New Roman"/>
                <w:color w:val="000000"/>
                <w:sz w:val="24"/>
                <w:szCs w:val="24"/>
                <w:u w:val="none"/>
                <w:lang w:val="en-US" w:eastAsia="zh-CN" w:bidi="ar-SA"/>
              </w:rPr>
              <w:t>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72B93524">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r>
              <w:rPr>
                <w:rFonts w:hint="default" w:ascii="Times New Roman" w:hAnsi="Times New Roman" w:eastAsia="方正仿宋_GBK" w:cs="Times New Roman"/>
                <w:color w:val="000000"/>
                <w:sz w:val="24"/>
                <w:szCs w:val="24"/>
                <w:u w:val="none"/>
                <w:lang w:val="en-US" w:eastAsia="zh-CN" w:bidi="ar-SA"/>
              </w:rPr>
              <w:t>服务对象</w:t>
            </w:r>
          </w:p>
          <w:p w14:paraId="6C524F7A">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r>
              <w:rPr>
                <w:rFonts w:hint="default" w:ascii="Times New Roman" w:hAnsi="Times New Roman" w:eastAsia="方正仿宋_GBK" w:cs="Times New Roman"/>
                <w:color w:val="000000"/>
                <w:sz w:val="24"/>
                <w:szCs w:val="24"/>
                <w:u w:val="none"/>
                <w:lang w:val="en-US" w:eastAsia="zh-CN" w:bidi="ar-SA"/>
              </w:rPr>
              <w:t>满意度指标</w:t>
            </w:r>
          </w:p>
        </w:tc>
        <w:tc>
          <w:tcPr>
            <w:tcW w:w="1312" w:type="dxa"/>
            <w:tcBorders>
              <w:top w:val="single" w:color="auto" w:sz="4" w:space="0"/>
              <w:left w:val="single" w:color="auto" w:sz="4" w:space="0"/>
              <w:bottom w:val="single" w:color="auto" w:sz="4" w:space="0"/>
              <w:right w:val="single" w:color="auto" w:sz="4" w:space="0"/>
            </w:tcBorders>
            <w:noWrap w:val="0"/>
            <w:vAlign w:val="center"/>
          </w:tcPr>
          <w:p w14:paraId="48225DFB">
            <w:pPr>
              <w:keepNext w:val="0"/>
              <w:keepLines w:val="0"/>
              <w:pageBreakBefore w:val="0"/>
              <w:widowControl w:val="0"/>
              <w:kinsoku/>
              <w:wordWrap/>
              <w:overflowPunct/>
              <w:topLinePunct w:val="0"/>
              <w:autoSpaceDE/>
              <w:autoSpaceDN/>
              <w:adjustRightInd/>
              <w:snapToGrid/>
              <w:spacing w:line="300" w:lineRule="exact"/>
              <w:jc w:val="center"/>
              <w:rPr>
                <w:rFonts w:hint="default" w:ascii="Times New Roman" w:hAnsi="Times New Roman" w:eastAsia="方正仿宋_GBK" w:cs="Times New Roman"/>
                <w:color w:val="000000"/>
                <w:sz w:val="24"/>
                <w:szCs w:val="24"/>
                <w:u w:val="none"/>
                <w:lang w:val="en-US" w:eastAsia="zh-CN" w:bidi="ar-SA"/>
              </w:rPr>
            </w:pPr>
            <w:r>
              <w:rPr>
                <w:rFonts w:hint="default" w:ascii="Times New Roman" w:hAnsi="Times New Roman" w:eastAsia="方正仿宋_GBK" w:cs="Times New Roman"/>
                <w:color w:val="000000"/>
                <w:sz w:val="24"/>
                <w:szCs w:val="24"/>
                <w:u w:val="none"/>
                <w:lang w:val="en-US" w:eastAsia="zh-CN" w:bidi="ar-SA"/>
              </w:rPr>
              <w:t>受益老年人满意度</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476D5423">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定量</w:t>
            </w:r>
          </w:p>
        </w:tc>
        <w:tc>
          <w:tcPr>
            <w:tcW w:w="971" w:type="dxa"/>
            <w:tcBorders>
              <w:top w:val="single" w:color="auto" w:sz="4" w:space="0"/>
              <w:left w:val="single" w:color="auto" w:sz="4" w:space="0"/>
              <w:bottom w:val="single" w:color="auto" w:sz="4" w:space="0"/>
              <w:right w:val="single" w:color="auto" w:sz="4" w:space="0"/>
            </w:tcBorders>
            <w:noWrap w:val="0"/>
            <w:vAlign w:val="center"/>
          </w:tcPr>
          <w:p w14:paraId="178A307A">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≥90</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19F8E873">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031C01DA">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p>
        </w:tc>
        <w:tc>
          <w:tcPr>
            <w:tcW w:w="1841" w:type="dxa"/>
            <w:tcBorders>
              <w:top w:val="single" w:color="auto" w:sz="4" w:space="0"/>
              <w:left w:val="single" w:color="auto" w:sz="4" w:space="0"/>
              <w:bottom w:val="single" w:color="auto" w:sz="4" w:space="0"/>
              <w:right w:val="single" w:color="auto" w:sz="4" w:space="0"/>
            </w:tcBorders>
            <w:noWrap w:val="0"/>
            <w:vAlign w:val="center"/>
          </w:tcPr>
          <w:p w14:paraId="1AA97314">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方正仿宋_GBK" w:cs="Times New Roman"/>
                <w:color w:val="000000"/>
                <w:sz w:val="18"/>
                <w:szCs w:val="18"/>
                <w:highlight w:val="none"/>
                <w:u w:val="none"/>
                <w:lang w:val="en-US" w:eastAsia="zh-CN" w:bidi="ar-SA"/>
              </w:rPr>
            </w:pPr>
            <w:r>
              <w:rPr>
                <w:rFonts w:hint="default" w:ascii="Times New Roman" w:hAnsi="Times New Roman" w:eastAsia="方正仿宋_GBK" w:cs="Times New Roman"/>
                <w:color w:val="000000"/>
                <w:sz w:val="18"/>
                <w:szCs w:val="18"/>
                <w:highlight w:val="none"/>
                <w:u w:val="none"/>
                <w:lang w:val="en-US" w:eastAsia="zh-CN" w:bidi="ar-SA"/>
              </w:rPr>
              <w:t>90%</w:t>
            </w:r>
          </w:p>
        </w:tc>
      </w:tr>
    </w:tbl>
    <w:p w14:paraId="13A63B64">
      <w:pPr>
        <w:keepNext w:val="0"/>
        <w:keepLines w:val="0"/>
        <w:pageBreakBefore w:val="0"/>
        <w:widowControl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color w:val="auto"/>
          <w:kern w:val="0"/>
          <w:sz w:val="32"/>
          <w:szCs w:val="32"/>
          <w:highlight w:val="none"/>
          <w:u w:val="none"/>
          <w:shd w:val="clear" w:color="auto" w:fill="FFFFFF"/>
          <w:lang w:val="en-US" w:eastAsia="zh-CN" w:bidi="ar-SA"/>
        </w:rPr>
      </w:pPr>
      <w:r>
        <w:rPr>
          <w:rFonts w:hint="default" w:ascii="Times New Roman" w:hAnsi="Times New Roman" w:eastAsia="黑体" w:cs="Times New Roman"/>
          <w:color w:val="auto"/>
          <w:kern w:val="0"/>
          <w:sz w:val="32"/>
          <w:szCs w:val="32"/>
          <w:highlight w:val="none"/>
          <w:u w:val="none"/>
          <w:shd w:val="clear" w:color="auto" w:fill="FFFFFF"/>
          <w:lang w:val="zh-CN" w:eastAsia="zh-CN" w:bidi="ar-SA"/>
        </w:rPr>
        <w:t>附表</w:t>
      </w:r>
      <w:r>
        <w:rPr>
          <w:rFonts w:hint="default" w:ascii="Times New Roman" w:hAnsi="Times New Roman" w:eastAsia="黑体" w:cs="Times New Roman"/>
          <w:color w:val="auto"/>
          <w:kern w:val="0"/>
          <w:sz w:val="32"/>
          <w:szCs w:val="32"/>
          <w:highlight w:val="none"/>
          <w:u w:val="none"/>
          <w:shd w:val="clear" w:color="auto" w:fill="FFFFFF"/>
          <w:lang w:val="en-US" w:eastAsia="zh-CN" w:bidi="ar-SA"/>
        </w:rPr>
        <w:t>3</w:t>
      </w:r>
    </w:p>
    <w:tbl>
      <w:tblPr>
        <w:tblStyle w:val="17"/>
        <w:tblW w:w="10232" w:type="dxa"/>
        <w:jc w:val="center"/>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7876E8E2">
        <w:tblPrEx>
          <w:tblCellMar>
            <w:top w:w="15" w:type="dxa"/>
            <w:left w:w="15" w:type="dxa"/>
            <w:bottom w:w="15" w:type="dxa"/>
            <w:right w:w="15" w:type="dxa"/>
          </w:tblCellMar>
        </w:tblPrEx>
        <w:trPr>
          <w:trHeight w:val="576" w:hRule="atLeast"/>
          <w:jc w:val="center"/>
        </w:trPr>
        <w:tc>
          <w:tcPr>
            <w:tcW w:w="10233" w:type="dxa"/>
            <w:gridSpan w:val="9"/>
            <w:tcBorders>
              <w:top w:val="nil"/>
              <w:left w:val="nil"/>
              <w:bottom w:val="nil"/>
              <w:right w:val="nil"/>
            </w:tcBorders>
            <w:noWrap w:val="0"/>
            <w:vAlign w:val="center"/>
          </w:tcPr>
          <w:p w14:paraId="76FAA6CB">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hint="default" w:ascii="Times New Roman" w:hAnsi="Times New Roman" w:eastAsia="黑体" w:cs="Times New Roman"/>
                <w:color w:val="000000"/>
                <w:sz w:val="30"/>
                <w:szCs w:val="30"/>
                <w:u w:val="none"/>
                <w:lang w:bidi="ar-SA"/>
              </w:rPr>
            </w:pPr>
            <w:r>
              <w:rPr>
                <w:rFonts w:hint="default" w:ascii="Times New Roman" w:hAnsi="Times New Roman" w:eastAsia="方正小标宋简体" w:cs="Times New Roman"/>
                <w:color w:val="000000"/>
                <w:kern w:val="0"/>
                <w:sz w:val="40"/>
                <w:szCs w:val="40"/>
                <w:u w:val="none"/>
                <w:lang w:val="en-US" w:eastAsia="zh-CN" w:bidi="ar"/>
              </w:rPr>
              <w:t>专项预算项目绩效目标完成情况自评表</w:t>
            </w:r>
          </w:p>
        </w:tc>
      </w:tr>
      <w:tr w14:paraId="6294E418">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06311963">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07BC8DF">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老年人能力综合评估</w:t>
            </w:r>
          </w:p>
        </w:tc>
      </w:tr>
      <w:tr w14:paraId="10AD5CF6">
        <w:tblPrEx>
          <w:tblCellMar>
            <w:top w:w="15" w:type="dxa"/>
            <w:left w:w="15" w:type="dxa"/>
            <w:bottom w:w="15" w:type="dxa"/>
            <w:right w:w="15" w:type="dxa"/>
          </w:tblCellMar>
        </w:tblPrEx>
        <w:trPr>
          <w:trHeight w:val="292"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13F552B6">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4163667">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攀枝花市民政局</w:t>
            </w:r>
          </w:p>
        </w:tc>
      </w:tr>
      <w:tr w14:paraId="1068CD88">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4F756182">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7238180">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养老服务项目</w:t>
            </w:r>
          </w:p>
        </w:tc>
      </w:tr>
      <w:tr w14:paraId="79B43B9B">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51C7B06">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B1ECBBA">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中长期规划（名称、文号，仅指</w:t>
            </w:r>
          </w:p>
          <w:p w14:paraId="2254FA3D">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B1397E0">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eastAsia="zh-CN" w:bidi="ar-SA"/>
              </w:rPr>
              <w:t>《四川省民政厅关于开展老年人能力综合评估工作的通知》（川民发〔2025〕98号）</w:t>
            </w:r>
          </w:p>
          <w:p w14:paraId="46A32DAD">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eastAsia="zh-CN" w:bidi="ar-SA"/>
              </w:rPr>
              <w:t>四川省财政厅 四川省民政厅关于印发《四川省省级财政养老服务业发展专项资金管理办法》的通知（川财社〔2019〕59号）</w:t>
            </w:r>
          </w:p>
        </w:tc>
      </w:tr>
      <w:tr w14:paraId="7078C9A7">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6C81DF">
            <w:pPr>
              <w:spacing w:line="300" w:lineRule="exact"/>
              <w:jc w:val="center"/>
              <w:rPr>
                <w:rFonts w:hint="default" w:ascii="Times New Roman" w:hAnsi="Times New Roman" w:eastAsia="方正仿宋_GBK" w:cs="Times New Roman"/>
                <w:color w:val="000000"/>
                <w:sz w:val="21"/>
                <w:szCs w:val="21"/>
                <w:lang w:eastAsia="zh-CN" w:bidi="ar-SA"/>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06DC1C9">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4B63792">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eastAsia="zh-CN" w:bidi="ar-SA"/>
              </w:rPr>
              <w:t>四川省财政厅 四川省民政厅关于印发《四川省省级财政养老服务业发展专项资金管理办法》的通知（川财社〔2019〕59号）</w:t>
            </w:r>
          </w:p>
        </w:tc>
      </w:tr>
      <w:tr w14:paraId="42733213">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22623A">
            <w:pPr>
              <w:spacing w:line="300" w:lineRule="exact"/>
              <w:jc w:val="center"/>
              <w:rPr>
                <w:rFonts w:hint="default" w:ascii="Times New Roman" w:hAnsi="Times New Roman" w:eastAsia="方正仿宋_GBK" w:cs="Times New Roman"/>
                <w:color w:val="000000"/>
                <w:sz w:val="21"/>
                <w:szCs w:val="21"/>
                <w:lang w:eastAsia="zh-CN" w:bidi="ar-SA"/>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FF2D130">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6624C1C">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eastAsia="zh-CN" w:bidi="ar-SA"/>
              </w:rPr>
              <w:sym w:font="Wingdings 2" w:char="0052"/>
            </w:r>
            <w:r>
              <w:rPr>
                <w:rFonts w:hint="default" w:ascii="Times New Roman" w:hAnsi="Times New Roman" w:eastAsia="方正仿宋_GBK" w:cs="Times New Roman"/>
                <w:color w:val="000000"/>
                <w:sz w:val="21"/>
                <w:szCs w:val="21"/>
                <w:lang w:val="en-US" w:eastAsia="zh-CN" w:bidi="ar-SA"/>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56CB6A92">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BF88F2C">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E8306D3">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因素法与项目法相结合</w:t>
            </w:r>
          </w:p>
        </w:tc>
      </w:tr>
      <w:tr w14:paraId="283FDF66">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71846B">
            <w:pPr>
              <w:spacing w:line="300" w:lineRule="exact"/>
              <w:jc w:val="center"/>
              <w:rPr>
                <w:rFonts w:hint="default" w:ascii="Times New Roman" w:hAnsi="Times New Roman" w:eastAsia="方正仿宋_GBK" w:cs="Times New Roman"/>
                <w:color w:val="000000"/>
                <w:sz w:val="21"/>
                <w:szCs w:val="21"/>
                <w:lang w:eastAsia="zh-CN" w:bidi="ar-SA"/>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C246649">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E624BFC">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eastAsia="zh-CN" w:bidi="ar-SA"/>
              </w:rPr>
              <w:t>《四川省民政厅关于开展老年人能力综合评估工作的通知》（川民发〔2025〕98号）</w:t>
            </w:r>
          </w:p>
        </w:tc>
      </w:tr>
      <w:tr w14:paraId="3A8A5B46">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8BE948">
            <w:pPr>
              <w:spacing w:line="300" w:lineRule="exact"/>
              <w:jc w:val="center"/>
              <w:rPr>
                <w:rFonts w:hint="default" w:ascii="Times New Roman" w:hAnsi="Times New Roman" w:eastAsia="方正仿宋_GBK" w:cs="Times New Roman"/>
                <w:color w:val="000000"/>
                <w:sz w:val="21"/>
                <w:szCs w:val="21"/>
                <w:lang w:eastAsia="zh-CN" w:bidi="ar-SA"/>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47ABAF62">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DF49BD7">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养老服务项目</w:t>
            </w:r>
          </w:p>
        </w:tc>
      </w:tr>
      <w:tr w14:paraId="2F2BB000">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F741A0">
            <w:pPr>
              <w:spacing w:line="300" w:lineRule="exact"/>
              <w:jc w:val="center"/>
              <w:rPr>
                <w:rFonts w:hint="default" w:ascii="Times New Roman" w:hAnsi="Times New Roman" w:eastAsia="方正仿宋_GBK" w:cs="Times New Roman"/>
                <w:color w:val="000000"/>
                <w:sz w:val="21"/>
                <w:szCs w:val="21"/>
                <w:lang w:eastAsia="zh-CN" w:bidi="ar-SA"/>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C6A3A1A">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C1B1F51">
            <w:pPr>
              <w:spacing w:line="300" w:lineRule="exact"/>
              <w:jc w:val="center"/>
              <w:rPr>
                <w:rFonts w:hint="default" w:ascii="Times New Roman" w:hAnsi="Times New Roman" w:eastAsia="方正仿宋_GBK" w:cs="Times New Roman"/>
                <w:color w:val="000000"/>
                <w:sz w:val="21"/>
                <w:szCs w:val="21"/>
                <w:lang w:val="en-US" w:eastAsia="en-US" w:bidi="ar-SA"/>
              </w:rPr>
            </w:pPr>
          </w:p>
        </w:tc>
      </w:tr>
      <w:tr w14:paraId="15F77B47">
        <w:tblPrEx>
          <w:tblCellMar>
            <w:top w:w="15" w:type="dxa"/>
            <w:left w:w="15" w:type="dxa"/>
            <w:bottom w:w="15" w:type="dxa"/>
            <w:right w:w="15" w:type="dxa"/>
          </w:tblCellMar>
        </w:tblPrEx>
        <w:trPr>
          <w:trHeight w:val="47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86ED0C">
            <w:pPr>
              <w:spacing w:line="300" w:lineRule="exact"/>
              <w:jc w:val="center"/>
              <w:rPr>
                <w:rFonts w:hint="default" w:ascii="Times New Roman" w:hAnsi="Times New Roman" w:eastAsia="方正仿宋_GBK" w:cs="Times New Roman"/>
                <w:color w:val="000000"/>
                <w:sz w:val="21"/>
                <w:szCs w:val="21"/>
                <w:lang w:eastAsia="zh-CN" w:bidi="ar-SA"/>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44668BE4">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68DB5EC">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2025年7月—2026年6月</w:t>
            </w:r>
          </w:p>
        </w:tc>
      </w:tr>
      <w:tr w14:paraId="2BEDF1F4">
        <w:tblPrEx>
          <w:tblCellMar>
            <w:top w:w="15" w:type="dxa"/>
            <w:left w:w="15" w:type="dxa"/>
            <w:bottom w:w="15" w:type="dxa"/>
            <w:right w:w="15" w:type="dxa"/>
          </w:tblCellMar>
        </w:tblPrEx>
        <w:trPr>
          <w:trHeight w:val="250"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02E4CD3">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项目资金</w:t>
            </w:r>
          </w:p>
          <w:p w14:paraId="25D63643">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06E2D719">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EF41075">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161</w:t>
            </w:r>
          </w:p>
        </w:tc>
      </w:tr>
      <w:tr w14:paraId="20154EC7">
        <w:tblPrEx>
          <w:tblCellMar>
            <w:top w:w="15" w:type="dxa"/>
            <w:left w:w="15" w:type="dxa"/>
            <w:bottom w:w="15" w:type="dxa"/>
            <w:right w:w="15" w:type="dxa"/>
          </w:tblCellMar>
        </w:tblPrEx>
        <w:trPr>
          <w:trHeight w:val="282"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CBE87D">
            <w:pPr>
              <w:spacing w:line="300" w:lineRule="exact"/>
              <w:jc w:val="center"/>
              <w:rPr>
                <w:rFonts w:hint="default" w:ascii="Times New Roman" w:hAnsi="Times New Roman" w:eastAsia="方正仿宋_GBK" w:cs="Times New Roman"/>
                <w:color w:val="000000"/>
                <w:sz w:val="21"/>
                <w:szCs w:val="21"/>
                <w:lang w:eastAsia="zh-CN" w:bidi="ar-SA"/>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405889B1">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E3EE0EF">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161</w:t>
            </w:r>
          </w:p>
        </w:tc>
      </w:tr>
      <w:tr w14:paraId="7C0DDF9E">
        <w:tblPrEx>
          <w:tblCellMar>
            <w:top w:w="15" w:type="dxa"/>
            <w:left w:w="15" w:type="dxa"/>
            <w:bottom w:w="15" w:type="dxa"/>
            <w:right w:w="15" w:type="dxa"/>
          </w:tblCellMar>
        </w:tblPrEx>
        <w:trPr>
          <w:trHeight w:val="361"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662AA0">
            <w:pPr>
              <w:spacing w:line="300" w:lineRule="exact"/>
              <w:jc w:val="center"/>
              <w:rPr>
                <w:rFonts w:hint="default" w:ascii="Times New Roman" w:hAnsi="Times New Roman" w:eastAsia="方正仿宋_GBK" w:cs="Times New Roman"/>
                <w:color w:val="000000"/>
                <w:sz w:val="21"/>
                <w:szCs w:val="21"/>
                <w:lang w:eastAsia="zh-CN" w:bidi="ar-SA"/>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63320CF3">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A5D7383">
            <w:pPr>
              <w:spacing w:line="300" w:lineRule="exact"/>
              <w:jc w:val="center"/>
              <w:rPr>
                <w:rFonts w:hint="default" w:ascii="Times New Roman" w:hAnsi="Times New Roman" w:eastAsia="方正仿宋_GBK" w:cs="Times New Roman"/>
                <w:color w:val="000000"/>
                <w:sz w:val="21"/>
                <w:szCs w:val="21"/>
                <w:lang w:val="en-US" w:eastAsia="zh-CN" w:bidi="ar-SA"/>
              </w:rPr>
            </w:pPr>
          </w:p>
        </w:tc>
      </w:tr>
      <w:tr w14:paraId="651CF976">
        <w:tblPrEx>
          <w:tblCellMar>
            <w:top w:w="15" w:type="dxa"/>
            <w:left w:w="15" w:type="dxa"/>
            <w:bottom w:w="15" w:type="dxa"/>
            <w:right w:w="15" w:type="dxa"/>
          </w:tblCellMar>
        </w:tblPrEx>
        <w:trPr>
          <w:trHeight w:val="22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DCF7F70">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1E37FE0A">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年度目标</w:t>
            </w:r>
          </w:p>
        </w:tc>
      </w:tr>
      <w:tr w14:paraId="3BD8DC92">
        <w:tblPrEx>
          <w:tblCellMar>
            <w:top w:w="15" w:type="dxa"/>
            <w:left w:w="15" w:type="dxa"/>
            <w:bottom w:w="15" w:type="dxa"/>
            <w:right w:w="15" w:type="dxa"/>
          </w:tblCellMar>
        </w:tblPrEx>
        <w:trPr>
          <w:trHeight w:val="95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85B4E1">
            <w:pPr>
              <w:spacing w:line="300" w:lineRule="exact"/>
              <w:jc w:val="center"/>
              <w:rPr>
                <w:rFonts w:hint="default" w:ascii="Times New Roman" w:hAnsi="Times New Roman" w:eastAsia="方正仿宋_GBK" w:cs="Times New Roman"/>
                <w:color w:val="000000"/>
                <w:sz w:val="21"/>
                <w:szCs w:val="21"/>
                <w:lang w:eastAsia="zh-CN" w:bidi="ar-SA"/>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60B99263">
            <w:pPr>
              <w:spacing w:line="300" w:lineRule="exact"/>
              <w:jc w:val="left"/>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积极支持构建以居家为基础、社区为依托、机构为补充、医养结合的社会养老服务体系，增加有效服务供给，提升养老服务质量，不断满足人民群众日益增长的养老服务需求。</w:t>
            </w:r>
          </w:p>
        </w:tc>
      </w:tr>
      <w:tr w14:paraId="65146827">
        <w:tblPrEx>
          <w:tblCellMar>
            <w:top w:w="15" w:type="dxa"/>
            <w:left w:w="15" w:type="dxa"/>
            <w:bottom w:w="15" w:type="dxa"/>
            <w:right w:w="15" w:type="dxa"/>
          </w:tblCellMar>
        </w:tblPrEx>
        <w:trPr>
          <w:trHeight w:val="545" w:hRule="atLeast"/>
          <w:jc w:val="center"/>
        </w:trPr>
        <w:tc>
          <w:tcPr>
            <w:tcW w:w="652" w:type="dxa"/>
            <w:vMerge w:val="restart"/>
            <w:tcBorders>
              <w:top w:val="single" w:color="000000" w:sz="4" w:space="0"/>
              <w:left w:val="single" w:color="000000" w:sz="4" w:space="0"/>
              <w:bottom w:val="single" w:color="000000" w:sz="4" w:space="0"/>
              <w:right w:val="nil"/>
            </w:tcBorders>
            <w:noWrap w:val="0"/>
            <w:vAlign w:val="center"/>
          </w:tcPr>
          <w:p w14:paraId="4C3B0374">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1F980AD3">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831A798">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08244DF">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56A285B">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AF54711">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5A1691B">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4E8EC35">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99C834D">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实际完成指标值</w:t>
            </w:r>
          </w:p>
        </w:tc>
      </w:tr>
      <w:tr w14:paraId="0307FDC2">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3CFD167A">
            <w:pPr>
              <w:spacing w:line="300" w:lineRule="exact"/>
              <w:jc w:val="center"/>
              <w:rPr>
                <w:rFonts w:hint="default" w:ascii="Times New Roman" w:hAnsi="Times New Roman" w:eastAsia="方正仿宋_GBK" w:cs="Times New Roman"/>
                <w:color w:val="000000"/>
                <w:sz w:val="21"/>
                <w:szCs w:val="21"/>
                <w:lang w:eastAsia="zh-CN" w:bidi="ar-SA"/>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0E2F543C">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产出指标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649BE52A">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D343308">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eastAsia="zh-CN" w:bidi="ar-SA"/>
              </w:rPr>
              <w:t>老年人能力评估人次数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5FAB3FE">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eastAsia="zh-CN" w:bidi="ar-SA"/>
              </w:rPr>
              <w:t>定量</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9271157">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eastAsia="zh-CN" w:bidi="ar-SA"/>
              </w:rPr>
              <w:t>≥1.12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9C064CF">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万人次</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F272C27">
            <w:pPr>
              <w:spacing w:line="300" w:lineRule="exact"/>
              <w:jc w:val="center"/>
              <w:rPr>
                <w:rFonts w:hint="default" w:ascii="Times New Roman" w:hAnsi="Times New Roman" w:eastAsia="方正仿宋_GBK" w:cs="Times New Roman"/>
                <w:color w:val="000000"/>
                <w:sz w:val="21"/>
                <w:szCs w:val="21"/>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75E3F59">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已经完成3072人次</w:t>
            </w:r>
          </w:p>
        </w:tc>
      </w:tr>
      <w:tr w14:paraId="15B727F7">
        <w:tblPrEx>
          <w:tblCellMar>
            <w:top w:w="15" w:type="dxa"/>
            <w:left w:w="15" w:type="dxa"/>
            <w:bottom w:w="15" w:type="dxa"/>
            <w:right w:w="15" w:type="dxa"/>
          </w:tblCellMar>
        </w:tblPrEx>
        <w:trPr>
          <w:trHeight w:val="360"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619201F5">
            <w:pPr>
              <w:spacing w:line="300" w:lineRule="exact"/>
              <w:jc w:val="center"/>
              <w:rPr>
                <w:rFonts w:hint="default" w:ascii="Times New Roman" w:hAnsi="Times New Roman" w:eastAsia="方正仿宋_GBK" w:cs="Times New Roman"/>
                <w:color w:val="000000"/>
                <w:sz w:val="21"/>
                <w:szCs w:val="21"/>
                <w:lang w:eastAsia="zh-CN" w:bidi="ar-SA"/>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00CE09">
            <w:pPr>
              <w:spacing w:line="300" w:lineRule="exact"/>
              <w:jc w:val="center"/>
              <w:rPr>
                <w:rFonts w:hint="default" w:ascii="Times New Roman" w:hAnsi="Times New Roman" w:eastAsia="方正仿宋_GBK" w:cs="Times New Roman"/>
                <w:color w:val="000000"/>
                <w:sz w:val="21"/>
                <w:szCs w:val="21"/>
                <w:lang w:eastAsia="zh-CN" w:bidi="ar-SA"/>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85D01F2">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AB25C30">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eastAsia="zh-CN" w:bidi="ar-SA"/>
              </w:rPr>
              <w:t>项目验收合格率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23F2EA5">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eastAsia="zh-CN" w:bidi="ar-SA"/>
              </w:rPr>
              <w:t>定量</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956C65E">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B4A766A">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D80F7E8">
            <w:pPr>
              <w:spacing w:line="300" w:lineRule="exact"/>
              <w:jc w:val="center"/>
              <w:rPr>
                <w:rFonts w:hint="default" w:ascii="Times New Roman" w:hAnsi="Times New Roman" w:eastAsia="方正仿宋_GBK" w:cs="Times New Roman"/>
                <w:color w:val="000000"/>
                <w:sz w:val="21"/>
                <w:szCs w:val="21"/>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B2E9903">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100%</w:t>
            </w:r>
          </w:p>
        </w:tc>
      </w:tr>
      <w:tr w14:paraId="52A89CFD">
        <w:tblPrEx>
          <w:tblCellMar>
            <w:top w:w="15" w:type="dxa"/>
            <w:left w:w="15" w:type="dxa"/>
            <w:bottom w:w="15" w:type="dxa"/>
            <w:right w:w="15" w:type="dxa"/>
          </w:tblCellMar>
        </w:tblPrEx>
        <w:trPr>
          <w:trHeight w:val="389"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7683707C">
            <w:pPr>
              <w:spacing w:line="300" w:lineRule="exact"/>
              <w:jc w:val="center"/>
              <w:rPr>
                <w:rFonts w:hint="default" w:ascii="Times New Roman" w:hAnsi="Times New Roman" w:eastAsia="方正仿宋_GBK" w:cs="Times New Roman"/>
                <w:color w:val="000000"/>
                <w:sz w:val="21"/>
                <w:szCs w:val="21"/>
                <w:lang w:eastAsia="zh-CN" w:bidi="ar-SA"/>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BB65FF">
            <w:pPr>
              <w:spacing w:line="300" w:lineRule="exact"/>
              <w:jc w:val="center"/>
              <w:rPr>
                <w:rFonts w:hint="default" w:ascii="Times New Roman" w:hAnsi="Times New Roman" w:eastAsia="方正仿宋_GBK" w:cs="Times New Roman"/>
                <w:color w:val="000000"/>
                <w:sz w:val="21"/>
                <w:szCs w:val="21"/>
                <w:lang w:eastAsia="zh-CN" w:bidi="ar-SA"/>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4918C678">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F289549">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eastAsia="zh-CN" w:bidi="ar-SA"/>
              </w:rPr>
              <w:t>经费保障时间</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B01BC80">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eastAsia="zh-CN" w:bidi="ar-SA"/>
              </w:rPr>
              <w:t>定量</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2DC2381">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5C3EB9C">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年</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54D4D1C">
            <w:pPr>
              <w:spacing w:line="300" w:lineRule="exact"/>
              <w:jc w:val="center"/>
              <w:rPr>
                <w:rFonts w:hint="default" w:ascii="Times New Roman" w:hAnsi="Times New Roman" w:eastAsia="方正仿宋_GBK" w:cs="Times New Roman"/>
                <w:color w:val="000000"/>
                <w:sz w:val="21"/>
                <w:szCs w:val="21"/>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AA2BC3C">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1年</w:t>
            </w:r>
          </w:p>
        </w:tc>
      </w:tr>
      <w:tr w14:paraId="4C37F826">
        <w:tblPrEx>
          <w:tblCellMar>
            <w:top w:w="15" w:type="dxa"/>
            <w:left w:w="15" w:type="dxa"/>
            <w:bottom w:w="15" w:type="dxa"/>
            <w:right w:w="15" w:type="dxa"/>
          </w:tblCellMar>
        </w:tblPrEx>
        <w:trPr>
          <w:trHeight w:val="645"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5AAF44C9">
            <w:pPr>
              <w:spacing w:line="300" w:lineRule="exact"/>
              <w:jc w:val="center"/>
              <w:rPr>
                <w:rFonts w:hint="default" w:ascii="Times New Roman" w:hAnsi="Times New Roman" w:eastAsia="方正仿宋_GBK" w:cs="Times New Roman"/>
                <w:color w:val="000000"/>
                <w:sz w:val="21"/>
                <w:szCs w:val="21"/>
                <w:lang w:eastAsia="zh-CN" w:bidi="ar-SA"/>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625DDDD8">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效益指标</w:t>
            </w:r>
          </w:p>
        </w:tc>
        <w:tc>
          <w:tcPr>
            <w:tcW w:w="1250" w:type="dxa"/>
            <w:tcBorders>
              <w:top w:val="single" w:color="000000" w:sz="4" w:space="0"/>
              <w:left w:val="single" w:color="000000" w:sz="4" w:space="0"/>
              <w:bottom w:val="nil"/>
              <w:right w:val="single" w:color="000000" w:sz="4" w:space="0"/>
            </w:tcBorders>
            <w:noWrap w:val="0"/>
            <w:vAlign w:val="center"/>
          </w:tcPr>
          <w:p w14:paraId="2C3A48E9">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社会效益</w:t>
            </w:r>
          </w:p>
          <w:p w14:paraId="3C2B0FAE">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7321DC01">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eastAsia="zh-CN" w:bidi="ar-SA"/>
              </w:rPr>
              <w:t>老年人日益增加的养老服务需求</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9613EF0">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eastAsia="zh-CN" w:bidi="ar-SA"/>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AC1B28B">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不断满足</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ED7E9B3">
            <w:pPr>
              <w:spacing w:line="300" w:lineRule="exact"/>
              <w:jc w:val="center"/>
              <w:rPr>
                <w:rFonts w:hint="default" w:ascii="Times New Roman" w:hAnsi="Times New Roman" w:eastAsia="方正仿宋_GBK" w:cs="Times New Roman"/>
                <w:color w:val="000000"/>
                <w:sz w:val="21"/>
                <w:szCs w:val="21"/>
                <w:lang w:val="en-US" w:eastAsia="zh-CN" w:bidi="ar-SA"/>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2A69809">
            <w:pPr>
              <w:spacing w:line="300" w:lineRule="exact"/>
              <w:jc w:val="center"/>
              <w:rPr>
                <w:rFonts w:hint="default" w:ascii="Times New Roman" w:hAnsi="Times New Roman" w:eastAsia="方正仿宋_GBK" w:cs="Times New Roman"/>
                <w:color w:val="000000"/>
                <w:sz w:val="21"/>
                <w:szCs w:val="21"/>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631EF20">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不断满足</w:t>
            </w:r>
          </w:p>
        </w:tc>
      </w:tr>
      <w:tr w14:paraId="2A8D2BD1">
        <w:tblPrEx>
          <w:tblCellMar>
            <w:top w:w="15" w:type="dxa"/>
            <w:left w:w="15" w:type="dxa"/>
            <w:bottom w:w="15" w:type="dxa"/>
            <w:right w:w="15" w:type="dxa"/>
          </w:tblCellMar>
        </w:tblPrEx>
        <w:trPr>
          <w:trHeight w:val="445"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4DFB85FF">
            <w:pPr>
              <w:spacing w:line="300" w:lineRule="exact"/>
              <w:jc w:val="center"/>
              <w:rPr>
                <w:rFonts w:hint="default" w:ascii="Times New Roman" w:hAnsi="Times New Roman" w:eastAsia="方正仿宋_GBK" w:cs="Times New Roman"/>
                <w:color w:val="000000"/>
                <w:sz w:val="21"/>
                <w:szCs w:val="21"/>
                <w:lang w:eastAsia="zh-CN" w:bidi="ar-SA"/>
              </w:rPr>
            </w:pPr>
          </w:p>
        </w:tc>
        <w:tc>
          <w:tcPr>
            <w:tcW w:w="1081" w:type="dxa"/>
            <w:vMerge w:val="continue"/>
            <w:tcBorders>
              <w:top w:val="single" w:color="000000" w:sz="4" w:space="0"/>
              <w:left w:val="single" w:color="000000" w:sz="4" w:space="0"/>
              <w:bottom w:val="single" w:color="auto" w:sz="4" w:space="0"/>
              <w:right w:val="single" w:color="000000" w:sz="4" w:space="0"/>
            </w:tcBorders>
            <w:noWrap w:val="0"/>
            <w:vAlign w:val="center"/>
          </w:tcPr>
          <w:p w14:paraId="4580CF78">
            <w:pPr>
              <w:spacing w:line="300" w:lineRule="exact"/>
              <w:jc w:val="center"/>
              <w:rPr>
                <w:rFonts w:hint="default" w:ascii="Times New Roman" w:hAnsi="Times New Roman" w:eastAsia="方正仿宋_GBK" w:cs="Times New Roman"/>
                <w:color w:val="000000"/>
                <w:sz w:val="21"/>
                <w:szCs w:val="21"/>
                <w:lang w:eastAsia="zh-CN" w:bidi="ar-SA"/>
              </w:rPr>
            </w:pPr>
          </w:p>
        </w:tc>
        <w:tc>
          <w:tcPr>
            <w:tcW w:w="1250" w:type="dxa"/>
            <w:tcBorders>
              <w:top w:val="single" w:color="000000" w:sz="4" w:space="0"/>
              <w:left w:val="single" w:color="000000" w:sz="4" w:space="0"/>
              <w:bottom w:val="single" w:color="auto" w:sz="4" w:space="0"/>
              <w:right w:val="single" w:color="000000" w:sz="4" w:space="0"/>
            </w:tcBorders>
            <w:noWrap w:val="0"/>
            <w:vAlign w:val="center"/>
          </w:tcPr>
          <w:p w14:paraId="501150EC">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可持续影响</w:t>
            </w:r>
          </w:p>
        </w:tc>
        <w:tc>
          <w:tcPr>
            <w:tcW w:w="1312" w:type="dxa"/>
            <w:tcBorders>
              <w:top w:val="single" w:color="000000" w:sz="4" w:space="0"/>
              <w:left w:val="single" w:color="000000" w:sz="4" w:space="0"/>
              <w:bottom w:val="single" w:color="auto" w:sz="4" w:space="0"/>
              <w:right w:val="single" w:color="000000" w:sz="4" w:space="0"/>
            </w:tcBorders>
            <w:noWrap w:val="0"/>
            <w:vAlign w:val="center"/>
          </w:tcPr>
          <w:p w14:paraId="3D5B5029">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eastAsia="zh-CN" w:bidi="ar-SA"/>
              </w:rPr>
              <w:t>收益老年群体幸福感</w:t>
            </w:r>
          </w:p>
        </w:tc>
        <w:tc>
          <w:tcPr>
            <w:tcW w:w="1127" w:type="dxa"/>
            <w:tcBorders>
              <w:top w:val="single" w:color="000000" w:sz="4" w:space="0"/>
              <w:left w:val="single" w:color="000000" w:sz="4" w:space="0"/>
              <w:bottom w:val="single" w:color="auto" w:sz="4" w:space="0"/>
              <w:right w:val="single" w:color="000000" w:sz="4" w:space="0"/>
            </w:tcBorders>
            <w:noWrap w:val="0"/>
            <w:vAlign w:val="center"/>
          </w:tcPr>
          <w:p w14:paraId="40E9F2B5">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eastAsia="zh-CN" w:bidi="ar-SA"/>
              </w:rPr>
              <w:t>定性</w:t>
            </w:r>
          </w:p>
        </w:tc>
        <w:tc>
          <w:tcPr>
            <w:tcW w:w="971" w:type="dxa"/>
            <w:tcBorders>
              <w:top w:val="single" w:color="000000" w:sz="4" w:space="0"/>
              <w:left w:val="single" w:color="000000" w:sz="4" w:space="0"/>
              <w:bottom w:val="single" w:color="auto" w:sz="4" w:space="0"/>
              <w:right w:val="single" w:color="000000" w:sz="4" w:space="0"/>
            </w:tcBorders>
            <w:noWrap w:val="0"/>
            <w:vAlign w:val="center"/>
          </w:tcPr>
          <w:p w14:paraId="700E4344">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eastAsia="zh-CN" w:bidi="ar-SA"/>
              </w:rPr>
              <w:t>不断提升</w:t>
            </w:r>
          </w:p>
        </w:tc>
        <w:tc>
          <w:tcPr>
            <w:tcW w:w="1061" w:type="dxa"/>
            <w:tcBorders>
              <w:top w:val="single" w:color="000000" w:sz="4" w:space="0"/>
              <w:left w:val="single" w:color="000000" w:sz="4" w:space="0"/>
              <w:bottom w:val="single" w:color="auto" w:sz="4" w:space="0"/>
              <w:right w:val="single" w:color="000000" w:sz="4" w:space="0"/>
            </w:tcBorders>
            <w:noWrap w:val="0"/>
            <w:vAlign w:val="center"/>
          </w:tcPr>
          <w:p w14:paraId="4BE8FEF0">
            <w:pPr>
              <w:spacing w:line="300" w:lineRule="exact"/>
              <w:jc w:val="center"/>
              <w:rPr>
                <w:rFonts w:hint="default" w:ascii="Times New Roman" w:hAnsi="Times New Roman" w:eastAsia="方正仿宋_GBK" w:cs="Times New Roman"/>
                <w:color w:val="000000"/>
                <w:sz w:val="21"/>
                <w:szCs w:val="21"/>
                <w:lang w:val="en-US" w:eastAsia="zh-CN" w:bidi="ar-SA"/>
              </w:rPr>
            </w:pPr>
          </w:p>
        </w:tc>
        <w:tc>
          <w:tcPr>
            <w:tcW w:w="938" w:type="dxa"/>
            <w:tcBorders>
              <w:top w:val="single" w:color="000000" w:sz="4" w:space="0"/>
              <w:left w:val="single" w:color="000000" w:sz="4" w:space="0"/>
              <w:bottom w:val="single" w:color="auto" w:sz="4" w:space="0"/>
              <w:right w:val="single" w:color="000000" w:sz="4" w:space="0"/>
            </w:tcBorders>
            <w:noWrap w:val="0"/>
            <w:vAlign w:val="center"/>
          </w:tcPr>
          <w:p w14:paraId="291FFEE5">
            <w:pPr>
              <w:spacing w:line="300" w:lineRule="exact"/>
              <w:jc w:val="center"/>
              <w:rPr>
                <w:rFonts w:hint="default" w:ascii="Times New Roman" w:hAnsi="Times New Roman" w:eastAsia="方正仿宋_GBK" w:cs="Times New Roman"/>
                <w:color w:val="000000"/>
                <w:sz w:val="21"/>
                <w:szCs w:val="21"/>
                <w:lang w:val="en-US" w:eastAsia="zh-CN" w:bidi="ar-SA"/>
              </w:rPr>
            </w:pPr>
          </w:p>
        </w:tc>
        <w:tc>
          <w:tcPr>
            <w:tcW w:w="1841" w:type="dxa"/>
            <w:tcBorders>
              <w:top w:val="single" w:color="000000" w:sz="4" w:space="0"/>
              <w:left w:val="single" w:color="000000" w:sz="4" w:space="0"/>
              <w:bottom w:val="single" w:color="auto" w:sz="4" w:space="0"/>
              <w:right w:val="single" w:color="000000" w:sz="4" w:space="0"/>
            </w:tcBorders>
            <w:noWrap w:val="0"/>
            <w:vAlign w:val="center"/>
          </w:tcPr>
          <w:p w14:paraId="4905A7AA">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不断提升</w:t>
            </w:r>
          </w:p>
        </w:tc>
      </w:tr>
      <w:tr w14:paraId="31A83734">
        <w:tblPrEx>
          <w:tblCellMar>
            <w:top w:w="15" w:type="dxa"/>
            <w:left w:w="15" w:type="dxa"/>
            <w:bottom w:w="15" w:type="dxa"/>
            <w:right w:w="15" w:type="dxa"/>
          </w:tblCellMar>
        </w:tblPrEx>
        <w:trPr>
          <w:trHeight w:val="955" w:hRule="atLeast"/>
          <w:jc w:val="center"/>
        </w:trPr>
        <w:tc>
          <w:tcPr>
            <w:tcW w:w="652" w:type="dxa"/>
            <w:vMerge w:val="continue"/>
            <w:tcBorders>
              <w:top w:val="single" w:color="000000" w:sz="4" w:space="0"/>
              <w:left w:val="single" w:color="000000" w:sz="4" w:space="0"/>
              <w:bottom w:val="single" w:color="000000" w:sz="4" w:space="0"/>
              <w:right w:val="single" w:color="auto" w:sz="4" w:space="0"/>
            </w:tcBorders>
            <w:noWrap w:val="0"/>
            <w:vAlign w:val="center"/>
          </w:tcPr>
          <w:p w14:paraId="3C746F65">
            <w:pPr>
              <w:spacing w:line="300" w:lineRule="exact"/>
              <w:jc w:val="center"/>
              <w:rPr>
                <w:rFonts w:hint="default" w:ascii="Times New Roman" w:hAnsi="Times New Roman" w:eastAsia="方正仿宋_GBK" w:cs="Times New Roman"/>
                <w:color w:val="000000"/>
                <w:sz w:val="21"/>
                <w:szCs w:val="21"/>
                <w:lang w:eastAsia="zh-CN" w:bidi="ar-SA"/>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11CD0133">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满意度</w:t>
            </w:r>
          </w:p>
          <w:p w14:paraId="052C46A3">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0B6EF827">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服务对象</w:t>
            </w:r>
          </w:p>
          <w:p w14:paraId="363D8BAA">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满意度指标</w:t>
            </w:r>
          </w:p>
        </w:tc>
        <w:tc>
          <w:tcPr>
            <w:tcW w:w="1312" w:type="dxa"/>
            <w:tcBorders>
              <w:top w:val="single" w:color="auto" w:sz="4" w:space="0"/>
              <w:left w:val="single" w:color="auto" w:sz="4" w:space="0"/>
              <w:bottom w:val="single" w:color="auto" w:sz="4" w:space="0"/>
              <w:right w:val="single" w:color="auto" w:sz="4" w:space="0"/>
            </w:tcBorders>
            <w:noWrap w:val="0"/>
            <w:vAlign w:val="center"/>
          </w:tcPr>
          <w:p w14:paraId="1FF20AF3">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eastAsia="zh-CN" w:bidi="ar-SA"/>
              </w:rPr>
              <w:t>受益老年人满意度</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2FCCFCBC">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eastAsia="zh-CN" w:bidi="ar-SA"/>
              </w:rPr>
              <w:t>定量</w:t>
            </w:r>
          </w:p>
        </w:tc>
        <w:tc>
          <w:tcPr>
            <w:tcW w:w="971" w:type="dxa"/>
            <w:tcBorders>
              <w:top w:val="single" w:color="auto" w:sz="4" w:space="0"/>
              <w:left w:val="single" w:color="auto" w:sz="4" w:space="0"/>
              <w:bottom w:val="single" w:color="auto" w:sz="4" w:space="0"/>
              <w:right w:val="single" w:color="auto" w:sz="4" w:space="0"/>
            </w:tcBorders>
            <w:noWrap w:val="0"/>
            <w:vAlign w:val="center"/>
          </w:tcPr>
          <w:p w14:paraId="2B40E98C">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eastAsia="zh-CN" w:bidi="ar-SA"/>
              </w:rPr>
              <w:t>≥</w:t>
            </w:r>
            <w:r>
              <w:rPr>
                <w:rFonts w:hint="default" w:ascii="Times New Roman" w:hAnsi="Times New Roman" w:eastAsia="方正仿宋_GBK" w:cs="Times New Roman"/>
                <w:color w:val="000000"/>
                <w:sz w:val="21"/>
                <w:szCs w:val="21"/>
                <w:lang w:val="en-US" w:eastAsia="zh-CN" w:bidi="ar-SA"/>
              </w:rPr>
              <w:t>90</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1E86981E">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2B31C357">
            <w:pPr>
              <w:spacing w:line="300" w:lineRule="exact"/>
              <w:jc w:val="center"/>
              <w:rPr>
                <w:rFonts w:hint="default" w:ascii="Times New Roman" w:hAnsi="Times New Roman" w:eastAsia="方正仿宋_GBK" w:cs="Times New Roman"/>
                <w:color w:val="000000"/>
                <w:sz w:val="21"/>
                <w:szCs w:val="21"/>
                <w:lang w:val="en-US" w:eastAsia="zh-CN" w:bidi="ar-SA"/>
              </w:rPr>
            </w:pPr>
          </w:p>
        </w:tc>
        <w:tc>
          <w:tcPr>
            <w:tcW w:w="1841" w:type="dxa"/>
            <w:tcBorders>
              <w:top w:val="single" w:color="auto" w:sz="4" w:space="0"/>
              <w:left w:val="single" w:color="auto" w:sz="4" w:space="0"/>
              <w:bottom w:val="single" w:color="auto" w:sz="4" w:space="0"/>
              <w:right w:val="single" w:color="auto" w:sz="4" w:space="0"/>
            </w:tcBorders>
            <w:noWrap w:val="0"/>
            <w:vAlign w:val="center"/>
          </w:tcPr>
          <w:p w14:paraId="4D707F92">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90%</w:t>
            </w:r>
          </w:p>
        </w:tc>
      </w:tr>
    </w:tbl>
    <w:p w14:paraId="41135FF8">
      <w:pPr>
        <w:keepNext w:val="0"/>
        <w:keepLines w:val="0"/>
        <w:pageBreakBefore w:val="0"/>
        <w:widowControl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color w:val="auto"/>
          <w:kern w:val="0"/>
          <w:sz w:val="32"/>
          <w:szCs w:val="32"/>
          <w:highlight w:val="none"/>
          <w:u w:val="none"/>
          <w:shd w:val="clear" w:color="auto" w:fill="FFFFFF"/>
          <w:lang w:val="en-US" w:eastAsia="zh-CN" w:bidi="ar-SA"/>
        </w:rPr>
      </w:pPr>
      <w:r>
        <w:rPr>
          <w:rFonts w:hint="default" w:ascii="Times New Roman" w:hAnsi="Times New Roman" w:eastAsia="黑体" w:cs="Times New Roman"/>
          <w:color w:val="auto"/>
          <w:kern w:val="0"/>
          <w:sz w:val="32"/>
          <w:szCs w:val="32"/>
          <w:highlight w:val="none"/>
          <w:u w:val="none"/>
          <w:shd w:val="clear" w:color="auto" w:fill="FFFFFF"/>
          <w:lang w:val="zh-CN" w:eastAsia="zh-CN" w:bidi="ar-SA"/>
        </w:rPr>
        <w:t>附表</w:t>
      </w:r>
      <w:r>
        <w:rPr>
          <w:rFonts w:hint="default" w:ascii="Times New Roman" w:hAnsi="Times New Roman" w:eastAsia="黑体" w:cs="Times New Roman"/>
          <w:color w:val="auto"/>
          <w:kern w:val="0"/>
          <w:sz w:val="32"/>
          <w:szCs w:val="32"/>
          <w:highlight w:val="none"/>
          <w:u w:val="none"/>
          <w:shd w:val="clear" w:color="auto" w:fill="FFFFFF"/>
          <w:lang w:val="en-US" w:eastAsia="zh-CN" w:bidi="ar-SA"/>
        </w:rPr>
        <w:t>3</w:t>
      </w:r>
    </w:p>
    <w:tbl>
      <w:tblPr>
        <w:tblStyle w:val="17"/>
        <w:tblW w:w="10232" w:type="dxa"/>
        <w:jc w:val="center"/>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3E13C4C8">
        <w:tblPrEx>
          <w:tblCellMar>
            <w:top w:w="15" w:type="dxa"/>
            <w:left w:w="15" w:type="dxa"/>
            <w:bottom w:w="15" w:type="dxa"/>
            <w:right w:w="15" w:type="dxa"/>
          </w:tblCellMar>
        </w:tblPrEx>
        <w:trPr>
          <w:trHeight w:val="576" w:hRule="atLeast"/>
          <w:jc w:val="center"/>
        </w:trPr>
        <w:tc>
          <w:tcPr>
            <w:tcW w:w="10233" w:type="dxa"/>
            <w:gridSpan w:val="9"/>
            <w:tcBorders>
              <w:top w:val="nil"/>
              <w:left w:val="nil"/>
              <w:bottom w:val="nil"/>
              <w:right w:val="nil"/>
            </w:tcBorders>
            <w:noWrap w:val="0"/>
            <w:vAlign w:val="center"/>
          </w:tcPr>
          <w:p w14:paraId="1C195D30">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hint="default" w:ascii="Times New Roman" w:hAnsi="Times New Roman" w:eastAsia="黑体" w:cs="Times New Roman"/>
                <w:color w:val="000000"/>
                <w:sz w:val="30"/>
                <w:szCs w:val="30"/>
                <w:u w:val="none"/>
                <w:lang w:bidi="ar-SA"/>
              </w:rPr>
            </w:pPr>
            <w:r>
              <w:rPr>
                <w:rFonts w:hint="default" w:ascii="Times New Roman" w:hAnsi="Times New Roman" w:eastAsia="方正小标宋简体" w:cs="Times New Roman"/>
                <w:color w:val="000000"/>
                <w:kern w:val="0"/>
                <w:sz w:val="40"/>
                <w:szCs w:val="40"/>
                <w:u w:val="none"/>
                <w:lang w:val="en-US" w:eastAsia="zh-CN" w:bidi="ar"/>
              </w:rPr>
              <w:t>专项预算项目绩效目标完成情况自评表</w:t>
            </w:r>
          </w:p>
        </w:tc>
      </w:tr>
      <w:tr w14:paraId="78A51825">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4617B965">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0482596">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养老服务发展专项资金（老年助餐）</w:t>
            </w:r>
          </w:p>
        </w:tc>
      </w:tr>
      <w:tr w14:paraId="5ED1777F">
        <w:tblPrEx>
          <w:tblCellMar>
            <w:top w:w="15" w:type="dxa"/>
            <w:left w:w="15" w:type="dxa"/>
            <w:bottom w:w="15" w:type="dxa"/>
            <w:right w:w="15" w:type="dxa"/>
          </w:tblCellMar>
        </w:tblPrEx>
        <w:trPr>
          <w:trHeight w:val="325"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7F855986">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FA81EC9">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攀枝花市民政局</w:t>
            </w:r>
          </w:p>
        </w:tc>
      </w:tr>
      <w:tr w14:paraId="11DB6D17">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7CBABDBC">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CF3F21B">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养老服务项目</w:t>
            </w:r>
          </w:p>
        </w:tc>
      </w:tr>
      <w:tr w14:paraId="72D1BC0C">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4542920">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C8CE46E">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中长期规划（名称、文号，仅指</w:t>
            </w:r>
          </w:p>
          <w:p w14:paraId="23A97A14">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6544EA2">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eastAsia="zh-CN" w:bidi="ar-SA"/>
              </w:rPr>
              <w:t>四川省财政厅 四川省民政厅关于印发《四川省省级财政养老服务业发展专项资金管理办法》的通知（川财社〔2019〕59号）</w:t>
            </w:r>
          </w:p>
        </w:tc>
      </w:tr>
      <w:tr w14:paraId="3B892E4F">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20EAB0">
            <w:pPr>
              <w:spacing w:line="300" w:lineRule="exact"/>
              <w:jc w:val="center"/>
              <w:rPr>
                <w:rFonts w:hint="default" w:ascii="Times New Roman" w:hAnsi="Times New Roman" w:eastAsia="方正仿宋_GBK" w:cs="Times New Roman"/>
                <w:color w:val="000000"/>
                <w:sz w:val="21"/>
                <w:szCs w:val="21"/>
                <w:lang w:eastAsia="zh-CN" w:bidi="ar-SA"/>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46015367">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CC3AB84">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eastAsia="zh-CN" w:bidi="ar-SA"/>
              </w:rPr>
              <w:t>四川省财政厅 四川省民政厅关于印发《四川省省级财政养老服务业发展专项资金管理办法》的通知（川财社〔2019〕59号）</w:t>
            </w:r>
          </w:p>
        </w:tc>
      </w:tr>
      <w:tr w14:paraId="3FD11631">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4CEA17">
            <w:pPr>
              <w:spacing w:line="300" w:lineRule="exact"/>
              <w:jc w:val="center"/>
              <w:rPr>
                <w:rFonts w:hint="default" w:ascii="Times New Roman" w:hAnsi="Times New Roman" w:eastAsia="方正仿宋_GBK" w:cs="Times New Roman"/>
                <w:color w:val="000000"/>
                <w:sz w:val="21"/>
                <w:szCs w:val="21"/>
                <w:lang w:eastAsia="zh-CN" w:bidi="ar-SA"/>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1CD4D01">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47F002D">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2ED29F9B">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eastAsia="zh-CN" w:bidi="ar-SA"/>
              </w:rPr>
              <w:sym w:font="Wingdings 2" w:char="0052"/>
            </w:r>
            <w:r>
              <w:rPr>
                <w:rFonts w:hint="default" w:ascii="Times New Roman" w:hAnsi="Times New Roman" w:eastAsia="方正仿宋_GBK" w:cs="Times New Roman"/>
                <w:color w:val="000000"/>
                <w:sz w:val="21"/>
                <w:szCs w:val="21"/>
                <w:lang w:val="en-US" w:eastAsia="zh-CN" w:bidi="ar-SA"/>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5FE6A9A">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AE3145F">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因素法与项目法相结合</w:t>
            </w:r>
          </w:p>
        </w:tc>
      </w:tr>
      <w:tr w14:paraId="07D1A74B">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02F422">
            <w:pPr>
              <w:spacing w:line="300" w:lineRule="exact"/>
              <w:jc w:val="center"/>
              <w:rPr>
                <w:rFonts w:hint="default" w:ascii="Times New Roman" w:hAnsi="Times New Roman" w:eastAsia="方正仿宋_GBK" w:cs="Times New Roman"/>
                <w:color w:val="000000"/>
                <w:sz w:val="21"/>
                <w:szCs w:val="21"/>
                <w:lang w:eastAsia="zh-CN" w:bidi="ar-SA"/>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DF6ABE5">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E3B7BE6">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《攀枝花市财政局关于下达2025年中央财政养老服务发展专项资金(老年助餐)的通知》（攀财资社〔2025〕182号）</w:t>
            </w:r>
          </w:p>
        </w:tc>
      </w:tr>
      <w:tr w14:paraId="26233893">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FEA55F">
            <w:pPr>
              <w:spacing w:line="300" w:lineRule="exact"/>
              <w:jc w:val="center"/>
              <w:rPr>
                <w:rFonts w:hint="default" w:ascii="Times New Roman" w:hAnsi="Times New Roman" w:eastAsia="方正仿宋_GBK" w:cs="Times New Roman"/>
                <w:color w:val="000000"/>
                <w:sz w:val="21"/>
                <w:szCs w:val="21"/>
                <w:lang w:eastAsia="zh-CN" w:bidi="ar-SA"/>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925AB7C">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CD9F0D2">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养老服务项目</w:t>
            </w:r>
          </w:p>
        </w:tc>
      </w:tr>
      <w:tr w14:paraId="4D47587A">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56CCD3">
            <w:pPr>
              <w:spacing w:line="300" w:lineRule="exact"/>
              <w:jc w:val="center"/>
              <w:rPr>
                <w:rFonts w:hint="default" w:ascii="Times New Roman" w:hAnsi="Times New Roman" w:eastAsia="方正仿宋_GBK" w:cs="Times New Roman"/>
                <w:color w:val="000000"/>
                <w:sz w:val="21"/>
                <w:szCs w:val="21"/>
                <w:lang w:eastAsia="zh-CN" w:bidi="ar-SA"/>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32A3D10">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B398A2F">
            <w:pPr>
              <w:spacing w:line="300" w:lineRule="exact"/>
              <w:jc w:val="center"/>
              <w:rPr>
                <w:rFonts w:hint="default" w:ascii="Times New Roman" w:hAnsi="Times New Roman" w:eastAsia="方正仿宋_GBK" w:cs="Times New Roman"/>
                <w:color w:val="000000"/>
                <w:sz w:val="21"/>
                <w:szCs w:val="21"/>
                <w:lang w:val="en-US" w:eastAsia="en-US" w:bidi="ar-SA"/>
              </w:rPr>
            </w:pPr>
          </w:p>
        </w:tc>
      </w:tr>
      <w:tr w14:paraId="1383B79C">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28F24C">
            <w:pPr>
              <w:spacing w:line="300" w:lineRule="exact"/>
              <w:jc w:val="center"/>
              <w:rPr>
                <w:rFonts w:hint="default" w:ascii="Times New Roman" w:hAnsi="Times New Roman" w:eastAsia="方正仿宋_GBK" w:cs="Times New Roman"/>
                <w:color w:val="000000"/>
                <w:sz w:val="21"/>
                <w:szCs w:val="21"/>
                <w:lang w:eastAsia="zh-CN" w:bidi="ar-SA"/>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015C0DA">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A5B9053">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2025年10月—2026年10月</w:t>
            </w:r>
          </w:p>
        </w:tc>
      </w:tr>
      <w:tr w14:paraId="4D2FD1E7">
        <w:tblPrEx>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CE627C">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项目资金</w:t>
            </w:r>
          </w:p>
          <w:p w14:paraId="590ED256">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08009D63">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B9564CF">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34</w:t>
            </w:r>
          </w:p>
        </w:tc>
      </w:tr>
      <w:tr w14:paraId="613581AC">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C3075E">
            <w:pPr>
              <w:spacing w:line="300" w:lineRule="exact"/>
              <w:jc w:val="center"/>
              <w:rPr>
                <w:rFonts w:hint="default" w:ascii="Times New Roman" w:hAnsi="Times New Roman" w:eastAsia="方正仿宋_GBK" w:cs="Times New Roman"/>
                <w:color w:val="000000"/>
                <w:sz w:val="21"/>
                <w:szCs w:val="21"/>
                <w:lang w:eastAsia="zh-CN" w:bidi="ar-SA"/>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3E97F993">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B1A00E0">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34</w:t>
            </w:r>
          </w:p>
        </w:tc>
      </w:tr>
      <w:tr w14:paraId="5DB72332">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88BF3A">
            <w:pPr>
              <w:spacing w:line="300" w:lineRule="exact"/>
              <w:jc w:val="center"/>
              <w:rPr>
                <w:rFonts w:hint="default" w:ascii="Times New Roman" w:hAnsi="Times New Roman" w:eastAsia="方正仿宋_GBK" w:cs="Times New Roman"/>
                <w:color w:val="000000"/>
                <w:sz w:val="21"/>
                <w:szCs w:val="21"/>
                <w:lang w:eastAsia="zh-CN" w:bidi="ar-SA"/>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4348FFE4">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755DF70">
            <w:pPr>
              <w:spacing w:line="300" w:lineRule="exact"/>
              <w:jc w:val="center"/>
              <w:rPr>
                <w:rFonts w:hint="default" w:ascii="Times New Roman" w:hAnsi="Times New Roman" w:eastAsia="方正仿宋_GBK" w:cs="Times New Roman"/>
                <w:color w:val="000000"/>
                <w:sz w:val="21"/>
                <w:szCs w:val="21"/>
                <w:lang w:val="en-US" w:eastAsia="zh-CN" w:bidi="ar-SA"/>
              </w:rPr>
            </w:pPr>
          </w:p>
        </w:tc>
      </w:tr>
      <w:tr w14:paraId="375D2189">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1CBBFB8">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4DBAA816">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年度目标</w:t>
            </w:r>
          </w:p>
        </w:tc>
      </w:tr>
      <w:tr w14:paraId="2AE7FEC1">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9C5644">
            <w:pPr>
              <w:spacing w:line="300" w:lineRule="exact"/>
              <w:jc w:val="center"/>
              <w:rPr>
                <w:rFonts w:hint="default" w:ascii="Times New Roman" w:hAnsi="Times New Roman" w:eastAsia="方正仿宋_GBK" w:cs="Times New Roman"/>
                <w:color w:val="000000"/>
                <w:sz w:val="21"/>
                <w:szCs w:val="21"/>
                <w:lang w:eastAsia="zh-CN" w:bidi="ar-SA"/>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4BA364F7">
            <w:pPr>
              <w:spacing w:line="300" w:lineRule="exact"/>
              <w:jc w:val="left"/>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通过支持当地老年助餐机构根据需要购置或更新助餐设施设备，提升居家和社区基本养老服务便捷性和可及性。</w:t>
            </w:r>
          </w:p>
        </w:tc>
      </w:tr>
      <w:tr w14:paraId="4FD58B68">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nil"/>
            </w:tcBorders>
            <w:noWrap w:val="0"/>
            <w:vAlign w:val="center"/>
          </w:tcPr>
          <w:p w14:paraId="0111073B">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6AAA7E66">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26089C2B">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9C64EFA">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DF64196">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1273C9D">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6764063">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F418AE6">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FDEFDFB">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实际完成指标值</w:t>
            </w:r>
          </w:p>
        </w:tc>
      </w:tr>
      <w:tr w14:paraId="7D6E9C85">
        <w:tblPrEx>
          <w:tblCellMar>
            <w:top w:w="15" w:type="dxa"/>
            <w:left w:w="15" w:type="dxa"/>
            <w:bottom w:w="15" w:type="dxa"/>
            <w:right w:w="15" w:type="dxa"/>
          </w:tblCellMar>
        </w:tblPrEx>
        <w:trPr>
          <w:trHeight w:val="1448"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468AAAC3">
            <w:pPr>
              <w:spacing w:line="300" w:lineRule="exact"/>
              <w:jc w:val="center"/>
              <w:rPr>
                <w:rFonts w:hint="default" w:ascii="Times New Roman" w:hAnsi="Times New Roman" w:eastAsia="方正仿宋_GBK" w:cs="Times New Roman"/>
                <w:color w:val="000000"/>
                <w:sz w:val="21"/>
                <w:szCs w:val="21"/>
                <w:lang w:eastAsia="zh-CN" w:bidi="ar-SA"/>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058B124A">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产出指标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5E60790E">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7700712A">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eastAsia="zh-CN" w:bidi="ar-SA"/>
              </w:rPr>
              <w:t>添置更新设施设备的街道（乡镇）或村（社区）层面老年助餐点位数量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59618C2">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eastAsia="zh-CN" w:bidi="ar-SA"/>
              </w:rPr>
              <w:t>定量</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9FC284C">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eastAsia="zh-CN" w:bidi="ar-SA"/>
              </w:rPr>
              <w:t>≥21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4AC5405">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7983C9F">
            <w:pPr>
              <w:spacing w:line="300" w:lineRule="exact"/>
              <w:jc w:val="center"/>
              <w:rPr>
                <w:rFonts w:hint="default" w:ascii="Times New Roman" w:hAnsi="Times New Roman" w:eastAsia="方正仿宋_GBK" w:cs="Times New Roman"/>
                <w:color w:val="000000"/>
                <w:sz w:val="21"/>
                <w:szCs w:val="21"/>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E05E4B8">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预计按计划完成21个</w:t>
            </w:r>
          </w:p>
        </w:tc>
      </w:tr>
      <w:tr w14:paraId="5994B8B9">
        <w:tblPrEx>
          <w:tblCellMar>
            <w:top w:w="15" w:type="dxa"/>
            <w:left w:w="15" w:type="dxa"/>
            <w:bottom w:w="15" w:type="dxa"/>
            <w:right w:w="15" w:type="dxa"/>
          </w:tblCellMar>
        </w:tblPrEx>
        <w:trPr>
          <w:trHeight w:val="636"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6231DAFC">
            <w:pPr>
              <w:spacing w:line="300" w:lineRule="exact"/>
              <w:jc w:val="center"/>
              <w:rPr>
                <w:rFonts w:hint="default" w:ascii="Times New Roman" w:hAnsi="Times New Roman" w:eastAsia="方正仿宋_GBK" w:cs="Times New Roman"/>
                <w:color w:val="000000"/>
                <w:sz w:val="21"/>
                <w:szCs w:val="21"/>
                <w:lang w:eastAsia="zh-CN" w:bidi="ar-SA"/>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01AFA1">
            <w:pPr>
              <w:spacing w:line="300" w:lineRule="exact"/>
              <w:jc w:val="center"/>
              <w:rPr>
                <w:rFonts w:hint="default" w:ascii="Times New Roman" w:hAnsi="Times New Roman" w:eastAsia="方正仿宋_GBK" w:cs="Times New Roman"/>
                <w:color w:val="000000"/>
                <w:sz w:val="21"/>
                <w:szCs w:val="21"/>
                <w:lang w:eastAsia="zh-CN" w:bidi="ar-SA"/>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461586D3">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682F28B">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eastAsia="zh-CN" w:bidi="ar-SA"/>
              </w:rPr>
              <w:t>助餐服务覆盖率和老年人就餐便利度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27AB9FF">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eastAsia="zh-CN" w:bidi="ar-SA"/>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E2249A7">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显著提升</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BC135BA">
            <w:pPr>
              <w:spacing w:line="300" w:lineRule="exact"/>
              <w:jc w:val="center"/>
              <w:rPr>
                <w:rFonts w:hint="default" w:ascii="Times New Roman" w:hAnsi="Times New Roman" w:eastAsia="方正仿宋_GBK" w:cs="Times New Roman"/>
                <w:color w:val="000000"/>
                <w:sz w:val="21"/>
                <w:szCs w:val="21"/>
                <w:lang w:val="en-US" w:eastAsia="zh-CN" w:bidi="ar-SA"/>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DBC6369">
            <w:pPr>
              <w:spacing w:line="300" w:lineRule="exact"/>
              <w:jc w:val="center"/>
              <w:rPr>
                <w:rFonts w:hint="default" w:ascii="Times New Roman" w:hAnsi="Times New Roman" w:eastAsia="方正仿宋_GBK" w:cs="Times New Roman"/>
                <w:color w:val="000000"/>
                <w:sz w:val="21"/>
                <w:szCs w:val="21"/>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15DB2E7">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显著提升</w:t>
            </w:r>
          </w:p>
        </w:tc>
      </w:tr>
      <w:tr w14:paraId="3FB6A767">
        <w:tblPrEx>
          <w:tblCellMar>
            <w:top w:w="15" w:type="dxa"/>
            <w:left w:w="15" w:type="dxa"/>
            <w:bottom w:w="15" w:type="dxa"/>
            <w:right w:w="15" w:type="dxa"/>
          </w:tblCellMar>
        </w:tblPrEx>
        <w:trPr>
          <w:trHeight w:val="665"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36C1F405">
            <w:pPr>
              <w:spacing w:line="300" w:lineRule="exact"/>
              <w:jc w:val="center"/>
              <w:rPr>
                <w:rFonts w:hint="default" w:ascii="Times New Roman" w:hAnsi="Times New Roman" w:eastAsia="方正仿宋_GBK" w:cs="Times New Roman"/>
                <w:color w:val="000000"/>
                <w:sz w:val="21"/>
                <w:szCs w:val="21"/>
                <w:lang w:eastAsia="zh-CN" w:bidi="ar-SA"/>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B2C90E">
            <w:pPr>
              <w:spacing w:line="300" w:lineRule="exact"/>
              <w:jc w:val="center"/>
              <w:rPr>
                <w:rFonts w:hint="default" w:ascii="Times New Roman" w:hAnsi="Times New Roman" w:eastAsia="方正仿宋_GBK" w:cs="Times New Roman"/>
                <w:color w:val="000000"/>
                <w:sz w:val="21"/>
                <w:szCs w:val="21"/>
                <w:lang w:eastAsia="zh-CN" w:bidi="ar-SA"/>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223A01B1">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3A66F38">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eastAsia="zh-CN" w:bidi="ar-SA"/>
              </w:rPr>
              <w:t>资金及时下达</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7D9E607">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eastAsia="zh-CN" w:bidi="ar-SA"/>
              </w:rPr>
              <w:t>定量</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0474713">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及时下达</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AB3FFD1">
            <w:pPr>
              <w:spacing w:line="300" w:lineRule="exact"/>
              <w:jc w:val="center"/>
              <w:rPr>
                <w:rFonts w:hint="default" w:ascii="Times New Roman" w:hAnsi="Times New Roman" w:eastAsia="方正仿宋_GBK" w:cs="Times New Roman"/>
                <w:color w:val="000000"/>
                <w:sz w:val="21"/>
                <w:szCs w:val="21"/>
                <w:lang w:val="en-US" w:eastAsia="zh-CN" w:bidi="ar-SA"/>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1AB03B7">
            <w:pPr>
              <w:spacing w:line="300" w:lineRule="exact"/>
              <w:jc w:val="center"/>
              <w:rPr>
                <w:rFonts w:hint="default" w:ascii="Times New Roman" w:hAnsi="Times New Roman" w:eastAsia="方正仿宋_GBK" w:cs="Times New Roman"/>
                <w:color w:val="000000"/>
                <w:sz w:val="21"/>
                <w:szCs w:val="21"/>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4F109DB">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及时下达</w:t>
            </w:r>
          </w:p>
        </w:tc>
      </w:tr>
      <w:tr w14:paraId="3CD5DC0F">
        <w:tblPrEx>
          <w:tblCellMar>
            <w:top w:w="15" w:type="dxa"/>
            <w:left w:w="15" w:type="dxa"/>
            <w:bottom w:w="15" w:type="dxa"/>
            <w:right w:w="15" w:type="dxa"/>
          </w:tblCellMar>
        </w:tblPrEx>
        <w:trPr>
          <w:trHeight w:val="623"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63315D2D">
            <w:pPr>
              <w:spacing w:line="300" w:lineRule="exact"/>
              <w:jc w:val="center"/>
              <w:rPr>
                <w:rFonts w:hint="default" w:ascii="Times New Roman" w:hAnsi="Times New Roman" w:eastAsia="方正仿宋_GBK" w:cs="Times New Roman"/>
                <w:color w:val="000000"/>
                <w:sz w:val="21"/>
                <w:szCs w:val="21"/>
                <w:lang w:eastAsia="zh-CN" w:bidi="ar-SA"/>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6AD2768E">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效益指标</w:t>
            </w:r>
          </w:p>
        </w:tc>
        <w:tc>
          <w:tcPr>
            <w:tcW w:w="1250" w:type="dxa"/>
            <w:tcBorders>
              <w:top w:val="single" w:color="000000" w:sz="4" w:space="0"/>
              <w:left w:val="single" w:color="000000" w:sz="4" w:space="0"/>
              <w:bottom w:val="nil"/>
              <w:right w:val="single" w:color="000000" w:sz="4" w:space="0"/>
            </w:tcBorders>
            <w:noWrap w:val="0"/>
            <w:vAlign w:val="center"/>
          </w:tcPr>
          <w:p w14:paraId="76A95BE7">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社会效益</w:t>
            </w:r>
          </w:p>
          <w:p w14:paraId="14D058B8">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4D1C11FC">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eastAsia="zh-CN" w:bidi="ar-SA"/>
              </w:rPr>
              <w:t>居家和社区基本养老服务能力</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58867D5">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eastAsia="zh-CN" w:bidi="ar-SA"/>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760DB36">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有效提高</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6CB5515">
            <w:pPr>
              <w:spacing w:line="300" w:lineRule="exact"/>
              <w:jc w:val="center"/>
              <w:rPr>
                <w:rFonts w:hint="default" w:ascii="Times New Roman" w:hAnsi="Times New Roman" w:eastAsia="方正仿宋_GBK" w:cs="Times New Roman"/>
                <w:color w:val="000000"/>
                <w:sz w:val="21"/>
                <w:szCs w:val="21"/>
                <w:lang w:val="en-US" w:eastAsia="zh-CN" w:bidi="ar-SA"/>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606B7E2">
            <w:pPr>
              <w:spacing w:line="300" w:lineRule="exact"/>
              <w:jc w:val="center"/>
              <w:rPr>
                <w:rFonts w:hint="default" w:ascii="Times New Roman" w:hAnsi="Times New Roman" w:eastAsia="方正仿宋_GBK" w:cs="Times New Roman"/>
                <w:color w:val="000000"/>
                <w:sz w:val="21"/>
                <w:szCs w:val="21"/>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6CF422E">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有效提高</w:t>
            </w:r>
          </w:p>
        </w:tc>
      </w:tr>
      <w:tr w14:paraId="3AB1CA0D">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47D798BB">
            <w:pPr>
              <w:spacing w:line="300" w:lineRule="exact"/>
              <w:jc w:val="center"/>
              <w:rPr>
                <w:rFonts w:hint="default" w:ascii="Times New Roman" w:hAnsi="Times New Roman" w:eastAsia="方正仿宋_GBK" w:cs="Times New Roman"/>
                <w:color w:val="000000"/>
                <w:sz w:val="21"/>
                <w:szCs w:val="21"/>
                <w:lang w:eastAsia="zh-CN" w:bidi="ar-SA"/>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270E48">
            <w:pPr>
              <w:spacing w:line="300" w:lineRule="exact"/>
              <w:jc w:val="center"/>
              <w:rPr>
                <w:rFonts w:hint="default" w:ascii="Times New Roman" w:hAnsi="Times New Roman" w:eastAsia="方正仿宋_GBK" w:cs="Times New Roman"/>
                <w:color w:val="000000"/>
                <w:sz w:val="21"/>
                <w:szCs w:val="21"/>
                <w:lang w:eastAsia="zh-CN" w:bidi="ar-SA"/>
              </w:rPr>
            </w:pPr>
          </w:p>
        </w:tc>
        <w:tc>
          <w:tcPr>
            <w:tcW w:w="1250" w:type="dxa"/>
            <w:tcBorders>
              <w:top w:val="single" w:color="000000" w:sz="4" w:space="0"/>
              <w:left w:val="single" w:color="000000" w:sz="4" w:space="0"/>
              <w:bottom w:val="nil"/>
              <w:right w:val="single" w:color="000000" w:sz="4" w:space="0"/>
            </w:tcBorders>
            <w:noWrap w:val="0"/>
            <w:vAlign w:val="center"/>
          </w:tcPr>
          <w:p w14:paraId="2F663B89">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可持续影响</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003FB906">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eastAsia="zh-CN" w:bidi="ar-SA"/>
              </w:rPr>
              <w:t>收益老年群体幸福感</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E5C4FCE">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eastAsia="zh-CN" w:bidi="ar-SA"/>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C5CB0EF">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eastAsia="zh-CN" w:bidi="ar-SA"/>
              </w:rPr>
              <w:t>不断提升</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C6263FB">
            <w:pPr>
              <w:spacing w:line="300" w:lineRule="exact"/>
              <w:jc w:val="center"/>
              <w:rPr>
                <w:rFonts w:hint="default" w:ascii="Times New Roman" w:hAnsi="Times New Roman" w:eastAsia="方正仿宋_GBK" w:cs="Times New Roman"/>
                <w:color w:val="000000"/>
                <w:sz w:val="21"/>
                <w:szCs w:val="21"/>
                <w:lang w:val="en-US" w:eastAsia="zh-CN" w:bidi="ar-SA"/>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3CA4A54">
            <w:pPr>
              <w:spacing w:line="300" w:lineRule="exact"/>
              <w:jc w:val="center"/>
              <w:rPr>
                <w:rFonts w:hint="default" w:ascii="Times New Roman" w:hAnsi="Times New Roman" w:eastAsia="方正仿宋_GBK" w:cs="Times New Roman"/>
                <w:color w:val="000000"/>
                <w:sz w:val="21"/>
                <w:szCs w:val="21"/>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4ACA7D1">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不断提升</w:t>
            </w:r>
          </w:p>
        </w:tc>
      </w:tr>
      <w:tr w14:paraId="26EFB067">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328D1AA0">
            <w:pPr>
              <w:spacing w:line="300" w:lineRule="exact"/>
              <w:jc w:val="center"/>
              <w:rPr>
                <w:rFonts w:hint="default" w:ascii="Times New Roman" w:hAnsi="Times New Roman" w:eastAsia="方正仿宋_GBK" w:cs="Times New Roman"/>
                <w:color w:val="000000"/>
                <w:sz w:val="21"/>
                <w:szCs w:val="21"/>
                <w:lang w:eastAsia="zh-CN" w:bidi="ar-SA"/>
              </w:rPr>
            </w:pPr>
          </w:p>
        </w:tc>
        <w:tc>
          <w:tcPr>
            <w:tcW w:w="1081" w:type="dxa"/>
            <w:tcBorders>
              <w:top w:val="single" w:color="000000" w:sz="4" w:space="0"/>
              <w:left w:val="single" w:color="000000" w:sz="4" w:space="0"/>
              <w:bottom w:val="nil"/>
              <w:right w:val="single" w:color="000000" w:sz="4" w:space="0"/>
            </w:tcBorders>
            <w:noWrap w:val="0"/>
            <w:vAlign w:val="center"/>
          </w:tcPr>
          <w:p w14:paraId="144607AF">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满意度</w:t>
            </w:r>
          </w:p>
          <w:p w14:paraId="36066C08">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指标</w:t>
            </w:r>
          </w:p>
        </w:tc>
        <w:tc>
          <w:tcPr>
            <w:tcW w:w="1250" w:type="dxa"/>
            <w:tcBorders>
              <w:top w:val="single" w:color="000000" w:sz="4" w:space="0"/>
              <w:left w:val="single" w:color="000000" w:sz="4" w:space="0"/>
              <w:bottom w:val="nil"/>
              <w:right w:val="single" w:color="000000" w:sz="4" w:space="0"/>
            </w:tcBorders>
            <w:noWrap w:val="0"/>
            <w:vAlign w:val="center"/>
          </w:tcPr>
          <w:p w14:paraId="3A124A9F">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服务对象</w:t>
            </w:r>
          </w:p>
          <w:p w14:paraId="5A542FDA">
            <w:pPr>
              <w:spacing w:line="300" w:lineRule="exact"/>
              <w:jc w:val="center"/>
              <w:rPr>
                <w:rFonts w:hint="default" w:ascii="Times New Roman" w:hAnsi="Times New Roman" w:eastAsia="方正仿宋_GBK" w:cs="Times New Roman"/>
                <w:color w:val="000000"/>
                <w:sz w:val="21"/>
                <w:szCs w:val="21"/>
                <w:lang w:eastAsia="zh-CN" w:bidi="ar-SA"/>
              </w:rPr>
            </w:pPr>
            <w:r>
              <w:rPr>
                <w:rFonts w:hint="default" w:ascii="Times New Roman" w:hAnsi="Times New Roman" w:eastAsia="方正仿宋_GBK" w:cs="Times New Roman"/>
                <w:color w:val="000000"/>
                <w:sz w:val="21"/>
                <w:szCs w:val="21"/>
                <w:lang w:val="en-US" w:eastAsia="zh-CN" w:bidi="ar-SA"/>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4F8F7DF">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eastAsia="zh-CN" w:bidi="ar-SA"/>
              </w:rPr>
              <w:t>受益老年人满意度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8955F8A">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eastAsia="zh-CN" w:bidi="ar-SA"/>
              </w:rPr>
              <w:t>定量</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312389A">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eastAsia="zh-CN" w:bidi="ar-SA"/>
              </w:rPr>
              <w:t>≥</w:t>
            </w:r>
            <w:r>
              <w:rPr>
                <w:rFonts w:hint="default" w:ascii="Times New Roman" w:hAnsi="Times New Roman" w:eastAsia="方正仿宋_GBK" w:cs="Times New Roman"/>
                <w:color w:val="000000"/>
                <w:sz w:val="21"/>
                <w:szCs w:val="21"/>
                <w:lang w:val="en-US" w:eastAsia="zh-CN" w:bidi="ar-SA"/>
              </w:rPr>
              <w:t>90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F9A328A">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127AA0D">
            <w:pPr>
              <w:spacing w:line="300" w:lineRule="exact"/>
              <w:jc w:val="center"/>
              <w:rPr>
                <w:rFonts w:hint="default" w:ascii="Times New Roman" w:hAnsi="Times New Roman" w:eastAsia="方正仿宋_GBK" w:cs="Times New Roman"/>
                <w:color w:val="000000"/>
                <w:sz w:val="21"/>
                <w:szCs w:val="21"/>
                <w:lang w:val="en-US" w:eastAsia="zh-CN" w:bidi="ar-SA"/>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0B38788">
            <w:pPr>
              <w:spacing w:line="300" w:lineRule="exact"/>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90%</w:t>
            </w:r>
          </w:p>
        </w:tc>
      </w:tr>
    </w:tbl>
    <w:p w14:paraId="13AF5FA6">
      <w:pPr>
        <w:pStyle w:val="37"/>
        <w:keepNext w:val="0"/>
        <w:keepLines w:val="0"/>
        <w:pageBreakBefore w:val="0"/>
        <w:widowControl w:val="0"/>
        <w:kinsoku/>
        <w:wordWrap/>
        <w:overflowPunct/>
        <w:topLinePunct w:val="0"/>
        <w:autoSpaceDE/>
        <w:autoSpaceDN/>
        <w:bidi w:val="0"/>
        <w:adjustRightInd/>
        <w:snapToGrid/>
        <w:spacing w:line="700" w:lineRule="exact"/>
        <w:ind w:left="0" w:leftChars="0"/>
        <w:jc w:val="both"/>
        <w:textAlignment w:val="auto"/>
        <w:rPr>
          <w:rFonts w:hint="default" w:ascii="Times New Roman" w:hAnsi="Times New Roman" w:eastAsia="方正小标宋简体" w:cs="Times New Roman"/>
          <w:color w:val="auto"/>
          <w:kern w:val="2"/>
          <w:sz w:val="32"/>
          <w:szCs w:val="32"/>
          <w:highlight w:val="none"/>
          <w:lang w:val="en-US" w:eastAsia="zh-CN"/>
        </w:rPr>
      </w:pPr>
      <w:r>
        <w:rPr>
          <w:rFonts w:hint="default" w:ascii="Times New Roman" w:hAnsi="Times New Roman" w:eastAsia="黑体" w:cs="Times New Roman"/>
          <w:color w:val="auto"/>
          <w:kern w:val="2"/>
          <w:sz w:val="32"/>
          <w:szCs w:val="32"/>
          <w:highlight w:val="none"/>
          <w:lang w:val="en-US" w:eastAsia="zh-CN"/>
        </w:rPr>
        <w:t>附件2-3</w:t>
      </w:r>
    </w:p>
    <w:p w14:paraId="0DCDA6E2">
      <w:pPr>
        <w:pStyle w:val="37"/>
        <w:keepNext w:val="0"/>
        <w:keepLines w:val="0"/>
        <w:pageBreakBefore w:val="0"/>
        <w:widowControl w:val="0"/>
        <w:kinsoku/>
        <w:wordWrap/>
        <w:overflowPunct/>
        <w:topLinePunct w:val="0"/>
        <w:autoSpaceDE/>
        <w:autoSpaceDN/>
        <w:bidi w:val="0"/>
        <w:adjustRightInd/>
        <w:snapToGrid/>
        <w:spacing w:line="700"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default" w:ascii="Times New Roman" w:hAnsi="Times New Roman" w:eastAsia="方正小标宋简体" w:cs="Times New Roman"/>
          <w:color w:val="auto"/>
          <w:kern w:val="2"/>
          <w:sz w:val="44"/>
          <w:szCs w:val="44"/>
          <w:highlight w:val="none"/>
          <w:lang w:val="en-US" w:eastAsia="zh-CN"/>
        </w:rPr>
        <w:t>攀枝花市民政局</w:t>
      </w:r>
    </w:p>
    <w:p w14:paraId="63CB75E5">
      <w:pPr>
        <w:pStyle w:val="37"/>
        <w:keepNext w:val="0"/>
        <w:keepLines w:val="0"/>
        <w:pageBreakBefore w:val="0"/>
        <w:widowControl w:val="0"/>
        <w:kinsoku/>
        <w:wordWrap/>
        <w:overflowPunct/>
        <w:topLinePunct w:val="0"/>
        <w:autoSpaceDE/>
        <w:autoSpaceDN/>
        <w:bidi w:val="0"/>
        <w:adjustRightInd/>
        <w:snapToGrid/>
        <w:spacing w:line="700"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default" w:ascii="Times New Roman" w:hAnsi="Times New Roman" w:eastAsia="方正小标宋简体" w:cs="Times New Roman"/>
          <w:color w:val="auto"/>
          <w:kern w:val="2"/>
          <w:sz w:val="44"/>
          <w:szCs w:val="44"/>
          <w:highlight w:val="none"/>
          <w:lang w:val="en-US" w:eastAsia="zh-CN"/>
        </w:rPr>
        <w:t>关于2025年民政事业补助资金专项预算</w:t>
      </w:r>
    </w:p>
    <w:p w14:paraId="04A909BD">
      <w:pPr>
        <w:pStyle w:val="37"/>
        <w:keepNext w:val="0"/>
        <w:keepLines w:val="0"/>
        <w:pageBreakBefore w:val="0"/>
        <w:widowControl w:val="0"/>
        <w:kinsoku/>
        <w:wordWrap/>
        <w:overflowPunct/>
        <w:topLinePunct w:val="0"/>
        <w:autoSpaceDE/>
        <w:autoSpaceDN/>
        <w:bidi w:val="0"/>
        <w:adjustRightInd/>
        <w:snapToGrid/>
        <w:spacing w:line="700"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default" w:ascii="Times New Roman" w:hAnsi="Times New Roman" w:eastAsia="方正小标宋简体" w:cs="Times New Roman"/>
          <w:color w:val="auto"/>
          <w:kern w:val="2"/>
          <w:sz w:val="44"/>
          <w:szCs w:val="44"/>
          <w:highlight w:val="none"/>
          <w:lang w:val="en-US" w:eastAsia="zh-CN"/>
        </w:rPr>
        <w:t>绩效自评情况的报告</w:t>
      </w:r>
    </w:p>
    <w:p w14:paraId="2E2511C5">
      <w:pPr>
        <w:pStyle w:val="37"/>
        <w:keepNext w:val="0"/>
        <w:keepLines w:val="0"/>
        <w:pageBreakBefore w:val="0"/>
        <w:widowControl w:val="0"/>
        <w:kinsoku/>
        <w:wordWrap/>
        <w:overflowPunct/>
        <w:topLinePunct w:val="0"/>
        <w:autoSpaceDE/>
        <w:autoSpaceDN/>
        <w:bidi w:val="0"/>
        <w:spacing w:line="560" w:lineRule="exact"/>
        <w:ind w:left="0" w:leftChars="0" w:firstLine="640"/>
        <w:jc w:val="left"/>
        <w:textAlignment w:val="auto"/>
        <w:rPr>
          <w:rFonts w:hint="default" w:ascii="Times New Roman" w:hAnsi="Times New Roman" w:cs="Times New Roman"/>
          <w:color w:val="auto"/>
          <w:kern w:val="2"/>
          <w:sz w:val="32"/>
          <w:szCs w:val="32"/>
          <w:highlight w:val="none"/>
        </w:rPr>
      </w:pPr>
    </w:p>
    <w:p w14:paraId="17930352">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黑体_GBK" w:cs="Times New Roman"/>
          <w:sz w:val="32"/>
          <w:szCs w:val="32"/>
          <w:highlight w:val="none"/>
          <w:lang w:val="zh-CN"/>
        </w:rPr>
      </w:pPr>
      <w:r>
        <w:rPr>
          <w:rFonts w:hint="default" w:ascii="Times New Roman" w:hAnsi="Times New Roman" w:eastAsia="方正黑体_GBK" w:cs="Times New Roman"/>
          <w:sz w:val="32"/>
          <w:szCs w:val="32"/>
          <w:highlight w:val="none"/>
        </w:rPr>
        <w:t>一、</w:t>
      </w:r>
      <w:r>
        <w:rPr>
          <w:rFonts w:hint="default" w:ascii="Times New Roman" w:hAnsi="Times New Roman" w:eastAsia="方正黑体_GBK" w:cs="Times New Roman"/>
          <w:sz w:val="32"/>
          <w:szCs w:val="32"/>
          <w:highlight w:val="none"/>
          <w:lang w:val="zh-CN"/>
        </w:rPr>
        <w:t>项目概况</w:t>
      </w:r>
    </w:p>
    <w:p w14:paraId="55E3374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3" w:firstLineChars="200"/>
        <w:contextualSpacing/>
        <w:jc w:val="both"/>
        <w:textAlignment w:val="auto"/>
        <w:rPr>
          <w:rFonts w:hint="default" w:ascii="Times New Roman" w:hAnsi="Times New Roman" w:eastAsia="方正楷体_GBK" w:cs="Times New Roman"/>
          <w:b/>
          <w:bCs w:val="0"/>
          <w:color w:val="auto"/>
          <w:kern w:val="0"/>
          <w:sz w:val="32"/>
          <w:szCs w:val="32"/>
          <w:highlight w:val="none"/>
          <w:u w:val="none"/>
          <w:shd w:val="clear" w:color="auto" w:fill="FFFFFF"/>
          <w:lang w:val="zh-CN"/>
        </w:rPr>
      </w:pPr>
      <w:r>
        <w:rPr>
          <w:rFonts w:hint="default" w:ascii="Times New Roman" w:hAnsi="Times New Roman" w:eastAsia="方正楷体_GBK" w:cs="Times New Roman"/>
          <w:b/>
          <w:bCs w:val="0"/>
          <w:color w:val="auto"/>
          <w:sz w:val="32"/>
          <w:szCs w:val="32"/>
          <w:highlight w:val="none"/>
          <w:u w:val="none"/>
          <w:lang w:val="zh-CN"/>
        </w:rPr>
        <w:t>（一）设立背景及基本情况</w:t>
      </w:r>
    </w:p>
    <w:p w14:paraId="6F9CC713">
      <w:pPr>
        <w:keepNext w:val="0"/>
        <w:keepLines w:val="0"/>
        <w:pageBreakBefore w:val="0"/>
        <w:tabs>
          <w:tab w:val="left" w:pos="312"/>
        </w:tabs>
        <w:kinsoku/>
        <w:wordWrap/>
        <w:overflowPunct/>
        <w:topLinePunct w:val="0"/>
        <w:autoSpaceDE/>
        <w:bidi w:val="0"/>
        <w:spacing w:line="560" w:lineRule="exact"/>
        <w:ind w:left="0" w:leftChars="0" w:firstLine="640" w:firstLineChars="200"/>
        <w:jc w:val="both"/>
        <w:textAlignment w:val="auto"/>
        <w:rPr>
          <w:rFonts w:hint="default" w:ascii="Times New Roman" w:hAnsi="Times New Roman" w:eastAsia="方正仿宋_GBK" w:cs="Times New Roman"/>
          <w:spacing w:val="-12"/>
          <w:sz w:val="32"/>
          <w:szCs w:val="32"/>
          <w:lang w:eastAsia="zh-CN" w:bidi="ar-SA"/>
        </w:rPr>
      </w:pP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lang w:eastAsia="zh-CN"/>
        </w:rPr>
        <w:t>儿童保障。</w:t>
      </w:r>
      <w:r>
        <w:rPr>
          <w:rFonts w:hint="default" w:ascii="Times New Roman" w:hAnsi="Times New Roman" w:eastAsia="方正仿宋_GBK" w:cs="Times New Roman"/>
          <w:spacing w:val="-16"/>
          <w:sz w:val="32"/>
          <w:szCs w:val="32"/>
          <w:lang w:bidi="ar-SA"/>
        </w:rPr>
        <w:t>《</w:t>
      </w:r>
      <w:r>
        <w:rPr>
          <w:rFonts w:hint="default" w:ascii="Times New Roman" w:hAnsi="Times New Roman" w:eastAsia="方正仿宋_GBK" w:cs="Times New Roman"/>
          <w:sz w:val="32"/>
          <w:szCs w:val="32"/>
          <w:lang w:bidi="ar-SA"/>
        </w:rPr>
        <w:t>民政部办公厅关于印发&lt;“福彩圆梦·孤儿助学工程”项目实施暂行办法&gt;的通知》（民办发〔</w:t>
      </w:r>
      <w:r>
        <w:rPr>
          <w:rFonts w:hint="default" w:ascii="Times New Roman" w:hAnsi="Times New Roman" w:eastAsia="方正仿宋_GBK" w:cs="Times New Roman"/>
          <w:sz w:val="32"/>
          <w:szCs w:val="32"/>
        </w:rPr>
        <w:t>2019</w:t>
      </w:r>
      <w:r>
        <w:rPr>
          <w:rFonts w:hint="default" w:ascii="Times New Roman" w:hAnsi="Times New Roman" w:eastAsia="方正仿宋_GBK" w:cs="Times New Roman"/>
          <w:sz w:val="32"/>
          <w:szCs w:val="32"/>
          <w:lang w:bidi="ar-SA"/>
        </w:rPr>
        <w:t>〕</w:t>
      </w:r>
      <w:r>
        <w:rPr>
          <w:rFonts w:hint="default" w:ascii="Times New Roman" w:hAnsi="Times New Roman" w:eastAsia="方正仿宋_GBK" w:cs="Times New Roman"/>
          <w:sz w:val="32"/>
          <w:szCs w:val="32"/>
        </w:rPr>
        <w:t>24</w:t>
      </w:r>
      <w:r>
        <w:rPr>
          <w:rFonts w:hint="default" w:ascii="Times New Roman" w:hAnsi="Times New Roman" w:eastAsia="方正仿宋_GBK" w:cs="Times New Roman"/>
          <w:sz w:val="32"/>
          <w:szCs w:val="32"/>
          <w:lang w:bidi="ar-SA"/>
        </w:rPr>
        <w:t>号）</w:t>
      </w:r>
      <w:r>
        <w:rPr>
          <w:rFonts w:hint="default" w:ascii="Times New Roman" w:hAnsi="Times New Roman" w:eastAsia="方正仿宋_GBK" w:cs="Times New Roman"/>
          <w:sz w:val="32"/>
          <w:szCs w:val="32"/>
          <w:lang w:eastAsia="zh-CN" w:bidi="ar-SA"/>
        </w:rPr>
        <w:t>、</w:t>
      </w:r>
      <w:r>
        <w:rPr>
          <w:rFonts w:hint="default" w:ascii="Times New Roman" w:hAnsi="Times New Roman" w:eastAsia="方正仿宋_GBK" w:cs="Times New Roman"/>
          <w:spacing w:val="-16"/>
          <w:sz w:val="32"/>
          <w:szCs w:val="32"/>
          <w:lang w:bidi="ar-SA"/>
        </w:rPr>
        <w:t>《四川省民政厅办公室关于做好“福彩圆梦·孤儿助学工程”工作的通知》（厅办〔</w:t>
      </w:r>
      <w:r>
        <w:rPr>
          <w:rFonts w:hint="default" w:ascii="Times New Roman" w:hAnsi="Times New Roman" w:eastAsia="方正仿宋_GBK" w:cs="Times New Roman"/>
          <w:spacing w:val="-16"/>
          <w:sz w:val="32"/>
          <w:szCs w:val="32"/>
        </w:rPr>
        <w:t>2019</w:t>
      </w:r>
      <w:r>
        <w:rPr>
          <w:rFonts w:hint="default" w:ascii="Times New Roman" w:hAnsi="Times New Roman" w:eastAsia="方正仿宋_GBK" w:cs="Times New Roman"/>
          <w:spacing w:val="-16"/>
          <w:sz w:val="32"/>
          <w:szCs w:val="32"/>
          <w:lang w:bidi="ar-SA"/>
        </w:rPr>
        <w:t>〕</w:t>
      </w:r>
      <w:r>
        <w:rPr>
          <w:rFonts w:hint="default" w:ascii="Times New Roman" w:hAnsi="Times New Roman" w:eastAsia="方正仿宋_GBK" w:cs="Times New Roman"/>
          <w:spacing w:val="-16"/>
          <w:sz w:val="32"/>
          <w:szCs w:val="32"/>
        </w:rPr>
        <w:t>35</w:t>
      </w:r>
      <w:r>
        <w:rPr>
          <w:rFonts w:hint="default" w:ascii="Times New Roman" w:hAnsi="Times New Roman" w:eastAsia="方正仿宋_GBK" w:cs="Times New Roman"/>
          <w:spacing w:val="-16"/>
          <w:sz w:val="32"/>
          <w:szCs w:val="32"/>
          <w:lang w:bidi="ar-SA"/>
        </w:rPr>
        <w:t>号）</w:t>
      </w:r>
      <w:r>
        <w:rPr>
          <w:rFonts w:hint="default" w:ascii="Times New Roman" w:hAnsi="Times New Roman" w:eastAsia="方正仿宋_GBK" w:cs="Times New Roman"/>
          <w:spacing w:val="-16"/>
          <w:sz w:val="32"/>
          <w:szCs w:val="32"/>
          <w:lang w:eastAsia="zh-CN" w:bidi="ar-SA"/>
        </w:rPr>
        <w:t>、</w:t>
      </w:r>
      <w:r>
        <w:rPr>
          <w:rFonts w:hint="default" w:ascii="Times New Roman" w:hAnsi="Times New Roman" w:eastAsia="方正仿宋_GBK" w:cs="Times New Roman"/>
          <w:sz w:val="32"/>
          <w:szCs w:val="32"/>
          <w:lang w:bidi="ar-SA"/>
        </w:rPr>
        <w:t>《四川省民政厅关于印发</w:t>
      </w:r>
      <w:r>
        <w:rPr>
          <w:rFonts w:hint="default" w:ascii="Times New Roman" w:hAnsi="Times New Roman" w:eastAsia="方正仿宋_GBK" w:cs="Times New Roman"/>
          <w:sz w:val="32"/>
          <w:szCs w:val="32"/>
          <w:lang w:val="en-US" w:eastAsia="zh-CN" w:bidi="ar-SA"/>
        </w:rPr>
        <w:t>&lt;</w:t>
      </w:r>
      <w:r>
        <w:rPr>
          <w:rFonts w:hint="default" w:ascii="Times New Roman" w:hAnsi="Times New Roman" w:eastAsia="方正仿宋_GBK" w:cs="Times New Roman"/>
          <w:sz w:val="32"/>
          <w:szCs w:val="32"/>
          <w:lang w:bidi="ar-SA"/>
        </w:rPr>
        <w:t>四川省“孤儿医疗康复明天计划”项目实施细则</w:t>
      </w:r>
      <w:r>
        <w:rPr>
          <w:rFonts w:hint="default" w:ascii="Times New Roman" w:hAnsi="Times New Roman" w:eastAsia="方正仿宋_GBK" w:cs="Times New Roman"/>
          <w:sz w:val="32"/>
          <w:szCs w:val="32"/>
          <w:lang w:val="en-US" w:eastAsia="zh-CN" w:bidi="ar-SA"/>
        </w:rPr>
        <w:t>&gt;</w:t>
      </w:r>
      <w:r>
        <w:rPr>
          <w:rFonts w:hint="default" w:ascii="Times New Roman" w:hAnsi="Times New Roman" w:eastAsia="方正仿宋_GBK" w:cs="Times New Roman"/>
          <w:sz w:val="32"/>
          <w:szCs w:val="32"/>
          <w:lang w:bidi="ar-SA"/>
        </w:rPr>
        <w:t>的通知》（川民发〔</w:t>
      </w:r>
      <w:r>
        <w:rPr>
          <w:rFonts w:hint="default" w:ascii="Times New Roman" w:hAnsi="Times New Roman" w:eastAsia="方正仿宋_GBK" w:cs="Times New Roman"/>
          <w:sz w:val="32"/>
          <w:szCs w:val="32"/>
        </w:rPr>
        <w:t>2021</w:t>
      </w:r>
      <w:r>
        <w:rPr>
          <w:rFonts w:hint="default" w:ascii="Times New Roman" w:hAnsi="Times New Roman" w:eastAsia="方正仿宋_GBK" w:cs="Times New Roman"/>
          <w:sz w:val="32"/>
          <w:szCs w:val="32"/>
          <w:lang w:bidi="ar-SA"/>
        </w:rPr>
        <w:t>〕</w:t>
      </w:r>
      <w:r>
        <w:rPr>
          <w:rFonts w:hint="default" w:ascii="Times New Roman" w:hAnsi="Times New Roman" w:eastAsia="方正仿宋_GBK" w:cs="Times New Roman"/>
          <w:sz w:val="32"/>
          <w:szCs w:val="32"/>
        </w:rPr>
        <w:t>120</w:t>
      </w:r>
      <w:r>
        <w:rPr>
          <w:rFonts w:hint="default" w:ascii="Times New Roman" w:hAnsi="Times New Roman" w:eastAsia="方正仿宋_GBK" w:cs="Times New Roman"/>
          <w:sz w:val="32"/>
          <w:szCs w:val="32"/>
          <w:lang w:bidi="ar-SA"/>
        </w:rPr>
        <w:t>号）</w:t>
      </w:r>
      <w:r>
        <w:rPr>
          <w:rFonts w:hint="default" w:ascii="Times New Roman" w:hAnsi="Times New Roman" w:eastAsia="方正仿宋_GBK" w:cs="Times New Roman"/>
          <w:sz w:val="32"/>
          <w:szCs w:val="32"/>
          <w:lang w:eastAsia="zh-CN" w:bidi="ar-SA"/>
        </w:rPr>
        <w:t>、</w:t>
      </w:r>
      <w:r>
        <w:rPr>
          <w:rFonts w:hint="default" w:ascii="Times New Roman" w:hAnsi="Times New Roman" w:eastAsia="方正仿宋_GBK" w:cs="Times New Roman"/>
          <w:spacing w:val="-12"/>
          <w:sz w:val="32"/>
          <w:szCs w:val="32"/>
          <w:lang w:bidi="ar-SA"/>
        </w:rPr>
        <w:t>《四川省民政厅 四川省教育厅 四川省财政厅 四川省人力资源和社会保障厅关于进一步做好孤儿、事实无人抚养儿童年满</w:t>
      </w:r>
      <w:r>
        <w:rPr>
          <w:rFonts w:hint="default" w:ascii="Times New Roman" w:hAnsi="Times New Roman" w:eastAsia="方正仿宋_GBK" w:cs="Times New Roman"/>
          <w:spacing w:val="-12"/>
          <w:sz w:val="32"/>
          <w:szCs w:val="32"/>
        </w:rPr>
        <w:t>18</w:t>
      </w:r>
      <w:r>
        <w:rPr>
          <w:rFonts w:hint="default" w:ascii="Times New Roman" w:hAnsi="Times New Roman" w:eastAsia="方正仿宋_GBK" w:cs="Times New Roman"/>
          <w:spacing w:val="-12"/>
          <w:sz w:val="32"/>
          <w:szCs w:val="32"/>
          <w:lang w:bidi="ar-SA"/>
        </w:rPr>
        <w:t>周岁后助学工作的通知》（</w:t>
      </w:r>
      <w:r>
        <w:rPr>
          <w:rFonts w:hint="default" w:ascii="Times New Roman" w:hAnsi="Times New Roman" w:eastAsia="方正仿宋_GBK" w:cs="Times New Roman"/>
          <w:spacing w:val="-12"/>
          <w:sz w:val="32"/>
          <w:szCs w:val="32"/>
        </w:rPr>
        <w:t>川民发</w:t>
      </w:r>
      <w:r>
        <w:rPr>
          <w:rFonts w:hint="default" w:ascii="Times New Roman" w:hAnsi="Times New Roman" w:eastAsia="方正仿宋_GBK" w:cs="Times New Roman"/>
          <w:spacing w:val="-12"/>
          <w:sz w:val="32"/>
          <w:szCs w:val="32"/>
          <w:lang w:bidi="ar-SA"/>
        </w:rPr>
        <w:t>〔</w:t>
      </w:r>
      <w:r>
        <w:rPr>
          <w:rFonts w:hint="default" w:ascii="Times New Roman" w:hAnsi="Times New Roman" w:eastAsia="方正仿宋_GBK" w:cs="Times New Roman"/>
          <w:spacing w:val="-12"/>
          <w:sz w:val="32"/>
          <w:szCs w:val="32"/>
        </w:rPr>
        <w:t>2023</w:t>
      </w:r>
      <w:r>
        <w:rPr>
          <w:rFonts w:hint="default" w:ascii="Times New Roman" w:hAnsi="Times New Roman" w:eastAsia="方正仿宋_GBK" w:cs="Times New Roman"/>
          <w:spacing w:val="-12"/>
          <w:sz w:val="32"/>
          <w:szCs w:val="32"/>
          <w:lang w:bidi="ar-SA"/>
        </w:rPr>
        <w:t>〕</w:t>
      </w:r>
      <w:r>
        <w:rPr>
          <w:rFonts w:hint="default" w:ascii="Times New Roman" w:hAnsi="Times New Roman" w:eastAsia="方正仿宋_GBK" w:cs="Times New Roman"/>
          <w:spacing w:val="-12"/>
          <w:sz w:val="32"/>
          <w:szCs w:val="32"/>
        </w:rPr>
        <w:t>37号</w:t>
      </w:r>
      <w:r>
        <w:rPr>
          <w:rFonts w:hint="default" w:ascii="Times New Roman" w:hAnsi="Times New Roman" w:eastAsia="方正仿宋_GBK" w:cs="Times New Roman"/>
          <w:spacing w:val="-12"/>
          <w:sz w:val="32"/>
          <w:szCs w:val="32"/>
          <w:lang w:bidi="ar-SA"/>
        </w:rPr>
        <w:t xml:space="preserve">） </w:t>
      </w:r>
      <w:r>
        <w:rPr>
          <w:rFonts w:hint="default" w:ascii="Times New Roman" w:hAnsi="Times New Roman" w:eastAsia="方正仿宋_GBK" w:cs="Times New Roman"/>
          <w:spacing w:val="-12"/>
          <w:sz w:val="32"/>
          <w:szCs w:val="32"/>
          <w:lang w:eastAsia="zh-CN" w:bidi="ar-SA"/>
        </w:rPr>
        <w:t>。</w:t>
      </w:r>
    </w:p>
    <w:p w14:paraId="2389DF98">
      <w:pPr>
        <w:keepNext w:val="0"/>
        <w:keepLines w:val="0"/>
        <w:pageBreakBefore w:val="0"/>
        <w:tabs>
          <w:tab w:val="left" w:pos="312"/>
        </w:tabs>
        <w:kinsoku/>
        <w:wordWrap/>
        <w:overflowPunct/>
        <w:topLinePunct w:val="0"/>
        <w:autoSpaceDE/>
        <w:bidi w:val="0"/>
        <w:spacing w:line="560" w:lineRule="exact"/>
        <w:ind w:left="0" w:leftChars="0" w:firstLine="640" w:firstLineChars="200"/>
        <w:jc w:val="both"/>
        <w:textAlignment w:val="auto"/>
        <w:rPr>
          <w:rFonts w:hint="default" w:ascii="Times New Roman" w:hAnsi="Times New Roman" w:eastAsia="方正仿宋_GBK" w:cs="Times New Roman"/>
          <w:spacing w:val="-12"/>
          <w:sz w:val="32"/>
          <w:szCs w:val="32"/>
          <w:lang w:eastAsia="zh-CN" w:bidi="ar-SA"/>
        </w:rPr>
      </w:pP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bCs/>
          <w:sz w:val="32"/>
          <w:szCs w:val="32"/>
          <w:lang w:bidi="ar-SA"/>
        </w:rPr>
        <w:t>精神障碍社区康复服务</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bCs/>
          <w:sz w:val="32"/>
          <w:szCs w:val="32"/>
          <w:lang w:bidi="ar-SA"/>
        </w:rPr>
        <w:t>《四川省民政厅 四川省财政厅 四川省</w:t>
      </w:r>
      <w:r>
        <w:rPr>
          <w:rFonts w:hint="default" w:ascii="Times New Roman" w:hAnsi="Times New Roman" w:eastAsia="方正仿宋_GBK" w:cs="Times New Roman"/>
          <w:bCs/>
          <w:sz w:val="32"/>
          <w:szCs w:val="32"/>
          <w:lang w:val="en-US" w:bidi="ar-SA"/>
        </w:rPr>
        <w:t>卫生计生委</w:t>
      </w:r>
      <w:r>
        <w:rPr>
          <w:rFonts w:hint="default" w:ascii="Times New Roman" w:hAnsi="Times New Roman" w:eastAsia="方正仿宋_GBK" w:cs="Times New Roman"/>
          <w:bCs/>
          <w:sz w:val="32"/>
          <w:szCs w:val="32"/>
          <w:lang w:bidi="ar-SA"/>
        </w:rPr>
        <w:t xml:space="preserve"> 四川省残疾人联合会关于加快精神障碍社区康复服务发展的实施意见》</w:t>
      </w:r>
      <w:r>
        <w:rPr>
          <w:rFonts w:hint="default" w:ascii="Times New Roman" w:hAnsi="Times New Roman" w:eastAsia="方正仿宋_GBK" w:cs="Times New Roman"/>
          <w:sz w:val="32"/>
          <w:szCs w:val="32"/>
          <w:lang w:bidi="ar-SA"/>
        </w:rPr>
        <w:t>（川民发〔</w:t>
      </w:r>
      <w:r>
        <w:rPr>
          <w:rFonts w:hint="default" w:ascii="Times New Roman" w:hAnsi="Times New Roman" w:eastAsia="方正仿宋_GBK" w:cs="Times New Roman"/>
          <w:sz w:val="32"/>
          <w:szCs w:val="32"/>
        </w:rPr>
        <w:t>2018</w:t>
      </w:r>
      <w:r>
        <w:rPr>
          <w:rFonts w:hint="default" w:ascii="Times New Roman" w:hAnsi="Times New Roman" w:eastAsia="方正仿宋_GBK" w:cs="Times New Roman"/>
          <w:sz w:val="32"/>
          <w:szCs w:val="32"/>
          <w:lang w:bidi="ar-SA"/>
        </w:rPr>
        <w:t>〕</w:t>
      </w:r>
      <w:r>
        <w:rPr>
          <w:rFonts w:hint="default" w:ascii="Times New Roman" w:hAnsi="Times New Roman" w:eastAsia="方正仿宋_GBK" w:cs="Times New Roman"/>
          <w:sz w:val="32"/>
          <w:szCs w:val="32"/>
        </w:rPr>
        <w:t>71</w:t>
      </w:r>
      <w:r>
        <w:rPr>
          <w:rFonts w:hint="default" w:ascii="Times New Roman" w:hAnsi="Times New Roman" w:eastAsia="方正仿宋_GBK" w:cs="Times New Roman"/>
          <w:sz w:val="32"/>
          <w:szCs w:val="32"/>
          <w:lang w:bidi="ar-SA"/>
        </w:rPr>
        <w:t>号）</w:t>
      </w:r>
      <w:r>
        <w:rPr>
          <w:rFonts w:hint="default" w:ascii="Times New Roman" w:hAnsi="Times New Roman" w:eastAsia="方正仿宋_GBK" w:cs="Times New Roman"/>
          <w:bCs/>
          <w:sz w:val="32"/>
          <w:szCs w:val="32"/>
          <w:lang w:eastAsia="zh-CN" w:bidi="ar-SA"/>
        </w:rPr>
        <w:t>、</w:t>
      </w:r>
      <w:r>
        <w:rPr>
          <w:rFonts w:hint="default" w:ascii="Times New Roman" w:hAnsi="Times New Roman" w:eastAsia="方正仿宋_GBK" w:cs="Times New Roman"/>
          <w:bCs/>
          <w:sz w:val="32"/>
          <w:szCs w:val="32"/>
          <w:lang w:bidi="ar-SA"/>
        </w:rPr>
        <w:t>《</w:t>
      </w:r>
      <w:r>
        <w:rPr>
          <w:rFonts w:hint="default" w:ascii="Times New Roman" w:hAnsi="Times New Roman" w:eastAsia="方正仿宋_GBK" w:cs="Times New Roman"/>
          <w:sz w:val="32"/>
          <w:szCs w:val="32"/>
          <w:lang w:bidi="ar-SA"/>
        </w:rPr>
        <w:t>四川省民政厅 四川省财政厅 四川省卫生健康委 四川省残疾人联合会关于印发四川省“精康融合行动”实施方案（</w:t>
      </w:r>
      <w:r>
        <w:rPr>
          <w:rFonts w:hint="default" w:ascii="Times New Roman" w:hAnsi="Times New Roman" w:eastAsia="方正仿宋_GBK" w:cs="Times New Roman"/>
          <w:sz w:val="32"/>
          <w:szCs w:val="32"/>
        </w:rPr>
        <w:t>2023</w:t>
      </w:r>
      <w:r>
        <w:rPr>
          <w:rFonts w:hint="default" w:ascii="Times New Roman" w:hAnsi="Times New Roman" w:eastAsia="方正仿宋_GBK" w:cs="Times New Roman"/>
          <w:sz w:val="32"/>
          <w:szCs w:val="32"/>
          <w:lang w:val="en-US"/>
        </w:rPr>
        <w:t xml:space="preserve"> </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rPr>
        <w:t xml:space="preserve"> </w:t>
      </w:r>
      <w:r>
        <w:rPr>
          <w:rFonts w:hint="default" w:ascii="Times New Roman" w:hAnsi="Times New Roman" w:eastAsia="方正仿宋_GBK" w:cs="Times New Roman"/>
          <w:sz w:val="32"/>
          <w:szCs w:val="32"/>
        </w:rPr>
        <w:t>2025</w:t>
      </w:r>
      <w:r>
        <w:rPr>
          <w:rFonts w:hint="default" w:ascii="Times New Roman" w:hAnsi="Times New Roman" w:eastAsia="方正仿宋_GBK" w:cs="Times New Roman"/>
          <w:sz w:val="32"/>
          <w:szCs w:val="32"/>
          <w:lang w:bidi="ar-SA"/>
        </w:rPr>
        <w:t>年）的通知》（川民规〔</w:t>
      </w:r>
      <w:r>
        <w:rPr>
          <w:rFonts w:hint="default" w:ascii="Times New Roman" w:hAnsi="Times New Roman" w:eastAsia="方正仿宋_GBK" w:cs="Times New Roman"/>
          <w:sz w:val="32"/>
          <w:szCs w:val="32"/>
        </w:rPr>
        <w:t>2023</w:t>
      </w:r>
      <w:r>
        <w:rPr>
          <w:rFonts w:hint="default" w:ascii="Times New Roman" w:hAnsi="Times New Roman" w:eastAsia="方正仿宋_GBK" w:cs="Times New Roman"/>
          <w:sz w:val="32"/>
          <w:szCs w:val="32"/>
          <w:lang w:bidi="ar-SA"/>
        </w:rPr>
        <w:t>〕</w:t>
      </w:r>
      <w:r>
        <w:rPr>
          <w:rFonts w:hint="default" w:ascii="Times New Roman" w:hAnsi="Times New Roman" w:eastAsia="方正仿宋_GBK" w:cs="Times New Roman"/>
          <w:sz w:val="32"/>
          <w:szCs w:val="32"/>
        </w:rPr>
        <w:t>4</w:t>
      </w:r>
      <w:r>
        <w:rPr>
          <w:rFonts w:hint="default" w:ascii="Times New Roman" w:hAnsi="Times New Roman" w:eastAsia="方正仿宋_GBK" w:cs="Times New Roman"/>
          <w:sz w:val="32"/>
          <w:szCs w:val="32"/>
          <w:lang w:bidi="ar-SA"/>
        </w:rPr>
        <w:t>号）</w:t>
      </w:r>
      <w:r>
        <w:rPr>
          <w:rFonts w:hint="default" w:ascii="Times New Roman" w:hAnsi="Times New Roman" w:eastAsia="方正仿宋_GBK" w:cs="Times New Roman"/>
          <w:spacing w:val="-12"/>
          <w:sz w:val="32"/>
          <w:szCs w:val="32"/>
          <w:lang w:bidi="ar-SA"/>
        </w:rPr>
        <w:t xml:space="preserve"> </w:t>
      </w:r>
      <w:r>
        <w:rPr>
          <w:rFonts w:hint="default" w:ascii="Times New Roman" w:hAnsi="Times New Roman" w:eastAsia="方正仿宋_GBK" w:cs="Times New Roman"/>
          <w:spacing w:val="-12"/>
          <w:sz w:val="32"/>
          <w:szCs w:val="32"/>
          <w:lang w:eastAsia="zh-CN" w:bidi="ar-SA"/>
        </w:rPr>
        <w:t>。</w:t>
      </w:r>
    </w:p>
    <w:p w14:paraId="7466A419">
      <w:pPr>
        <w:keepNext w:val="0"/>
        <w:keepLines w:val="0"/>
        <w:pageBreakBefore w:val="0"/>
        <w:tabs>
          <w:tab w:val="left" w:pos="312"/>
        </w:tabs>
        <w:kinsoku/>
        <w:wordWrap/>
        <w:overflowPunct/>
        <w:topLinePunct w:val="0"/>
        <w:autoSpaceDE/>
        <w:bidi w:val="0"/>
        <w:spacing w:line="560" w:lineRule="exact"/>
        <w:ind w:left="0" w:leftChars="0" w:firstLine="640" w:firstLineChars="200"/>
        <w:jc w:val="both"/>
        <w:textAlignment w:val="auto"/>
        <w:rPr>
          <w:rFonts w:hint="default" w:ascii="Times New Roman" w:hAnsi="Times New Roman" w:cs="Times New Roman"/>
          <w:lang w:val="en-US" w:eastAsia="zh-CN"/>
        </w:rPr>
      </w:pP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lang w:bidi="ar-SA"/>
        </w:rPr>
        <w:t>康复辅助器具社区租赁服务</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bidi="ar-SA"/>
        </w:rPr>
        <w:t>《四川省民政厅关于印发四川省康复辅助器具社区租赁服务试点资金管理实施细则（暂行）的通知</w:t>
      </w:r>
      <w:r>
        <w:rPr>
          <w:rFonts w:hint="default" w:ascii="Times New Roman" w:hAnsi="Times New Roman" w:eastAsia="方正仿宋_GBK" w:cs="Times New Roman"/>
          <w:bCs/>
          <w:sz w:val="32"/>
          <w:szCs w:val="32"/>
          <w:lang w:bidi="ar-SA"/>
        </w:rPr>
        <w:t>》</w:t>
      </w:r>
      <w:r>
        <w:rPr>
          <w:rFonts w:hint="default" w:ascii="Times New Roman" w:hAnsi="Times New Roman" w:eastAsia="方正仿宋_GBK" w:cs="Times New Roman"/>
          <w:sz w:val="32"/>
          <w:szCs w:val="32"/>
          <w:lang w:bidi="ar-SA"/>
        </w:rPr>
        <w:t>（川民发〔</w:t>
      </w:r>
      <w:r>
        <w:rPr>
          <w:rFonts w:hint="default" w:ascii="Times New Roman" w:hAnsi="Times New Roman" w:eastAsia="方正仿宋_GBK" w:cs="Times New Roman"/>
          <w:sz w:val="32"/>
          <w:szCs w:val="32"/>
          <w:lang w:val="en-US"/>
        </w:rPr>
        <w:t>2019</w:t>
      </w:r>
      <w:r>
        <w:rPr>
          <w:rFonts w:hint="default" w:ascii="Times New Roman" w:hAnsi="Times New Roman" w:eastAsia="方正仿宋_GBK" w:cs="Times New Roman"/>
          <w:sz w:val="32"/>
          <w:szCs w:val="32"/>
          <w:lang w:bidi="ar-SA"/>
        </w:rPr>
        <w:t>〕</w:t>
      </w:r>
      <w:r>
        <w:rPr>
          <w:rFonts w:hint="default" w:ascii="Times New Roman" w:hAnsi="Times New Roman" w:eastAsia="方正仿宋_GBK" w:cs="Times New Roman"/>
          <w:sz w:val="32"/>
          <w:szCs w:val="32"/>
        </w:rPr>
        <w:t>93</w:t>
      </w:r>
      <w:r>
        <w:rPr>
          <w:rFonts w:hint="default" w:ascii="Times New Roman" w:hAnsi="Times New Roman" w:eastAsia="方正仿宋_GBK" w:cs="Times New Roman"/>
          <w:sz w:val="32"/>
          <w:szCs w:val="32"/>
          <w:lang w:bidi="ar-SA"/>
        </w:rPr>
        <w:t>号）</w:t>
      </w:r>
      <w:r>
        <w:rPr>
          <w:rFonts w:hint="default" w:ascii="Times New Roman" w:hAnsi="Times New Roman" w:eastAsia="方正仿宋_GBK" w:cs="Times New Roman"/>
          <w:bCs/>
          <w:sz w:val="32"/>
          <w:szCs w:val="32"/>
          <w:lang w:eastAsia="zh-CN" w:bidi="ar-SA"/>
        </w:rPr>
        <w:t>、</w:t>
      </w:r>
      <w:r>
        <w:rPr>
          <w:rFonts w:hint="default" w:ascii="Times New Roman" w:hAnsi="Times New Roman" w:eastAsia="方正仿宋_GBK" w:cs="Times New Roman"/>
          <w:bCs/>
          <w:sz w:val="32"/>
          <w:szCs w:val="32"/>
          <w:lang w:bidi="ar-SA"/>
        </w:rPr>
        <w:t>《</w:t>
      </w:r>
      <w:r>
        <w:rPr>
          <w:rFonts w:hint="default" w:ascii="Times New Roman" w:hAnsi="Times New Roman" w:eastAsia="方正仿宋_GBK" w:cs="Times New Roman"/>
          <w:sz w:val="32"/>
          <w:szCs w:val="32"/>
          <w:lang w:bidi="ar-SA"/>
        </w:rPr>
        <w:t>攀枝花市民政局 攀枝花市财政局关于印发攀枝花市康复辅助器具社区租赁服务试点工作实施方案的通知》（攀民政〔</w:t>
      </w:r>
      <w:r>
        <w:rPr>
          <w:rFonts w:hint="default" w:ascii="Times New Roman" w:hAnsi="Times New Roman" w:eastAsia="方正仿宋_GBK" w:cs="Times New Roman"/>
          <w:sz w:val="32"/>
          <w:szCs w:val="32"/>
          <w:lang w:val="en-US"/>
        </w:rPr>
        <w:t>2019</w:t>
      </w:r>
      <w:r>
        <w:rPr>
          <w:rFonts w:hint="default" w:ascii="Times New Roman" w:hAnsi="Times New Roman" w:eastAsia="方正仿宋_GBK" w:cs="Times New Roman"/>
          <w:sz w:val="32"/>
          <w:szCs w:val="32"/>
          <w:lang w:bidi="ar-SA"/>
        </w:rPr>
        <w:t>〕</w:t>
      </w:r>
      <w:r>
        <w:rPr>
          <w:rFonts w:hint="default" w:ascii="Times New Roman" w:hAnsi="Times New Roman" w:eastAsia="方正仿宋_GBK" w:cs="Times New Roman"/>
          <w:sz w:val="32"/>
          <w:szCs w:val="32"/>
        </w:rPr>
        <w:t>35</w:t>
      </w:r>
      <w:r>
        <w:rPr>
          <w:rFonts w:hint="default" w:ascii="Times New Roman" w:hAnsi="Times New Roman" w:eastAsia="方正仿宋_GBK" w:cs="Times New Roman"/>
          <w:sz w:val="32"/>
          <w:szCs w:val="32"/>
          <w:lang w:bidi="ar-SA"/>
        </w:rPr>
        <w:t xml:space="preserve">号） </w:t>
      </w:r>
      <w:r>
        <w:rPr>
          <w:rFonts w:hint="default" w:ascii="Times New Roman" w:hAnsi="Times New Roman" w:eastAsia="方正仿宋_GBK" w:cs="Times New Roman"/>
          <w:spacing w:val="-12"/>
          <w:sz w:val="32"/>
          <w:szCs w:val="32"/>
          <w:lang w:eastAsia="zh-CN" w:bidi="ar-SA"/>
        </w:rPr>
        <w:t>。</w:t>
      </w:r>
    </w:p>
    <w:p w14:paraId="5DE271C1">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both"/>
        <w:textAlignment w:val="auto"/>
        <w:rPr>
          <w:rFonts w:hint="default" w:ascii="Times New Roman" w:hAnsi="Times New Roman" w:eastAsia="方正仿宋_GBK" w:cs="Times New Roman"/>
          <w:color w:val="auto"/>
          <w:kern w:val="0"/>
          <w:sz w:val="32"/>
          <w:szCs w:val="32"/>
          <w:highlight w:val="none"/>
          <w:u w:val="none"/>
          <w:shd w:val="clear" w:color="auto" w:fill="FFFFFF"/>
          <w:lang w:val="zh-CN" w:eastAsia="zh-CN" w:bidi="ar-SA"/>
        </w:rPr>
      </w:pPr>
      <w:r>
        <w:rPr>
          <w:rFonts w:hint="default" w:ascii="Times New Roman" w:hAnsi="Times New Roman" w:eastAsia="方正仿宋_GBK" w:cs="Times New Roman"/>
          <w:color w:val="auto"/>
          <w:kern w:val="0"/>
          <w:sz w:val="32"/>
          <w:szCs w:val="32"/>
          <w:highlight w:val="none"/>
          <w:u w:val="none"/>
          <w:shd w:val="clear" w:color="auto" w:fill="FFFFFF"/>
          <w:lang w:val="en-US" w:eastAsia="zh-CN" w:bidi="ar-SA"/>
        </w:rPr>
        <w:t>4.</w:t>
      </w:r>
      <w:r>
        <w:rPr>
          <w:rFonts w:hint="default" w:ascii="Times New Roman" w:hAnsi="Times New Roman" w:eastAsia="方正仿宋_GBK" w:cs="Times New Roman"/>
          <w:color w:val="auto"/>
          <w:kern w:val="0"/>
          <w:sz w:val="32"/>
          <w:szCs w:val="32"/>
          <w:highlight w:val="none"/>
          <w:u w:val="none"/>
          <w:shd w:val="clear" w:color="auto" w:fill="FFFFFF"/>
          <w:lang w:val="zh-CN" w:eastAsia="zh-CN" w:bidi="ar-SA"/>
        </w:rPr>
        <w:t>慈善事业高质量发展试点</w:t>
      </w:r>
      <w:r>
        <w:rPr>
          <w:rFonts w:hint="default" w:ascii="Times New Roman" w:hAnsi="Times New Roman" w:eastAsia="方正仿宋_GBK" w:cs="Times New Roman"/>
          <w:color w:val="auto"/>
          <w:kern w:val="0"/>
          <w:sz w:val="32"/>
          <w:szCs w:val="32"/>
          <w:highlight w:val="none"/>
          <w:u w:val="none"/>
          <w:shd w:val="clear" w:color="auto" w:fill="FFFFFF"/>
          <w:lang w:val="en-US" w:eastAsia="zh-CN" w:bidi="ar-SA"/>
        </w:rPr>
        <w:t>。</w:t>
      </w:r>
      <w:r>
        <w:rPr>
          <w:rFonts w:hint="default" w:ascii="Times New Roman" w:hAnsi="Times New Roman" w:eastAsia="方正仿宋_GBK" w:cs="Times New Roman"/>
          <w:color w:val="auto"/>
          <w:kern w:val="0"/>
          <w:sz w:val="32"/>
          <w:szCs w:val="32"/>
          <w:highlight w:val="none"/>
          <w:u w:val="none"/>
          <w:shd w:val="clear" w:color="auto" w:fill="FFFFFF"/>
          <w:lang w:val="zh-CN" w:eastAsia="zh-CN" w:bidi="ar-SA"/>
        </w:rPr>
        <w:t>根据《四川省民政厅关于确定成都市新都区等54个单位开展2025年慈善事业高质量发展试点工作的通知》（川民发〔2025〕71号），西区、仁和区、米易县、盐边县4个县（区）纳入2025年全省慈善事业高质量发展试点，其中，西区、仁和区、米易县、盐边县承担“慈善综合试点”，仁和区同时承担“慈善工作专项试点”中的“慈善参与领域拓展方向”试点。通过实施试点项目，探索我市慈善事业发展的新理念、新载体，以点带面带动全市慈善工作体系更加完善、工作机制更加健全、参与领域更加广泛、文化氛围更加浓厚。</w:t>
      </w:r>
    </w:p>
    <w:p w14:paraId="07E8219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环保火化炉购置项目</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环保火化炉购置项目依据《四川省民政厅 四川省财政厅关于报送2025年项目的通知》文件要求设立。项目旨在通过购置环保火化炉2台，完善殡葬设施设备，提升全市殡葬服务能力。</w:t>
      </w:r>
    </w:p>
    <w:p w14:paraId="41885B4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cs="Times New Roman"/>
          <w:lang w:val="zh-CN"/>
        </w:rPr>
      </w:pP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“文明婚俗”提升行动</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文明婚俗”提升行动项目依据《四川省民政厅关于开展2025年度“文明婚俗”提升行动项目申报的函》要求设立。旨在加强公园式、特色化婚姻登记机关建设，培育文明婚俗文化，传承中华优秀家庭文化，推动婚姻领域移风易俗。目前，西区正在积极推进公园式婚姻登记机关建设，</w:t>
      </w:r>
      <w:r>
        <w:rPr>
          <w:rFonts w:hint="default" w:ascii="Times New Roman" w:hAnsi="Times New Roman" w:eastAsia="方正仿宋_GBK" w:cs="Times New Roman"/>
          <w:sz w:val="32"/>
          <w:szCs w:val="32"/>
          <w:lang w:eastAsia="zh-CN"/>
        </w:rPr>
        <w:t>按照工作要求</w:t>
      </w:r>
      <w:r>
        <w:rPr>
          <w:rFonts w:hint="default" w:ascii="Times New Roman" w:hAnsi="Times New Roman" w:eastAsia="方正仿宋_GBK" w:cs="Times New Roman"/>
          <w:sz w:val="32"/>
          <w:szCs w:val="32"/>
        </w:rPr>
        <w:t>开展</w:t>
      </w:r>
      <w:r>
        <w:rPr>
          <w:rFonts w:hint="default" w:ascii="Times New Roman" w:hAnsi="Times New Roman" w:eastAsia="方正仿宋_GBK" w:cs="Times New Roman"/>
          <w:sz w:val="32"/>
          <w:szCs w:val="32"/>
          <w:lang w:eastAsia="zh-CN"/>
        </w:rPr>
        <w:t>有关</w:t>
      </w:r>
      <w:r>
        <w:rPr>
          <w:rFonts w:hint="default" w:ascii="Times New Roman" w:hAnsi="Times New Roman" w:eastAsia="方正仿宋_GBK" w:cs="Times New Roman"/>
          <w:sz w:val="32"/>
          <w:szCs w:val="32"/>
        </w:rPr>
        <w:t>文明婚俗活动。</w:t>
      </w:r>
    </w:p>
    <w:p w14:paraId="0D1EF599">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jc w:val="both"/>
        <w:textAlignment w:val="auto"/>
        <w:rPr>
          <w:rFonts w:hint="default" w:ascii="Times New Roman" w:hAnsi="Times New Roman" w:eastAsia="方正仿宋_GBK" w:cs="Times New Roman"/>
          <w:b w:val="0"/>
          <w:kern w:val="2"/>
          <w:sz w:val="32"/>
          <w:szCs w:val="32"/>
          <w:lang w:val="en-US" w:eastAsia="zh-CN" w:bidi="ar-SA"/>
        </w:rPr>
      </w:pPr>
      <w:r>
        <w:rPr>
          <w:rFonts w:hint="default" w:ascii="Times New Roman" w:hAnsi="Times New Roman" w:eastAsia="方正楷体_GBK" w:cs="Times New Roman"/>
          <w:b/>
          <w:bCs w:val="0"/>
          <w:color w:val="auto"/>
          <w:sz w:val="32"/>
          <w:szCs w:val="32"/>
          <w:highlight w:val="none"/>
          <w:u w:val="none"/>
          <w:lang w:val="en-US" w:eastAsia="zh-CN"/>
        </w:rPr>
        <w:t>（二）实施目的及支持方向。</w:t>
      </w:r>
    </w:p>
    <w:p w14:paraId="420854CE">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仿宋_GBK" w:cs="Times New Roman"/>
          <w:b w:val="0"/>
          <w:kern w:val="2"/>
          <w:sz w:val="32"/>
          <w:szCs w:val="32"/>
          <w:lang w:val="en-US" w:eastAsia="zh-CN" w:bidi="ar-SA"/>
        </w:rPr>
      </w:pPr>
      <w:r>
        <w:rPr>
          <w:rFonts w:hint="default" w:ascii="Times New Roman" w:hAnsi="Times New Roman" w:eastAsia="方正仿宋_GBK" w:cs="Times New Roman"/>
          <w:b w:val="0"/>
          <w:kern w:val="2"/>
          <w:sz w:val="32"/>
          <w:szCs w:val="32"/>
          <w:lang w:val="en-US" w:eastAsia="zh-CN" w:bidi="ar-SA"/>
        </w:rPr>
        <w:t>1.儿童保障类。福彩圆梦·孤儿助学工程项目是依法认定为孤儿且年满 18周岁后仍在校就读的普通高中、全日制本专科（含高职）、中等职业学校学生及硕士研究生提供资助，保障其顺利完成学业；孤儿医疗康复明天计划为我省依法认定的0 - 18周岁孤儿，资助其医疗救治与康复过程中产生的自付费用；事实无人抚养儿童年满18周岁后助学是为依法认定为孤儿、事实无人抚养儿童，年满18周岁后在校的普通高中、全日制中职（含技工）、本专科（含高职）学生及硕士研究生发放助学金；为你而来 相伴成长儿童关爱保护项目支持开展精神素养培育、儿童普法宣传、心理健康关爱等系列主题活动。</w:t>
      </w:r>
    </w:p>
    <w:p w14:paraId="6C7418BA">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仿宋_GBK" w:cs="Times New Roman"/>
          <w:b w:val="0"/>
          <w:kern w:val="2"/>
          <w:sz w:val="32"/>
          <w:szCs w:val="32"/>
          <w:lang w:val="en-US" w:eastAsia="zh-CN" w:bidi="ar-SA"/>
        </w:rPr>
      </w:pP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bCs/>
          <w:sz w:val="32"/>
          <w:szCs w:val="32"/>
          <w:lang w:bidi="ar-SA"/>
        </w:rPr>
        <w:t>精神障碍社区康复服务</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b w:val="0"/>
          <w:kern w:val="2"/>
          <w:sz w:val="32"/>
          <w:szCs w:val="32"/>
          <w:lang w:val="en-US" w:eastAsia="zh-CN" w:bidi="ar-SA"/>
        </w:rPr>
        <w:t>精神障碍社区康复服务项目提供康复训练服务，帮助精神障碍人员回归家庭、融入社会。</w:t>
      </w:r>
    </w:p>
    <w:p w14:paraId="0EF51C1D">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仿宋_GBK" w:cs="Times New Roman"/>
          <w:b w:val="0"/>
          <w:kern w:val="2"/>
          <w:sz w:val="32"/>
          <w:szCs w:val="32"/>
          <w:lang w:val="en-US" w:eastAsia="zh-CN" w:bidi="ar-SA"/>
        </w:rPr>
      </w:pP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lang w:bidi="ar-SA"/>
        </w:rPr>
        <w:t>康复辅助器具社区租赁服务</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b w:val="0"/>
          <w:kern w:val="2"/>
          <w:sz w:val="32"/>
          <w:szCs w:val="32"/>
          <w:lang w:val="en-US" w:eastAsia="zh-CN" w:bidi="ar-SA"/>
        </w:rPr>
        <w:t>康复辅助器具社区租赁服务试点项目是为老年人、伤病人等提供辅具租赁服务。</w:t>
      </w:r>
    </w:p>
    <w:p w14:paraId="6BC7CAF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color w:val="auto"/>
          <w:kern w:val="0"/>
          <w:sz w:val="32"/>
          <w:szCs w:val="32"/>
          <w:highlight w:val="none"/>
          <w:u w:val="none"/>
          <w:shd w:val="clear" w:color="auto" w:fill="FFFFFF"/>
          <w:lang w:val="en-US" w:eastAsia="zh-CN" w:bidi="ar-SA"/>
        </w:rPr>
        <w:t>4.</w:t>
      </w:r>
      <w:r>
        <w:rPr>
          <w:rFonts w:hint="default" w:ascii="Times New Roman" w:hAnsi="Times New Roman" w:eastAsia="方正仿宋_GBK" w:cs="Times New Roman"/>
          <w:color w:val="auto"/>
          <w:kern w:val="0"/>
          <w:sz w:val="32"/>
          <w:szCs w:val="32"/>
          <w:highlight w:val="none"/>
          <w:u w:val="none"/>
          <w:shd w:val="clear" w:color="auto" w:fill="FFFFFF"/>
          <w:lang w:val="zh-CN" w:eastAsia="zh-CN" w:bidi="ar-SA"/>
        </w:rPr>
        <w:t>慈善事业高质量发展试点</w:t>
      </w:r>
      <w:r>
        <w:rPr>
          <w:rFonts w:hint="default" w:ascii="Times New Roman" w:hAnsi="Times New Roman" w:eastAsia="方正仿宋_GBK" w:cs="Times New Roman"/>
          <w:color w:val="auto"/>
          <w:kern w:val="0"/>
          <w:sz w:val="32"/>
          <w:szCs w:val="32"/>
          <w:highlight w:val="none"/>
          <w:u w:val="none"/>
          <w:shd w:val="clear" w:color="auto" w:fill="FFFFFF"/>
          <w:lang w:val="en-US" w:eastAsia="zh-CN" w:bidi="ar-SA"/>
        </w:rPr>
        <w:t>。</w:t>
      </w:r>
      <w:r>
        <w:rPr>
          <w:rFonts w:hint="default" w:ascii="Times New Roman" w:hAnsi="Times New Roman" w:eastAsia="方正仿宋_GBK" w:cs="Times New Roman"/>
          <w:sz w:val="32"/>
          <w:szCs w:val="32"/>
        </w:rPr>
        <w:t>项目实施目的在于通过试点先行，探索慈善事业助力共同富裕的有效模式，提升基层慈善服务能力和资源效</w:t>
      </w:r>
      <w:r>
        <w:rPr>
          <w:rFonts w:hint="default" w:ascii="Times New Roman" w:hAnsi="Times New Roman" w:eastAsia="方正仿宋_GBK" w:cs="Times New Roman"/>
          <w:sz w:val="32"/>
          <w:szCs w:val="32"/>
          <w:lang w:eastAsia="zh-CN"/>
        </w:rPr>
        <w:t>应</w:t>
      </w:r>
      <w:r>
        <w:rPr>
          <w:rFonts w:hint="default" w:ascii="Times New Roman" w:hAnsi="Times New Roman" w:eastAsia="方正仿宋_GBK" w:cs="Times New Roman"/>
          <w:sz w:val="32"/>
          <w:szCs w:val="32"/>
        </w:rPr>
        <w:t>，促进社会资源精准对接帮扶需求。主要工作任务包括完善慈善工作网络、加强慈善组织能力建设、培育专业人才队伍、开展精准化慈善服务、整合多元化社会资源及激励慈善项目创新。项目资金管理将严格遵循省级专项资金管理办法及</w:t>
      </w:r>
      <w:r>
        <w:rPr>
          <w:rFonts w:hint="default" w:ascii="Times New Roman" w:hAnsi="Times New Roman" w:eastAsia="方正仿宋_GBK" w:cs="Times New Roman"/>
          <w:sz w:val="32"/>
          <w:szCs w:val="32"/>
          <w:lang w:eastAsia="zh-CN"/>
        </w:rPr>
        <w:t>市</w:t>
      </w:r>
      <w:r>
        <w:rPr>
          <w:rFonts w:hint="default" w:ascii="Times New Roman" w:hAnsi="Times New Roman" w:eastAsia="方正仿宋_GBK" w:cs="Times New Roman"/>
          <w:sz w:val="32"/>
          <w:szCs w:val="32"/>
        </w:rPr>
        <w:t>级财政管理相关规定，确保资金使用安全、规范、高效。重点聚焦慈善组织孵化培育、社区基金建设与可持续发展、智慧慈善平台应用推广、品牌慈善项目打造及重点困难群体关爱服务等领域。</w:t>
      </w:r>
    </w:p>
    <w:p w14:paraId="1586DCE1">
      <w:pPr>
        <w:keepNext w:val="0"/>
        <w:keepLines w:val="0"/>
        <w:pageBreakBefore w:val="0"/>
        <w:widowControl w:val="0"/>
        <w:kinsoku/>
        <w:wordWrap/>
        <w:overflowPunct/>
        <w:topLinePunct w:val="0"/>
        <w:autoSpaceDE/>
        <w:bidi w:val="0"/>
        <w:spacing w:line="560" w:lineRule="exact"/>
        <w:ind w:left="0" w:leftChars="0" w:firstLine="640" w:firstLineChars="200"/>
        <w:jc w:val="both"/>
        <w:textAlignment w:val="auto"/>
        <w:rPr>
          <w:rFonts w:hint="default" w:ascii="Times New Roman" w:hAnsi="Times New Roman" w:eastAsia="方正仿宋_GBK" w:cs="Times New Roman"/>
          <w:b w:val="0"/>
          <w:sz w:val="32"/>
          <w:szCs w:val="32"/>
          <w:lang w:val="en-US" w:eastAsia="zh-CN"/>
        </w:rPr>
      </w:pP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环保火化炉购置项目</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b w:val="0"/>
          <w:sz w:val="32"/>
          <w:szCs w:val="32"/>
        </w:rPr>
        <w:t>环保火化炉购置项目</w:t>
      </w:r>
      <w:r>
        <w:rPr>
          <w:rFonts w:hint="default" w:ascii="Times New Roman" w:hAnsi="Times New Roman" w:eastAsia="方正仿宋_GBK" w:cs="Times New Roman"/>
          <w:b w:val="0"/>
          <w:sz w:val="32"/>
          <w:szCs w:val="32"/>
          <w:lang w:eastAsia="zh-CN"/>
        </w:rPr>
        <w:t>主要</w:t>
      </w:r>
      <w:r>
        <w:rPr>
          <w:rFonts w:hint="default" w:ascii="Times New Roman" w:hAnsi="Times New Roman" w:eastAsia="方正仿宋_GBK" w:cs="Times New Roman"/>
          <w:b w:val="0"/>
          <w:sz w:val="32"/>
          <w:szCs w:val="32"/>
        </w:rPr>
        <w:t>完善殡葬设施设备，通过购置环保火化炉2台，提升全市火化服务能力。</w:t>
      </w:r>
      <w:r>
        <w:rPr>
          <w:rFonts w:hint="default" w:ascii="Times New Roman" w:hAnsi="Times New Roman" w:eastAsia="方正仿宋_GBK" w:cs="Times New Roman"/>
          <w:b w:val="0"/>
          <w:sz w:val="32"/>
          <w:szCs w:val="32"/>
          <w:lang w:val="en-US" w:eastAsia="zh-CN"/>
        </w:rPr>
        <w:t xml:space="preserve">    </w:t>
      </w:r>
    </w:p>
    <w:p w14:paraId="2F0B2D36">
      <w:pPr>
        <w:keepNext w:val="0"/>
        <w:keepLines w:val="0"/>
        <w:pageBreakBefore w:val="0"/>
        <w:widowControl w:val="0"/>
        <w:kinsoku/>
        <w:wordWrap/>
        <w:overflowPunct/>
        <w:topLinePunct w:val="0"/>
        <w:autoSpaceDE/>
        <w:bidi w:val="0"/>
        <w:spacing w:line="56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“文明婚俗”提升行动</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“文明婚俗”提升行动项目</w:t>
      </w:r>
      <w:r>
        <w:rPr>
          <w:rFonts w:hint="default" w:ascii="Times New Roman" w:hAnsi="Times New Roman" w:eastAsia="方正仿宋_GBK" w:cs="Times New Roman"/>
          <w:sz w:val="32"/>
          <w:szCs w:val="32"/>
          <w:lang w:eastAsia="zh-CN"/>
        </w:rPr>
        <w:t>主要是</w:t>
      </w:r>
      <w:r>
        <w:rPr>
          <w:rFonts w:hint="default" w:ascii="Times New Roman" w:hAnsi="Times New Roman" w:eastAsia="方正仿宋_GBK" w:cs="Times New Roman"/>
          <w:sz w:val="32"/>
          <w:szCs w:val="32"/>
        </w:rPr>
        <w:t>加强公园式、特色化婚姻登记机关建设，培育文明婚俗文化，传承中华优秀家庭文化，推动婚姻领域移风易俗。</w:t>
      </w:r>
    </w:p>
    <w:p w14:paraId="7C500A3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rPr>
          <w:rFonts w:hint="default" w:ascii="Times New Roman" w:hAnsi="Times New Roman" w:eastAsia="方正仿宋_GBK" w:cs="Times New Roman"/>
          <w:color w:val="auto"/>
          <w:kern w:val="0"/>
          <w:sz w:val="32"/>
          <w:szCs w:val="32"/>
          <w:highlight w:val="none"/>
          <w:u w:val="none"/>
          <w:shd w:val="clear" w:color="auto" w:fill="FFFFFF"/>
          <w:lang w:val="zh-CN"/>
        </w:rPr>
      </w:pPr>
      <w:r>
        <w:rPr>
          <w:rFonts w:hint="default" w:ascii="Times New Roman" w:hAnsi="Times New Roman" w:eastAsia="方正楷体_GBK" w:cs="Times New Roman"/>
          <w:b/>
          <w:color w:val="auto"/>
          <w:sz w:val="32"/>
          <w:szCs w:val="32"/>
          <w:highlight w:val="none"/>
          <w:u w:val="none"/>
          <w:lang w:val="en-US" w:eastAsia="zh-CN"/>
        </w:rPr>
        <w:t>（三）预算安排及分配管理</w:t>
      </w:r>
      <w:r>
        <w:rPr>
          <w:rFonts w:hint="default" w:ascii="Times New Roman" w:hAnsi="Times New Roman" w:eastAsia="方正楷体_GBK" w:cs="Times New Roman"/>
          <w:b/>
          <w:color w:val="auto"/>
          <w:sz w:val="32"/>
          <w:szCs w:val="32"/>
          <w:highlight w:val="none"/>
          <w:u w:val="none"/>
          <w:lang w:val="zh-CN" w:eastAsia="zh-CN"/>
        </w:rPr>
        <w:t>。</w:t>
      </w:r>
    </w:p>
    <w:p w14:paraId="26DB032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sz w:val="32"/>
          <w:szCs w:val="32"/>
          <w:lang w:val="en-US"/>
        </w:rPr>
      </w:pPr>
      <w:r>
        <w:rPr>
          <w:rFonts w:hint="default" w:ascii="Times New Roman" w:hAnsi="Times New Roman" w:eastAsia="方正仿宋_GBK" w:cs="Times New Roman"/>
          <w:sz w:val="32"/>
          <w:szCs w:val="32"/>
          <w:lang w:val="en-US" w:eastAsia="zh-CN"/>
        </w:rPr>
        <w:t>项目</w:t>
      </w:r>
      <w:r>
        <w:rPr>
          <w:rFonts w:hint="default" w:ascii="Times New Roman" w:hAnsi="Times New Roman" w:eastAsia="方正仿宋_GBK" w:cs="Times New Roman"/>
          <w:sz w:val="32"/>
          <w:szCs w:val="32"/>
          <w:lang w:val="en-US"/>
        </w:rPr>
        <w:t>资金分配遵循专款专用，规范运作，</w:t>
      </w:r>
      <w:r>
        <w:rPr>
          <w:rFonts w:hint="default" w:ascii="Times New Roman" w:hAnsi="Times New Roman" w:eastAsia="方正仿宋_GBK" w:cs="Times New Roman"/>
          <w:sz w:val="32"/>
          <w:szCs w:val="32"/>
          <w:lang w:val="en-US" w:eastAsia="zh-CN"/>
        </w:rPr>
        <w:t>严</w:t>
      </w:r>
      <w:r>
        <w:rPr>
          <w:rFonts w:hint="default" w:ascii="Times New Roman" w:hAnsi="Times New Roman" w:eastAsia="方正仿宋_GBK" w:cs="Times New Roman"/>
          <w:sz w:val="32"/>
          <w:szCs w:val="32"/>
          <w:lang w:val="en-US"/>
        </w:rPr>
        <w:t>格按照相关政策规定，及时拨付资金，加快预算执行进度</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rPr>
        <w:t>未发生转移、截留、侵占或者挪用婚改项目专项资金情况。</w:t>
      </w:r>
      <w:r>
        <w:rPr>
          <w:rFonts w:hint="default" w:ascii="Times New Roman" w:hAnsi="Times New Roman" w:eastAsia="方正仿宋_GBK" w:cs="Times New Roman"/>
          <w:kern w:val="2"/>
          <w:sz w:val="32"/>
          <w:szCs w:val="32"/>
          <w:lang w:val="en-US" w:eastAsia="zh-CN" w:bidi="ar-SA"/>
        </w:rPr>
        <w:t>项目</w:t>
      </w:r>
      <w:r>
        <w:rPr>
          <w:rFonts w:hint="default" w:ascii="Times New Roman" w:hAnsi="Times New Roman" w:eastAsia="方正仿宋_GBK" w:cs="Times New Roman"/>
          <w:kern w:val="2"/>
          <w:sz w:val="32"/>
          <w:szCs w:val="32"/>
          <w:lang w:val="en" w:eastAsia="en" w:bidi="ar-SA"/>
        </w:rPr>
        <w:t>实施单位</w:t>
      </w:r>
      <w:r>
        <w:rPr>
          <w:rFonts w:hint="default" w:ascii="Times New Roman" w:hAnsi="Times New Roman" w:eastAsia="方正仿宋_GBK" w:cs="Times New Roman"/>
          <w:kern w:val="2"/>
          <w:sz w:val="32"/>
          <w:szCs w:val="32"/>
          <w:lang w:val="en-US" w:eastAsia="zh-CN" w:bidi="ar-SA"/>
        </w:rPr>
        <w:t>财务管理制度</w:t>
      </w:r>
      <w:r>
        <w:rPr>
          <w:rFonts w:hint="default" w:ascii="Times New Roman" w:hAnsi="Times New Roman" w:eastAsia="方正仿宋_GBK" w:cs="Times New Roman"/>
          <w:kern w:val="2"/>
          <w:sz w:val="32"/>
          <w:szCs w:val="32"/>
          <w:lang w:val="en" w:eastAsia="en" w:bidi="ar-SA"/>
        </w:rPr>
        <w:t>健全并</w:t>
      </w:r>
      <w:r>
        <w:rPr>
          <w:rFonts w:hint="default" w:ascii="Times New Roman" w:hAnsi="Times New Roman" w:eastAsia="方正仿宋_GBK" w:cs="Times New Roman"/>
          <w:kern w:val="2"/>
          <w:sz w:val="32"/>
          <w:szCs w:val="32"/>
          <w:lang w:val="en-US" w:eastAsia="zh-CN" w:bidi="ar-SA"/>
        </w:rPr>
        <w:t>严格</w:t>
      </w:r>
      <w:r>
        <w:rPr>
          <w:rFonts w:hint="default" w:ascii="Times New Roman" w:hAnsi="Times New Roman" w:eastAsia="方正仿宋_GBK" w:cs="Times New Roman"/>
          <w:kern w:val="2"/>
          <w:sz w:val="32"/>
          <w:szCs w:val="32"/>
          <w:lang w:val="en" w:eastAsia="en" w:bidi="ar-SA"/>
        </w:rPr>
        <w:t>执行财务管理制度，</w:t>
      </w:r>
      <w:r>
        <w:rPr>
          <w:rFonts w:hint="default" w:ascii="Times New Roman" w:hAnsi="Times New Roman" w:eastAsia="方正仿宋_GBK" w:cs="Times New Roman"/>
          <w:kern w:val="2"/>
          <w:sz w:val="32"/>
          <w:szCs w:val="32"/>
          <w:lang w:val="en-US" w:eastAsia="zh-CN" w:bidi="ar-SA"/>
        </w:rPr>
        <w:t>财务核算及时，会计信息真实。</w:t>
      </w:r>
    </w:p>
    <w:p w14:paraId="5C9510D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sz w:val="32"/>
          <w:szCs w:val="32"/>
          <w:lang w:val="en-US"/>
        </w:rPr>
      </w:pPr>
      <w:r>
        <w:rPr>
          <w:rFonts w:hint="default" w:ascii="Times New Roman" w:hAnsi="Times New Roman" w:eastAsia="方正仿宋_GBK" w:cs="Times New Roman"/>
          <w:b w:val="0"/>
          <w:kern w:val="2"/>
          <w:sz w:val="32"/>
          <w:szCs w:val="32"/>
          <w:lang w:val="en-US" w:eastAsia="zh-CN" w:bidi="ar-SA"/>
        </w:rPr>
        <w:t>1.儿童保障类。</w:t>
      </w:r>
      <w:r>
        <w:rPr>
          <w:rFonts w:hint="default" w:ascii="Times New Roman" w:hAnsi="Times New Roman" w:eastAsia="方正仿宋_GBK" w:cs="Times New Roman"/>
          <w:sz w:val="32"/>
          <w:szCs w:val="32"/>
          <w:lang w:bidi="ar-SA"/>
        </w:rPr>
        <w:t>①</w:t>
      </w:r>
      <w:r>
        <w:rPr>
          <w:rFonts w:hint="default" w:ascii="Times New Roman" w:hAnsi="Times New Roman" w:eastAsia="方正仿宋_GBK" w:cs="Times New Roman"/>
          <w:spacing w:val="-16"/>
          <w:sz w:val="32"/>
          <w:szCs w:val="32"/>
          <w:lang w:bidi="ar-SA"/>
        </w:rPr>
        <w:t>福彩圆梦·孤儿助学工程</w:t>
      </w:r>
      <w:r>
        <w:rPr>
          <w:rFonts w:hint="default" w:ascii="Times New Roman" w:hAnsi="Times New Roman" w:eastAsia="方正仿宋_GBK" w:cs="Times New Roman"/>
          <w:bCs/>
          <w:sz w:val="32"/>
          <w:szCs w:val="32"/>
          <w:lang w:eastAsia="zh-CN" w:bidi="ar-SA"/>
        </w:rPr>
        <w:t>。</w:t>
      </w:r>
      <w:r>
        <w:rPr>
          <w:rFonts w:hint="default" w:ascii="Times New Roman" w:hAnsi="Times New Roman" w:eastAsia="方正仿宋_GBK" w:cs="Times New Roman"/>
          <w:bCs/>
          <w:sz w:val="32"/>
          <w:szCs w:val="32"/>
          <w:lang w:val="en-US" w:bidi="ar-SA"/>
        </w:rPr>
        <w:t>按照市儿童福利院、西区、仁和区、米易县、盐边县保障人数据实分配。</w:t>
      </w:r>
      <w:r>
        <w:rPr>
          <w:rFonts w:hint="default" w:ascii="Times New Roman" w:hAnsi="Times New Roman" w:eastAsia="方正仿宋_GBK" w:cs="Times New Roman"/>
          <w:sz w:val="32"/>
          <w:szCs w:val="32"/>
        </w:rPr>
        <w:t>2025年</w:t>
      </w:r>
      <w:r>
        <w:rPr>
          <w:rFonts w:hint="default" w:ascii="Times New Roman" w:hAnsi="Times New Roman" w:eastAsia="方正仿宋_GBK" w:cs="Times New Roman"/>
          <w:sz w:val="32"/>
          <w:szCs w:val="32"/>
          <w:lang w:val="en-US"/>
        </w:rPr>
        <w:t>下达我市该笔预算</w:t>
      </w:r>
      <w:r>
        <w:rPr>
          <w:rFonts w:hint="default" w:ascii="Times New Roman" w:hAnsi="Times New Roman" w:eastAsia="方正仿宋_GBK" w:cs="Times New Roman"/>
          <w:sz w:val="32"/>
          <w:szCs w:val="32"/>
        </w:rPr>
        <w:t>40</w:t>
      </w:r>
      <w:r>
        <w:rPr>
          <w:rFonts w:hint="default" w:ascii="Times New Roman" w:hAnsi="Times New Roman" w:eastAsia="方正仿宋_GBK" w:cs="Times New Roman"/>
          <w:sz w:val="32"/>
          <w:szCs w:val="32"/>
          <w:lang w:val="en-US"/>
        </w:rPr>
        <w:t>万元,其中：市儿童福利院</w:t>
      </w:r>
      <w:r>
        <w:rPr>
          <w:rFonts w:hint="default" w:ascii="Times New Roman" w:hAnsi="Times New Roman" w:eastAsia="方正仿宋_GBK" w:cs="Times New Roman"/>
          <w:sz w:val="32"/>
          <w:szCs w:val="32"/>
        </w:rPr>
        <w:t>5</w:t>
      </w:r>
      <w:r>
        <w:rPr>
          <w:rFonts w:hint="default" w:ascii="Times New Roman" w:hAnsi="Times New Roman" w:eastAsia="方正仿宋_GBK" w:cs="Times New Roman"/>
          <w:sz w:val="32"/>
          <w:szCs w:val="32"/>
          <w:lang w:val="en-US"/>
        </w:rPr>
        <w:t>万元、西区</w:t>
      </w:r>
      <w:r>
        <w:rPr>
          <w:rFonts w:hint="default" w:ascii="Times New Roman" w:hAnsi="Times New Roman" w:eastAsia="方正仿宋_GBK" w:cs="Times New Roman"/>
          <w:bCs/>
          <w:spacing w:val="-17"/>
          <w:sz w:val="32"/>
          <w:szCs w:val="32"/>
          <w:lang w:val="en" w:eastAsia="en"/>
        </w:rPr>
        <w:t>7</w:t>
      </w:r>
      <w:r>
        <w:rPr>
          <w:rFonts w:hint="default" w:ascii="Times New Roman" w:hAnsi="Times New Roman" w:eastAsia="方正仿宋_GBK" w:cs="Times New Roman"/>
          <w:sz w:val="32"/>
          <w:szCs w:val="32"/>
          <w:lang w:val="en-US"/>
        </w:rPr>
        <w:t>万元、仁和区</w:t>
      </w:r>
      <w:r>
        <w:rPr>
          <w:rFonts w:hint="default" w:ascii="Times New Roman" w:hAnsi="Times New Roman" w:eastAsia="方正仿宋_GBK" w:cs="Times New Roman"/>
          <w:bCs/>
          <w:spacing w:val="-17"/>
          <w:sz w:val="32"/>
          <w:szCs w:val="32"/>
        </w:rPr>
        <w:t>8</w:t>
      </w:r>
      <w:r>
        <w:rPr>
          <w:rFonts w:hint="default" w:ascii="Times New Roman" w:hAnsi="Times New Roman" w:eastAsia="方正仿宋_GBK" w:cs="Times New Roman"/>
          <w:sz w:val="32"/>
          <w:szCs w:val="32"/>
          <w:lang w:val="en-US"/>
        </w:rPr>
        <w:t>万元、米易县</w:t>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rPr>
        <w:t>1万元、盐边县</w:t>
      </w:r>
      <w:r>
        <w:rPr>
          <w:rFonts w:hint="default" w:ascii="Times New Roman" w:hAnsi="Times New Roman" w:eastAsia="方正仿宋_GBK" w:cs="Times New Roman"/>
          <w:bCs/>
          <w:sz w:val="32"/>
          <w:szCs w:val="32"/>
        </w:rPr>
        <w:t>9</w:t>
      </w:r>
      <w:r>
        <w:rPr>
          <w:rFonts w:hint="default" w:ascii="Times New Roman" w:hAnsi="Times New Roman" w:eastAsia="方正仿宋_GBK" w:cs="Times New Roman"/>
          <w:sz w:val="32"/>
          <w:szCs w:val="32"/>
          <w:lang w:val="en-US"/>
        </w:rPr>
        <w:t>万元</w:t>
      </w:r>
      <w:r>
        <w:rPr>
          <w:rFonts w:hint="default" w:ascii="Times New Roman" w:hAnsi="Times New Roman" w:eastAsia="方正仿宋_GBK" w:cs="Times New Roman"/>
          <w:bCs/>
          <w:sz w:val="32"/>
          <w:szCs w:val="32"/>
          <w:lang w:bidi="ar-SA"/>
        </w:rPr>
        <w:t>。</w:t>
      </w:r>
      <w:r>
        <w:rPr>
          <w:rFonts w:hint="default" w:ascii="Times New Roman" w:hAnsi="Times New Roman" w:eastAsia="方正仿宋_GBK" w:cs="Times New Roman"/>
          <w:sz w:val="32"/>
          <w:szCs w:val="32"/>
          <w:lang w:bidi="ar-SA"/>
        </w:rPr>
        <w:t>②</w:t>
      </w:r>
      <w:r>
        <w:rPr>
          <w:rFonts w:hint="default" w:ascii="Times New Roman" w:hAnsi="Times New Roman" w:eastAsia="方正仿宋_GBK" w:cs="Times New Roman"/>
          <w:bCs/>
          <w:spacing w:val="-17"/>
          <w:sz w:val="32"/>
          <w:szCs w:val="32"/>
          <w:lang w:val="en" w:eastAsia="en" w:bidi="ar-SA"/>
        </w:rPr>
        <w:t>孤儿医疗康复明天计划</w:t>
      </w:r>
      <w:r>
        <w:rPr>
          <w:rFonts w:hint="default" w:ascii="Times New Roman" w:hAnsi="Times New Roman" w:eastAsia="方正仿宋_GBK" w:cs="Times New Roman"/>
          <w:bCs/>
          <w:sz w:val="32"/>
          <w:szCs w:val="32"/>
          <w:lang w:eastAsia="zh-CN" w:bidi="ar-SA"/>
        </w:rPr>
        <w:t>。</w:t>
      </w:r>
      <w:r>
        <w:rPr>
          <w:rFonts w:hint="default" w:ascii="Times New Roman" w:hAnsi="Times New Roman" w:eastAsia="方正仿宋_GBK" w:cs="Times New Roman"/>
          <w:bCs/>
          <w:sz w:val="32"/>
          <w:szCs w:val="32"/>
          <w:lang w:val="en-US" w:bidi="ar-SA"/>
        </w:rPr>
        <w:t>按照市儿童福利院、米易县、盐边县保障人数和补贴标准据实下达资金。</w:t>
      </w:r>
      <w:r>
        <w:rPr>
          <w:rFonts w:hint="default" w:ascii="Times New Roman" w:hAnsi="Times New Roman" w:eastAsia="方正仿宋_GBK" w:cs="Times New Roman"/>
          <w:sz w:val="32"/>
          <w:szCs w:val="32"/>
        </w:rPr>
        <w:t>2025年</w:t>
      </w:r>
      <w:r>
        <w:rPr>
          <w:rFonts w:hint="default" w:ascii="Times New Roman" w:hAnsi="Times New Roman" w:eastAsia="方正仿宋_GBK" w:cs="Times New Roman"/>
          <w:sz w:val="32"/>
          <w:szCs w:val="32"/>
          <w:lang w:val="en-US"/>
        </w:rPr>
        <w:t>下达我市该笔预算</w:t>
      </w:r>
      <w:r>
        <w:rPr>
          <w:rFonts w:hint="default" w:ascii="Times New Roman" w:hAnsi="Times New Roman" w:eastAsia="方正仿宋_GBK" w:cs="Times New Roman"/>
          <w:sz w:val="32"/>
          <w:szCs w:val="32"/>
        </w:rPr>
        <w:t>40</w:t>
      </w:r>
      <w:r>
        <w:rPr>
          <w:rFonts w:hint="default" w:ascii="Times New Roman" w:hAnsi="Times New Roman" w:eastAsia="方正仿宋_GBK" w:cs="Times New Roman"/>
          <w:sz w:val="32"/>
          <w:szCs w:val="32"/>
          <w:lang w:val="en-US"/>
        </w:rPr>
        <w:t>万元，其中市儿童福利院</w:t>
      </w:r>
      <w:r>
        <w:rPr>
          <w:rFonts w:hint="default" w:ascii="Times New Roman" w:hAnsi="Times New Roman" w:eastAsia="方正仿宋_GBK" w:cs="Times New Roman"/>
          <w:sz w:val="32"/>
          <w:szCs w:val="32"/>
        </w:rPr>
        <w:t>3</w:t>
      </w:r>
      <w:r>
        <w:rPr>
          <w:rFonts w:hint="default" w:ascii="Times New Roman" w:hAnsi="Times New Roman" w:eastAsia="方正仿宋_GBK" w:cs="Times New Roman"/>
          <w:bCs/>
          <w:spacing w:val="-17"/>
          <w:sz w:val="32"/>
          <w:szCs w:val="32"/>
          <w:lang w:val="en" w:eastAsia="en"/>
        </w:rPr>
        <w:t>7</w:t>
      </w:r>
      <w:r>
        <w:rPr>
          <w:rFonts w:hint="default" w:ascii="Times New Roman" w:hAnsi="Times New Roman" w:eastAsia="方正仿宋_GBK" w:cs="Times New Roman"/>
          <w:bCs/>
          <w:spacing w:val="-17"/>
          <w:sz w:val="32"/>
          <w:szCs w:val="32"/>
          <w:lang w:val="en-US" w:eastAsia="en"/>
        </w:rPr>
        <w:t>万元、米易县</w:t>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rPr>
        <w:t>万元、盐边县</w:t>
      </w:r>
      <w:r>
        <w:rPr>
          <w:rFonts w:hint="default" w:ascii="Times New Roman" w:hAnsi="Times New Roman" w:eastAsia="方正仿宋_GBK" w:cs="Times New Roman"/>
          <w:sz w:val="32"/>
          <w:szCs w:val="32"/>
        </w:rPr>
        <w:t>2</w:t>
      </w:r>
      <w:r>
        <w:rPr>
          <w:rFonts w:hint="default" w:ascii="Times New Roman" w:hAnsi="Times New Roman" w:eastAsia="方正仿宋_GBK" w:cs="Times New Roman"/>
          <w:sz w:val="32"/>
          <w:szCs w:val="32"/>
          <w:lang w:val="en-US"/>
        </w:rPr>
        <w:t>万元</w:t>
      </w:r>
      <w:r>
        <w:rPr>
          <w:rFonts w:hint="default" w:ascii="Times New Roman" w:hAnsi="Times New Roman" w:eastAsia="方正仿宋_GBK" w:cs="Times New Roman"/>
          <w:bCs/>
          <w:sz w:val="32"/>
          <w:szCs w:val="32"/>
          <w:lang w:bidi="ar-SA"/>
        </w:rPr>
        <w:t>。</w:t>
      </w:r>
      <w:r>
        <w:rPr>
          <w:rFonts w:hint="default" w:ascii="Times New Roman" w:hAnsi="Times New Roman" w:eastAsia="方正仿宋_GBK" w:cs="Times New Roman"/>
          <w:spacing w:val="-16"/>
          <w:sz w:val="32"/>
          <w:szCs w:val="32"/>
          <w:lang w:bidi="ar-SA"/>
        </w:rPr>
        <w:t>③</w:t>
      </w:r>
      <w:r>
        <w:rPr>
          <w:rFonts w:hint="default" w:ascii="Times New Roman" w:hAnsi="Times New Roman" w:eastAsia="方正仿宋_GBK" w:cs="Times New Roman"/>
          <w:sz w:val="32"/>
          <w:szCs w:val="32"/>
          <w:lang w:bidi="ar-SA"/>
        </w:rPr>
        <w:t>事实无人抚养儿童年满</w:t>
      </w:r>
      <w:r>
        <w:rPr>
          <w:rFonts w:hint="default" w:ascii="Times New Roman" w:hAnsi="Times New Roman" w:eastAsia="方正仿宋_GBK" w:cs="Times New Roman"/>
          <w:sz w:val="32"/>
          <w:szCs w:val="32"/>
        </w:rPr>
        <w:t>18</w:t>
      </w:r>
      <w:r>
        <w:rPr>
          <w:rFonts w:hint="default" w:ascii="Times New Roman" w:hAnsi="Times New Roman" w:eastAsia="方正仿宋_GBK" w:cs="Times New Roman"/>
          <w:sz w:val="32"/>
          <w:szCs w:val="32"/>
          <w:lang w:bidi="ar-SA"/>
        </w:rPr>
        <w:t>周岁后助学</w:t>
      </w:r>
      <w:r>
        <w:rPr>
          <w:rFonts w:hint="default" w:ascii="Times New Roman" w:hAnsi="Times New Roman" w:eastAsia="方正仿宋_GBK" w:cs="Times New Roman"/>
          <w:bCs/>
          <w:sz w:val="32"/>
          <w:szCs w:val="32"/>
          <w:lang w:eastAsia="zh-CN" w:bidi="ar-SA"/>
        </w:rPr>
        <w:t>。</w:t>
      </w:r>
      <w:r>
        <w:rPr>
          <w:rFonts w:hint="default" w:ascii="Times New Roman" w:hAnsi="Times New Roman" w:eastAsia="方正仿宋_GBK" w:cs="Times New Roman"/>
          <w:bCs/>
          <w:sz w:val="32"/>
          <w:szCs w:val="32"/>
          <w:lang w:val="en-US" w:bidi="ar-SA"/>
        </w:rPr>
        <w:t>按照西区、仁和区、米易县、盐边县保障人数和补贴标准据实下达资金。</w:t>
      </w:r>
      <w:r>
        <w:rPr>
          <w:rFonts w:hint="default" w:ascii="Times New Roman" w:hAnsi="Times New Roman" w:eastAsia="方正仿宋_GBK" w:cs="Times New Roman"/>
          <w:sz w:val="32"/>
          <w:szCs w:val="32"/>
        </w:rPr>
        <w:t>2025年</w:t>
      </w:r>
      <w:r>
        <w:rPr>
          <w:rFonts w:hint="default" w:ascii="Times New Roman" w:hAnsi="Times New Roman" w:eastAsia="方正仿宋_GBK" w:cs="Times New Roman"/>
          <w:sz w:val="32"/>
          <w:szCs w:val="32"/>
          <w:lang w:val="en-US"/>
        </w:rPr>
        <w:t>下达我市该笔预算</w:t>
      </w:r>
      <w:r>
        <w:rPr>
          <w:rFonts w:hint="default" w:ascii="Times New Roman" w:hAnsi="Times New Roman" w:eastAsia="方正仿宋_GBK" w:cs="Times New Roman"/>
          <w:sz w:val="32"/>
          <w:szCs w:val="32"/>
        </w:rPr>
        <w:t>3</w:t>
      </w:r>
      <w:r>
        <w:rPr>
          <w:rFonts w:hint="default" w:ascii="Times New Roman" w:hAnsi="Times New Roman" w:eastAsia="方正仿宋_GBK" w:cs="Times New Roman"/>
          <w:sz w:val="32"/>
          <w:szCs w:val="32"/>
          <w:lang w:val="en-US"/>
        </w:rPr>
        <w:t>万元，其中西区</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sz w:val="32"/>
          <w:szCs w:val="32"/>
          <w:lang w:val="en-US"/>
        </w:rPr>
        <w:t>.</w:t>
      </w:r>
      <w:r>
        <w:rPr>
          <w:rFonts w:hint="default" w:ascii="Times New Roman" w:hAnsi="Times New Roman" w:eastAsia="方正仿宋_GBK" w:cs="Times New Roman"/>
          <w:sz w:val="32"/>
          <w:szCs w:val="32"/>
        </w:rPr>
        <w:t>3</w:t>
      </w:r>
      <w:r>
        <w:rPr>
          <w:rFonts w:hint="default" w:ascii="Times New Roman" w:hAnsi="Times New Roman" w:eastAsia="方正仿宋_GBK" w:cs="Times New Roman"/>
          <w:sz w:val="32"/>
          <w:szCs w:val="32"/>
          <w:lang w:val="en-US"/>
        </w:rPr>
        <w:t>万元、仁和区</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sz w:val="32"/>
          <w:szCs w:val="32"/>
          <w:lang w:val="en-US"/>
        </w:rPr>
        <w:t>.</w:t>
      </w:r>
      <w:r>
        <w:rPr>
          <w:rFonts w:hint="default" w:ascii="Times New Roman" w:hAnsi="Times New Roman" w:eastAsia="方正仿宋_GBK" w:cs="Times New Roman"/>
          <w:bCs/>
          <w:spacing w:val="-17"/>
          <w:sz w:val="32"/>
          <w:szCs w:val="32"/>
          <w:lang w:val="en" w:eastAsia="en"/>
        </w:rPr>
        <w:t>7</w:t>
      </w:r>
      <w:r>
        <w:rPr>
          <w:rFonts w:hint="default" w:ascii="Times New Roman" w:hAnsi="Times New Roman" w:eastAsia="方正仿宋_GBK" w:cs="Times New Roman"/>
          <w:bCs/>
          <w:spacing w:val="-17"/>
          <w:sz w:val="32"/>
          <w:szCs w:val="32"/>
          <w:lang w:val="en-US" w:eastAsia="en"/>
        </w:rPr>
        <w:t>万元、米易县</w:t>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rPr>
        <w:t>万元、盐边县</w:t>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rPr>
        <w:t>万元</w:t>
      </w:r>
      <w:r>
        <w:rPr>
          <w:rFonts w:hint="default" w:ascii="Times New Roman" w:hAnsi="Times New Roman" w:eastAsia="方正仿宋_GBK" w:cs="Times New Roman"/>
          <w:bCs/>
          <w:sz w:val="32"/>
          <w:szCs w:val="32"/>
          <w:lang w:bidi="ar-SA"/>
        </w:rPr>
        <w:t>。</w:t>
      </w:r>
      <w:r>
        <w:rPr>
          <w:rFonts w:hint="default" w:ascii="Times New Roman" w:hAnsi="Times New Roman" w:eastAsia="方正仿宋_GBK" w:cs="Times New Roman"/>
          <w:bCs/>
          <w:spacing w:val="-17"/>
          <w:sz w:val="32"/>
          <w:szCs w:val="32"/>
          <w:lang w:val="en" w:eastAsia="en" w:bidi="ar-SA"/>
        </w:rPr>
        <w:t>④</w:t>
      </w:r>
      <w:r>
        <w:rPr>
          <w:rFonts w:hint="default" w:ascii="Times New Roman" w:hAnsi="Times New Roman" w:eastAsia="方正仿宋_GBK" w:cs="Times New Roman"/>
          <w:sz w:val="32"/>
          <w:szCs w:val="32"/>
          <w:lang w:bidi="ar-SA"/>
        </w:rPr>
        <w:t>为你而来</w:t>
      </w:r>
      <w:r>
        <w:rPr>
          <w:rFonts w:hint="default" w:ascii="Times New Roman" w:hAnsi="Times New Roman" w:eastAsia="汉仪大黑简" w:cs="Times New Roman"/>
          <w:sz w:val="32"/>
          <w:szCs w:val="32"/>
          <w:lang w:bidi="ar-SA"/>
        </w:rPr>
        <w:t>·</w:t>
      </w:r>
      <w:r>
        <w:rPr>
          <w:rFonts w:hint="default" w:ascii="Times New Roman" w:hAnsi="Times New Roman" w:eastAsia="方正仿宋_GBK" w:cs="Times New Roman"/>
          <w:sz w:val="32"/>
          <w:szCs w:val="32"/>
          <w:lang w:bidi="ar-SA"/>
        </w:rPr>
        <w:t>相伴成长</w:t>
      </w:r>
      <w:r>
        <w:rPr>
          <w:rFonts w:hint="default" w:ascii="Times New Roman" w:hAnsi="Times New Roman" w:eastAsia="方正仿宋_GBK" w:cs="Times New Roman"/>
          <w:sz w:val="32"/>
          <w:szCs w:val="32"/>
          <w:lang w:eastAsia="zh-CN" w:bidi="ar-SA"/>
        </w:rPr>
        <w:t>。</w:t>
      </w:r>
      <w:r>
        <w:rPr>
          <w:rFonts w:hint="default" w:ascii="Times New Roman" w:hAnsi="Times New Roman" w:eastAsia="方正仿宋_GBK" w:cs="Times New Roman"/>
          <w:bCs/>
          <w:sz w:val="32"/>
          <w:szCs w:val="32"/>
          <w:lang w:bidi="ar-SA"/>
        </w:rPr>
        <w:t>按照实际需求人数</w:t>
      </w:r>
      <w:r>
        <w:rPr>
          <w:rFonts w:hint="default" w:ascii="Times New Roman" w:hAnsi="Times New Roman" w:eastAsia="方正仿宋_GBK" w:cs="Times New Roman"/>
          <w:bCs/>
          <w:sz w:val="32"/>
          <w:szCs w:val="32"/>
          <w:lang w:val="en-US" w:bidi="ar-SA"/>
        </w:rPr>
        <w:t>由</w:t>
      </w:r>
      <w:r>
        <w:rPr>
          <w:rFonts w:hint="default" w:ascii="Times New Roman" w:hAnsi="Times New Roman" w:eastAsia="方正仿宋_GBK" w:cs="Times New Roman"/>
          <w:bCs/>
          <w:sz w:val="32"/>
          <w:szCs w:val="32"/>
          <w:lang w:bidi="ar-SA"/>
        </w:rPr>
        <w:t>市民政局统筹安排该笔资金。</w:t>
      </w:r>
      <w:r>
        <w:rPr>
          <w:rFonts w:hint="default" w:ascii="Times New Roman" w:hAnsi="Times New Roman" w:eastAsia="方正仿宋_GBK" w:cs="Times New Roman"/>
          <w:sz w:val="32"/>
          <w:szCs w:val="32"/>
        </w:rPr>
        <w:t>2025年</w:t>
      </w:r>
      <w:r>
        <w:rPr>
          <w:rFonts w:hint="default" w:ascii="Times New Roman" w:hAnsi="Times New Roman" w:eastAsia="方正仿宋_GBK" w:cs="Times New Roman"/>
          <w:sz w:val="32"/>
          <w:szCs w:val="32"/>
          <w:lang w:val="en-US"/>
        </w:rPr>
        <w:t>下达我市该笔预算</w:t>
      </w:r>
      <w:r>
        <w:rPr>
          <w:rFonts w:hint="default" w:ascii="Times New Roman" w:hAnsi="Times New Roman" w:eastAsia="方正仿宋_GBK" w:cs="Times New Roman"/>
          <w:sz w:val="32"/>
          <w:szCs w:val="32"/>
        </w:rPr>
        <w:t>35</w:t>
      </w:r>
      <w:r>
        <w:rPr>
          <w:rFonts w:hint="default" w:ascii="Times New Roman" w:hAnsi="Times New Roman" w:eastAsia="方正仿宋_GBK" w:cs="Times New Roman"/>
          <w:sz w:val="32"/>
          <w:szCs w:val="32"/>
          <w:lang w:val="en-US"/>
        </w:rPr>
        <w:t>万元，其中市民政局</w:t>
      </w:r>
      <w:r>
        <w:rPr>
          <w:rFonts w:hint="default" w:ascii="Times New Roman" w:hAnsi="Times New Roman" w:eastAsia="方正仿宋_GBK" w:cs="Times New Roman"/>
          <w:sz w:val="32"/>
          <w:szCs w:val="32"/>
        </w:rPr>
        <w:t>11</w:t>
      </w:r>
      <w:r>
        <w:rPr>
          <w:rFonts w:hint="default" w:ascii="Times New Roman" w:hAnsi="Times New Roman" w:eastAsia="方正仿宋_GBK" w:cs="Times New Roman"/>
          <w:sz w:val="32"/>
          <w:szCs w:val="32"/>
          <w:lang w:val="en-US"/>
        </w:rPr>
        <w:t>万元、米易县</w:t>
      </w:r>
      <w:r>
        <w:rPr>
          <w:rFonts w:hint="default" w:ascii="Times New Roman" w:hAnsi="Times New Roman" w:eastAsia="方正仿宋_GBK" w:cs="Times New Roman"/>
          <w:sz w:val="32"/>
          <w:szCs w:val="32"/>
        </w:rPr>
        <w:t>12</w:t>
      </w:r>
      <w:r>
        <w:rPr>
          <w:rFonts w:hint="default" w:ascii="Times New Roman" w:hAnsi="Times New Roman" w:eastAsia="方正仿宋_GBK" w:cs="Times New Roman"/>
          <w:sz w:val="32"/>
          <w:szCs w:val="32"/>
          <w:lang w:val="en-US"/>
        </w:rPr>
        <w:t>万元、盐边县</w:t>
      </w:r>
      <w:r>
        <w:rPr>
          <w:rFonts w:hint="default" w:ascii="Times New Roman" w:hAnsi="Times New Roman" w:eastAsia="方正仿宋_GBK" w:cs="Times New Roman"/>
          <w:sz w:val="32"/>
          <w:szCs w:val="32"/>
        </w:rPr>
        <w:t>12</w:t>
      </w:r>
      <w:r>
        <w:rPr>
          <w:rFonts w:hint="default" w:ascii="Times New Roman" w:hAnsi="Times New Roman" w:eastAsia="方正仿宋_GBK" w:cs="Times New Roman"/>
          <w:sz w:val="32"/>
          <w:szCs w:val="32"/>
          <w:lang w:val="en-US"/>
        </w:rPr>
        <w:t>万元。</w:t>
      </w:r>
    </w:p>
    <w:p w14:paraId="2D7FCAF5">
      <w:pPr>
        <w:keepNext w:val="0"/>
        <w:keepLines w:val="0"/>
        <w:pageBreakBefore w:val="0"/>
        <w:kinsoku/>
        <w:wordWrap/>
        <w:overflowPunct/>
        <w:topLinePunct w:val="0"/>
        <w:autoSpaceDE/>
        <w:bidi w:val="0"/>
        <w:spacing w:line="560" w:lineRule="exact"/>
        <w:ind w:left="0" w:leftChars="0" w:firstLine="640" w:firstLineChars="200"/>
        <w:jc w:val="both"/>
        <w:textAlignment w:val="auto"/>
        <w:rPr>
          <w:rFonts w:hint="default" w:ascii="Times New Roman" w:hAnsi="Times New Roman" w:eastAsia="方正仿宋_GBK" w:cs="Times New Roman"/>
          <w:b w:val="0"/>
          <w:kern w:val="2"/>
          <w:sz w:val="32"/>
          <w:szCs w:val="32"/>
          <w:lang w:val="en-US" w:eastAsia="zh-CN" w:bidi="ar-SA"/>
        </w:rPr>
      </w:pPr>
      <w:r>
        <w:rPr>
          <w:rFonts w:hint="default" w:ascii="Times New Roman" w:hAnsi="Times New Roman" w:eastAsia="方正仿宋_GBK" w:cs="Times New Roman"/>
          <w:sz w:val="32"/>
          <w:szCs w:val="32"/>
          <w:lang w:val="en-US" w:eastAsia="zh-CN" w:bidi="ar-SA"/>
        </w:rPr>
        <w:t>2.</w:t>
      </w:r>
      <w:r>
        <w:rPr>
          <w:rFonts w:hint="default" w:ascii="Times New Roman" w:hAnsi="Times New Roman" w:eastAsia="方正仿宋_GBK" w:cs="Times New Roman"/>
          <w:b w:val="0"/>
          <w:kern w:val="2"/>
          <w:sz w:val="32"/>
          <w:szCs w:val="32"/>
          <w:lang w:val="en-US" w:eastAsia="zh-CN" w:bidi="ar-SA"/>
        </w:rPr>
        <w:t>精神障碍社区康复服务。2025年下达我市精神障碍社区康复服务228万元，其中：市精神障碍社区康复指导中心25万元、东区62万元、西区31万元、仁和区31万元、米易县51万元、盐边县28万元，按照全市各个站点全年服务人次数据实结算分配资金。</w:t>
      </w:r>
    </w:p>
    <w:p w14:paraId="1C742A81">
      <w:pPr>
        <w:keepNext w:val="0"/>
        <w:keepLines w:val="0"/>
        <w:pageBreakBefore w:val="0"/>
        <w:kinsoku/>
        <w:wordWrap/>
        <w:overflowPunct/>
        <w:topLinePunct w:val="0"/>
        <w:autoSpaceDE/>
        <w:bidi w:val="0"/>
        <w:spacing w:line="560" w:lineRule="exact"/>
        <w:ind w:left="0" w:leftChars="0" w:firstLine="640" w:firstLineChars="200"/>
        <w:jc w:val="both"/>
        <w:textAlignment w:val="auto"/>
        <w:rPr>
          <w:rFonts w:hint="default" w:ascii="Times New Roman" w:hAnsi="Times New Roman" w:eastAsia="方正仿宋_GBK" w:cs="Times New Roman"/>
          <w:bCs/>
          <w:sz w:val="32"/>
          <w:szCs w:val="32"/>
          <w:lang w:bidi="ar-SA"/>
        </w:rPr>
      </w:pPr>
      <w:r>
        <w:rPr>
          <w:rFonts w:hint="default" w:ascii="Times New Roman" w:hAnsi="Times New Roman" w:eastAsia="方正仿宋_GBK" w:cs="Times New Roman"/>
          <w:sz w:val="32"/>
          <w:szCs w:val="32"/>
          <w:lang w:val="en-US" w:eastAsia="zh-CN" w:bidi="ar-SA"/>
        </w:rPr>
        <w:t>3.</w:t>
      </w:r>
      <w:r>
        <w:rPr>
          <w:rFonts w:hint="default" w:ascii="Times New Roman" w:hAnsi="Times New Roman" w:eastAsia="方正仿宋_GBK" w:cs="Times New Roman"/>
          <w:bCs/>
          <w:sz w:val="32"/>
          <w:szCs w:val="32"/>
          <w:lang w:bidi="ar-SA"/>
        </w:rPr>
        <w:t>康复辅助器具社区租赁服务试点</w:t>
      </w:r>
      <w:r>
        <w:rPr>
          <w:rFonts w:hint="default" w:ascii="Times New Roman" w:hAnsi="Times New Roman" w:eastAsia="方正仿宋_GBK" w:cs="Times New Roman"/>
          <w:bCs/>
          <w:sz w:val="32"/>
          <w:szCs w:val="32"/>
          <w:lang w:eastAsia="zh-CN" w:bidi="ar-SA"/>
        </w:rPr>
        <w:t>。</w:t>
      </w:r>
      <w:r>
        <w:rPr>
          <w:rFonts w:hint="default" w:ascii="Times New Roman" w:hAnsi="Times New Roman" w:eastAsia="方正仿宋_GBK" w:cs="Times New Roman"/>
          <w:bCs/>
          <w:sz w:val="32"/>
          <w:szCs w:val="32"/>
          <w:lang w:bidi="ar-SA"/>
        </w:rPr>
        <w:t>民政厅预拨</w:t>
      </w:r>
      <w:r>
        <w:rPr>
          <w:rFonts w:hint="default" w:ascii="Times New Roman" w:hAnsi="Times New Roman" w:eastAsia="方正仿宋_GBK" w:cs="Times New Roman"/>
          <w:bCs/>
          <w:sz w:val="32"/>
          <w:szCs w:val="32"/>
        </w:rPr>
        <w:t>100</w:t>
      </w:r>
      <w:r>
        <w:rPr>
          <w:rFonts w:hint="default" w:ascii="Times New Roman" w:hAnsi="Times New Roman" w:eastAsia="方正仿宋_GBK" w:cs="Times New Roman"/>
          <w:bCs/>
          <w:sz w:val="32"/>
          <w:szCs w:val="32"/>
          <w:lang w:bidi="ar-SA"/>
        </w:rPr>
        <w:t>万元，年底据实结算，由市民政局统筹安排该笔资金。</w:t>
      </w:r>
    </w:p>
    <w:p w14:paraId="497B6CDA">
      <w:pPr>
        <w:rPr>
          <w:rFonts w:hint="default" w:ascii="Times New Roman" w:hAnsi="Times New Roman" w:eastAsia="方正仿宋_GBK" w:cs="Times New Roman"/>
          <w:b w:val="0"/>
          <w:kern w:val="2"/>
          <w:sz w:val="32"/>
          <w:szCs w:val="32"/>
          <w:lang w:val="en-US" w:eastAsia="zh-CN" w:bidi="ar-SA"/>
        </w:rPr>
      </w:pPr>
      <w:r>
        <w:rPr>
          <w:rFonts w:hint="default" w:ascii="Times New Roman" w:hAnsi="Times New Roman" w:eastAsia="方正仿宋_GBK" w:cs="Times New Roman"/>
          <w:b w:val="0"/>
          <w:kern w:val="2"/>
          <w:sz w:val="32"/>
          <w:szCs w:val="32"/>
          <w:lang w:val="en-US" w:eastAsia="zh-CN" w:bidi="ar-SA"/>
        </w:rPr>
        <w:t xml:space="preserve">    4.慈善事业高质量试点。</w:t>
      </w:r>
      <w:r>
        <w:rPr>
          <w:rFonts w:hint="default" w:ascii="Times New Roman" w:hAnsi="Times New Roman" w:eastAsia="方正仿宋_GBK" w:cs="Times New Roman"/>
          <w:b w:val="0"/>
          <w:kern w:val="2"/>
          <w:sz w:val="32"/>
          <w:szCs w:val="32"/>
          <w:lang w:val="zh-CN" w:eastAsia="zh-CN" w:bidi="ar-SA"/>
        </w:rPr>
        <w:t>项目预算安排为省级财政补助资金</w:t>
      </w:r>
      <w:r>
        <w:rPr>
          <w:rFonts w:hint="default" w:ascii="Times New Roman" w:hAnsi="Times New Roman" w:eastAsia="方正仿宋_GBK" w:cs="Times New Roman"/>
          <w:b w:val="0"/>
          <w:kern w:val="2"/>
          <w:sz w:val="32"/>
          <w:szCs w:val="32"/>
          <w:lang w:val="en-US" w:eastAsia="zh-CN" w:bidi="ar-SA"/>
        </w:rPr>
        <w:t>48</w:t>
      </w:r>
      <w:r>
        <w:rPr>
          <w:rFonts w:hint="default" w:ascii="Times New Roman" w:hAnsi="Times New Roman" w:eastAsia="方正仿宋_GBK" w:cs="Times New Roman"/>
          <w:b w:val="0"/>
          <w:kern w:val="2"/>
          <w:sz w:val="32"/>
          <w:szCs w:val="32"/>
          <w:lang w:val="zh-CN" w:eastAsia="zh-CN" w:bidi="ar-SA"/>
        </w:rPr>
        <w:t>0万元，其中西区</w:t>
      </w:r>
      <w:r>
        <w:rPr>
          <w:rFonts w:hint="default" w:ascii="Times New Roman" w:hAnsi="Times New Roman" w:eastAsia="方正仿宋_GBK" w:cs="Times New Roman"/>
          <w:b w:val="0"/>
          <w:kern w:val="2"/>
          <w:sz w:val="32"/>
          <w:szCs w:val="32"/>
          <w:lang w:val="en-US" w:eastAsia="zh-CN" w:bidi="ar-SA"/>
        </w:rPr>
        <w:t>120万元、仁和区120万元、米易县120万元、盐边县120万元，按照“</w:t>
      </w:r>
      <w:r>
        <w:rPr>
          <w:rFonts w:hint="default" w:ascii="Times New Roman" w:hAnsi="Times New Roman" w:eastAsia="方正仿宋_GBK" w:cs="Times New Roman"/>
          <w:b w:val="0"/>
          <w:kern w:val="2"/>
          <w:sz w:val="32"/>
          <w:szCs w:val="32"/>
          <w:lang w:val="zh-CN" w:eastAsia="zh-CN" w:bidi="ar-SA"/>
        </w:rPr>
        <w:t>谁分配、谁管理、谁评价</w:t>
      </w:r>
      <w:r>
        <w:rPr>
          <w:rFonts w:hint="default" w:ascii="Times New Roman" w:hAnsi="Times New Roman" w:eastAsia="方正仿宋_GBK" w:cs="Times New Roman"/>
          <w:b w:val="0"/>
          <w:kern w:val="2"/>
          <w:sz w:val="32"/>
          <w:szCs w:val="32"/>
          <w:lang w:val="en-US" w:eastAsia="zh-CN" w:bidi="ar-SA"/>
        </w:rPr>
        <w:t>”</w:t>
      </w:r>
      <w:r>
        <w:rPr>
          <w:rFonts w:hint="default" w:ascii="Times New Roman" w:hAnsi="Times New Roman" w:eastAsia="方正仿宋_GBK" w:cs="Times New Roman"/>
          <w:b w:val="0"/>
          <w:kern w:val="2"/>
          <w:sz w:val="32"/>
          <w:szCs w:val="32"/>
          <w:lang w:val="zh-CN" w:eastAsia="zh-CN" w:bidi="ar-SA"/>
        </w:rPr>
        <w:t>的原则，组织报告省级福彩公益金项目绩效自评</w:t>
      </w:r>
      <w:r>
        <w:rPr>
          <w:rFonts w:hint="default" w:ascii="Times New Roman" w:hAnsi="Times New Roman" w:eastAsia="方正仿宋_GBK" w:cs="Times New Roman"/>
          <w:b w:val="0"/>
          <w:kern w:val="2"/>
          <w:sz w:val="32"/>
          <w:szCs w:val="32"/>
          <w:lang w:val="en-US" w:eastAsia="zh-CN" w:bidi="ar-SA"/>
        </w:rPr>
        <w:t>。</w:t>
      </w:r>
    </w:p>
    <w:p w14:paraId="12F55A8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环保火化炉购置项目</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环保火化炉购置项目</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预算总额为200万元，</w:t>
      </w:r>
      <w:r>
        <w:rPr>
          <w:rFonts w:hint="default" w:ascii="Times New Roman" w:hAnsi="Times New Roman" w:eastAsia="方正仿宋_GBK" w:cs="Times New Roman"/>
          <w:sz w:val="32"/>
          <w:szCs w:val="32"/>
          <w:lang w:eastAsia="zh-CN"/>
        </w:rPr>
        <w:t>属</w:t>
      </w:r>
      <w:r>
        <w:rPr>
          <w:rFonts w:hint="default" w:ascii="Times New Roman" w:hAnsi="Times New Roman" w:eastAsia="方正仿宋_GBK" w:cs="Times New Roman"/>
          <w:sz w:val="32"/>
          <w:szCs w:val="32"/>
        </w:rPr>
        <w:t>中央福彩公益专项资金</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。所有资金已全额下达市殡葬服务中心。</w:t>
      </w:r>
    </w:p>
    <w:p w14:paraId="0625FE9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en-US" w:eastAsia="zh-CN" w:bidi="ar-SA"/>
        </w:rPr>
        <w:t>6</w:t>
      </w:r>
      <w:r>
        <w:rPr>
          <w:rFonts w:hint="default" w:ascii="Times New Roman" w:hAnsi="Times New Roman" w:eastAsia="方正仿宋_GBK" w:cs="Times New Roman"/>
          <w:sz w:val="32"/>
          <w:szCs w:val="32"/>
        </w:rPr>
        <w:t>“文明婚俗”提升行动项目</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预算总额为50万元，</w:t>
      </w:r>
      <w:r>
        <w:rPr>
          <w:rFonts w:hint="default" w:ascii="Times New Roman" w:hAnsi="Times New Roman" w:eastAsia="方正仿宋_GBK" w:cs="Times New Roman"/>
          <w:sz w:val="32"/>
          <w:szCs w:val="32"/>
          <w:lang w:eastAsia="zh-CN"/>
        </w:rPr>
        <w:t>属</w:t>
      </w:r>
      <w:r>
        <w:rPr>
          <w:rFonts w:hint="default" w:ascii="Times New Roman" w:hAnsi="Times New Roman" w:eastAsia="方正仿宋_GBK" w:cs="Times New Roman"/>
          <w:sz w:val="32"/>
          <w:szCs w:val="32"/>
        </w:rPr>
        <w:t>省级一般公共预算</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资金已全额下达西区民政局。</w:t>
      </w:r>
    </w:p>
    <w:p w14:paraId="59331BBF">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jc w:val="both"/>
        <w:textAlignment w:val="auto"/>
        <w:rPr>
          <w:rFonts w:hint="default" w:ascii="Times New Roman" w:hAnsi="Times New Roman" w:eastAsia="方正仿宋_GBK" w:cs="Times New Roman"/>
          <w:color w:val="auto"/>
          <w:kern w:val="0"/>
          <w:sz w:val="32"/>
          <w:szCs w:val="32"/>
          <w:highlight w:val="none"/>
          <w:u w:val="none"/>
          <w:shd w:val="clear" w:color="auto" w:fill="FFFFFF"/>
          <w:lang w:val="zh-CN" w:eastAsia="zh-CN"/>
        </w:rPr>
      </w:pPr>
      <w:r>
        <w:rPr>
          <w:rFonts w:hint="default" w:ascii="Times New Roman" w:hAnsi="Times New Roman" w:eastAsia="方正楷体_GBK" w:cs="Times New Roman"/>
          <w:b/>
          <w:color w:val="auto"/>
          <w:sz w:val="32"/>
          <w:szCs w:val="32"/>
          <w:highlight w:val="none"/>
          <w:u w:val="none"/>
          <w:lang w:val="zh-CN" w:eastAsia="zh-CN"/>
        </w:rPr>
        <w:t>（四）项目绩效目标设置。</w:t>
      </w:r>
    </w:p>
    <w:p w14:paraId="23F38B4D">
      <w:pPr>
        <w:keepNext w:val="0"/>
        <w:keepLines w:val="0"/>
        <w:pageBreakBefore w:val="0"/>
        <w:kinsoku/>
        <w:wordWrap/>
        <w:overflowPunct/>
        <w:topLinePunct w:val="0"/>
        <w:autoSpaceDE/>
        <w:bidi w:val="0"/>
        <w:spacing w:line="560" w:lineRule="exact"/>
        <w:ind w:left="0" w:leftChars="0" w:firstLine="572" w:firstLineChars="200"/>
        <w:jc w:val="both"/>
        <w:textAlignment w:val="auto"/>
        <w:rPr>
          <w:rFonts w:hint="default" w:ascii="Times New Roman" w:hAnsi="Times New Roman" w:eastAsia="方正仿宋_GBK" w:cs="Times New Roman"/>
          <w:spacing w:val="-16"/>
          <w:sz w:val="32"/>
          <w:szCs w:val="32"/>
          <w:lang w:eastAsia="zh-CN" w:bidi="ar-SA"/>
        </w:rPr>
      </w:pPr>
      <w:r>
        <w:rPr>
          <w:rFonts w:hint="default" w:ascii="Times New Roman" w:hAnsi="Times New Roman" w:eastAsia="方正仿宋_GBK" w:cs="Times New Roman"/>
          <w:bCs/>
          <w:spacing w:val="-17"/>
          <w:sz w:val="32"/>
          <w:szCs w:val="32"/>
          <w:lang w:val="en-US" w:eastAsia="zh-CN"/>
        </w:rPr>
        <w:t>1</w:t>
      </w:r>
      <w:r>
        <w:rPr>
          <w:rFonts w:hint="default" w:ascii="Times New Roman" w:hAnsi="Times New Roman" w:eastAsia="方正仿宋_GBK" w:cs="Times New Roman"/>
          <w:bCs/>
          <w:spacing w:val="-17"/>
          <w:sz w:val="32"/>
          <w:szCs w:val="32"/>
          <w:lang w:val="en" w:eastAsia="en"/>
        </w:rPr>
        <w:t>.</w:t>
      </w:r>
      <w:r>
        <w:rPr>
          <w:rFonts w:hint="default" w:ascii="Times New Roman" w:hAnsi="Times New Roman" w:eastAsia="方正仿宋_GBK" w:cs="Times New Roman"/>
          <w:spacing w:val="-16"/>
          <w:sz w:val="32"/>
          <w:szCs w:val="32"/>
          <w:lang w:bidi="ar-SA"/>
        </w:rPr>
        <w:t>福彩圆梦·孤儿助学工程</w:t>
      </w:r>
      <w:r>
        <w:rPr>
          <w:rFonts w:hint="default" w:ascii="Times New Roman" w:hAnsi="Times New Roman" w:eastAsia="方正仿宋_GBK" w:cs="Times New Roman"/>
          <w:spacing w:val="-16"/>
          <w:sz w:val="32"/>
          <w:szCs w:val="32"/>
          <w:lang w:eastAsia="zh-CN" w:bidi="ar-SA"/>
        </w:rPr>
        <w:t>。</w:t>
      </w:r>
    </w:p>
    <w:p w14:paraId="32E85CAE">
      <w:pPr>
        <w:keepNext w:val="0"/>
        <w:keepLines w:val="0"/>
        <w:pageBreakBefore w:val="0"/>
        <w:kinsoku/>
        <w:wordWrap/>
        <w:overflowPunct/>
        <w:topLinePunct w:val="0"/>
        <w:autoSpaceDE/>
        <w:bidi w:val="0"/>
        <w:spacing w:line="560" w:lineRule="exact"/>
        <w:ind w:left="0" w:leftChars="0" w:firstLine="584" w:firstLineChars="200"/>
        <w:jc w:val="both"/>
        <w:textAlignment w:val="auto"/>
        <w:rPr>
          <w:rFonts w:hint="default" w:ascii="Times New Roman" w:hAnsi="Times New Roman" w:eastAsia="方正仿宋_GBK" w:cs="Times New Roman"/>
          <w:bCs/>
          <w:spacing w:val="-14"/>
          <w:sz w:val="32"/>
          <w:szCs w:val="32"/>
          <w:lang w:val="en" w:eastAsia="en"/>
        </w:rPr>
      </w:pPr>
      <w:r>
        <w:rPr>
          <w:rFonts w:hint="default" w:ascii="Times New Roman" w:hAnsi="Times New Roman" w:eastAsia="方正仿宋_GBK" w:cs="Times New Roman"/>
          <w:spacing w:val="-14"/>
          <w:sz w:val="32"/>
          <w:szCs w:val="32"/>
          <w:lang w:bidi="ar-SA"/>
        </w:rPr>
        <w:t>（</w:t>
      </w:r>
      <w:r>
        <w:rPr>
          <w:rFonts w:hint="default" w:ascii="Times New Roman" w:hAnsi="Times New Roman" w:eastAsia="方正仿宋_GBK" w:cs="Times New Roman"/>
          <w:spacing w:val="-14"/>
          <w:sz w:val="32"/>
          <w:szCs w:val="32"/>
        </w:rPr>
        <w:t>1</w:t>
      </w:r>
      <w:r>
        <w:rPr>
          <w:rFonts w:hint="default" w:ascii="Times New Roman" w:hAnsi="Times New Roman" w:eastAsia="方正仿宋_GBK" w:cs="Times New Roman"/>
          <w:spacing w:val="-14"/>
          <w:sz w:val="32"/>
          <w:szCs w:val="32"/>
          <w:lang w:bidi="ar-SA"/>
        </w:rPr>
        <w:t>）数量指标</w:t>
      </w:r>
      <w:r>
        <w:rPr>
          <w:rFonts w:hint="default" w:ascii="Times New Roman" w:hAnsi="Times New Roman" w:eastAsia="方正仿宋_GBK" w:cs="Times New Roman"/>
          <w:spacing w:val="-14"/>
          <w:sz w:val="32"/>
          <w:szCs w:val="32"/>
          <w:lang w:eastAsia="zh-CN" w:bidi="ar-SA"/>
        </w:rPr>
        <w:t>。</w:t>
      </w:r>
      <w:r>
        <w:rPr>
          <w:rFonts w:hint="default" w:ascii="Times New Roman" w:hAnsi="Times New Roman" w:eastAsia="方正仿宋_GBK" w:cs="Times New Roman"/>
          <w:spacing w:val="-14"/>
          <w:sz w:val="32"/>
          <w:szCs w:val="32"/>
          <w:lang w:bidi="ar-SA"/>
        </w:rPr>
        <w:t>福彩圆梦·孤儿助学资助孤儿数≥</w:t>
      </w:r>
      <w:r>
        <w:rPr>
          <w:rFonts w:hint="default" w:ascii="Times New Roman" w:hAnsi="Times New Roman" w:eastAsia="方正仿宋_GBK" w:cs="Times New Roman"/>
          <w:bCs/>
          <w:spacing w:val="-14"/>
          <w:sz w:val="32"/>
          <w:szCs w:val="32"/>
          <w:lang w:val="en" w:eastAsia="en"/>
        </w:rPr>
        <w:t>40人</w:t>
      </w:r>
    </w:p>
    <w:p w14:paraId="39748F95">
      <w:pPr>
        <w:keepNext w:val="0"/>
        <w:keepLines w:val="0"/>
        <w:pageBreakBefore w:val="0"/>
        <w:kinsoku/>
        <w:wordWrap/>
        <w:overflowPunct/>
        <w:topLinePunct w:val="0"/>
        <w:autoSpaceDE/>
        <w:bidi w:val="0"/>
        <w:spacing w:line="560" w:lineRule="exact"/>
        <w:ind w:left="0" w:leftChars="0" w:firstLine="640" w:firstLineChars="200"/>
        <w:jc w:val="both"/>
        <w:textAlignment w:val="auto"/>
        <w:rPr>
          <w:rFonts w:hint="default" w:ascii="Times New Roman" w:hAnsi="Times New Roman" w:eastAsia="方正仿宋_GBK" w:cs="Times New Roman"/>
          <w:sz w:val="32"/>
          <w:szCs w:val="32"/>
          <w:lang w:val="en" w:eastAsia="en" w:bidi="ar-SA"/>
        </w:rPr>
      </w:pPr>
      <w:r>
        <w:rPr>
          <w:rFonts w:hint="default" w:ascii="Times New Roman" w:hAnsi="Times New Roman" w:eastAsia="方正仿宋_GBK" w:cs="Times New Roman"/>
          <w:bCs/>
          <w:sz w:val="32"/>
          <w:szCs w:val="32"/>
          <w:lang w:val="en" w:eastAsia="en"/>
        </w:rPr>
        <w:t>（</w:t>
      </w:r>
      <w:r>
        <w:rPr>
          <w:rFonts w:hint="default" w:ascii="Times New Roman" w:hAnsi="Times New Roman" w:eastAsia="方正仿宋_GBK" w:cs="Times New Roman"/>
          <w:sz w:val="32"/>
          <w:szCs w:val="32"/>
        </w:rPr>
        <w:t>2</w:t>
      </w:r>
      <w:r>
        <w:rPr>
          <w:rFonts w:hint="default" w:ascii="Times New Roman" w:hAnsi="Times New Roman" w:eastAsia="方正仿宋_GBK" w:cs="Times New Roman"/>
          <w:bCs/>
          <w:sz w:val="32"/>
          <w:szCs w:val="32"/>
          <w:lang w:val="en" w:eastAsia="en"/>
        </w:rPr>
        <w:t>）</w:t>
      </w:r>
      <w:r>
        <w:rPr>
          <w:rFonts w:hint="default" w:ascii="Times New Roman" w:hAnsi="Times New Roman" w:eastAsia="方正仿宋_GBK" w:cs="Times New Roman"/>
          <w:sz w:val="32"/>
          <w:szCs w:val="32"/>
          <w:lang w:val="en" w:eastAsia="en"/>
        </w:rPr>
        <w:t>效益指标</w:t>
      </w:r>
      <w:r>
        <w:rPr>
          <w:rFonts w:hint="default" w:ascii="Times New Roman" w:hAnsi="Times New Roman" w:eastAsia="方正仿宋_GBK" w:cs="Times New Roman"/>
          <w:sz w:val="32"/>
          <w:szCs w:val="32"/>
          <w:lang w:val="en" w:eastAsia="zh-CN"/>
        </w:rPr>
        <w:t>。</w:t>
      </w:r>
      <w:r>
        <w:rPr>
          <w:rFonts w:hint="default" w:ascii="Times New Roman" w:hAnsi="Times New Roman" w:eastAsia="方正仿宋_GBK" w:cs="Times New Roman"/>
          <w:sz w:val="32"/>
          <w:szCs w:val="32"/>
          <w:lang w:val="en" w:eastAsia="en" w:bidi="ar-SA"/>
        </w:rPr>
        <w:t>中央集中彩票公益金支持社会福利事业资金支持社会福利事业发展成效显著</w:t>
      </w:r>
    </w:p>
    <w:p w14:paraId="1C44BC3D">
      <w:pPr>
        <w:keepNext w:val="0"/>
        <w:keepLines w:val="0"/>
        <w:pageBreakBefore w:val="0"/>
        <w:kinsoku/>
        <w:wordWrap/>
        <w:overflowPunct/>
        <w:topLinePunct w:val="0"/>
        <w:autoSpaceDE/>
        <w:bidi w:val="0"/>
        <w:spacing w:line="560" w:lineRule="exact"/>
        <w:ind w:left="0" w:leftChars="0" w:firstLine="640" w:firstLineChars="200"/>
        <w:jc w:val="both"/>
        <w:textAlignment w:val="auto"/>
        <w:rPr>
          <w:rFonts w:hint="default" w:ascii="Times New Roman" w:hAnsi="Times New Roman" w:eastAsia="方正仿宋_GBK" w:cs="Times New Roman"/>
          <w:bCs/>
          <w:spacing w:val="-18"/>
          <w:sz w:val="32"/>
          <w:szCs w:val="32"/>
        </w:rPr>
      </w:pPr>
      <w:r>
        <w:rPr>
          <w:rFonts w:hint="default" w:ascii="Times New Roman" w:hAnsi="Times New Roman" w:eastAsia="方正仿宋_GBK" w:cs="Times New Roman"/>
          <w:bCs/>
          <w:sz w:val="32"/>
          <w:szCs w:val="32"/>
          <w:lang w:val="en" w:eastAsia="en"/>
        </w:rPr>
        <w:t>（</w:t>
      </w:r>
      <w:r>
        <w:rPr>
          <w:rFonts w:hint="default" w:ascii="Times New Roman" w:hAnsi="Times New Roman" w:eastAsia="方正仿宋_GBK" w:cs="Times New Roman"/>
          <w:sz w:val="32"/>
          <w:szCs w:val="32"/>
        </w:rPr>
        <w:t>3</w:t>
      </w:r>
      <w:r>
        <w:rPr>
          <w:rFonts w:hint="default" w:ascii="Times New Roman" w:hAnsi="Times New Roman" w:eastAsia="方正仿宋_GBK" w:cs="Times New Roman"/>
          <w:bCs/>
          <w:sz w:val="32"/>
          <w:szCs w:val="32"/>
          <w:lang w:val="en" w:eastAsia="en"/>
        </w:rPr>
        <w:t>）</w:t>
      </w:r>
      <w:r>
        <w:rPr>
          <w:rFonts w:hint="default" w:ascii="Times New Roman" w:hAnsi="Times New Roman" w:eastAsia="方正仿宋_GBK" w:cs="Times New Roman"/>
          <w:sz w:val="32"/>
          <w:szCs w:val="32"/>
          <w:lang w:val="en" w:eastAsia="en" w:bidi="ar-SA"/>
        </w:rPr>
        <w:t>满意度指标</w:t>
      </w:r>
      <w:r>
        <w:rPr>
          <w:rFonts w:hint="default" w:ascii="Times New Roman" w:hAnsi="Times New Roman" w:eastAsia="方正仿宋_GBK" w:cs="Times New Roman"/>
          <w:sz w:val="32"/>
          <w:szCs w:val="32"/>
          <w:lang w:val="en" w:eastAsia="zh-CN" w:bidi="ar-SA"/>
        </w:rPr>
        <w:t>。</w:t>
      </w:r>
      <w:r>
        <w:rPr>
          <w:rFonts w:hint="default" w:ascii="Times New Roman" w:hAnsi="Times New Roman" w:eastAsia="方正仿宋_GBK" w:cs="Times New Roman"/>
          <w:sz w:val="32"/>
          <w:szCs w:val="32"/>
          <w:lang w:val="en" w:eastAsia="en" w:bidi="ar-SA"/>
        </w:rPr>
        <w:t>接受资助和服务儿童满意度</w:t>
      </w:r>
      <w:r>
        <w:rPr>
          <w:rFonts w:hint="default" w:ascii="Times New Roman" w:hAnsi="Times New Roman" w:eastAsia="方正仿宋_GBK" w:cs="Times New Roman"/>
          <w:bCs/>
          <w:spacing w:val="-18"/>
          <w:sz w:val="32"/>
          <w:szCs w:val="32"/>
          <w:lang w:val="en-US" w:eastAsia="en" w:bidi="ar-SA"/>
        </w:rPr>
        <w:t>≥</w:t>
      </w:r>
      <w:r>
        <w:rPr>
          <w:rFonts w:hint="default" w:ascii="Times New Roman" w:hAnsi="Times New Roman" w:eastAsia="方正仿宋_GBK" w:cs="Times New Roman"/>
          <w:bCs/>
          <w:spacing w:val="-18"/>
          <w:sz w:val="32"/>
          <w:szCs w:val="32"/>
        </w:rPr>
        <w:t>90%。</w:t>
      </w:r>
    </w:p>
    <w:p w14:paraId="3BE9E561">
      <w:pPr>
        <w:keepNext w:val="0"/>
        <w:keepLines w:val="0"/>
        <w:pageBreakBefore w:val="0"/>
        <w:kinsoku/>
        <w:wordWrap/>
        <w:overflowPunct/>
        <w:topLinePunct w:val="0"/>
        <w:autoSpaceDE/>
        <w:bidi w:val="0"/>
        <w:spacing w:line="560" w:lineRule="exact"/>
        <w:ind w:left="0" w:leftChars="0" w:firstLine="572" w:firstLineChars="200"/>
        <w:jc w:val="both"/>
        <w:textAlignment w:val="auto"/>
        <w:rPr>
          <w:rFonts w:hint="default" w:ascii="Times New Roman" w:hAnsi="Times New Roman" w:eastAsia="方正仿宋_GBK" w:cs="Times New Roman"/>
          <w:spacing w:val="-16"/>
          <w:sz w:val="32"/>
          <w:szCs w:val="32"/>
          <w:lang w:eastAsia="zh-CN" w:bidi="ar-SA"/>
        </w:rPr>
      </w:pPr>
      <w:r>
        <w:rPr>
          <w:rFonts w:hint="default" w:ascii="Times New Roman" w:hAnsi="Times New Roman" w:eastAsia="方正仿宋_GBK" w:cs="Times New Roman"/>
          <w:bCs/>
          <w:spacing w:val="-17"/>
          <w:sz w:val="32"/>
          <w:szCs w:val="32"/>
          <w:lang w:val="en-US" w:eastAsia="zh-CN"/>
        </w:rPr>
        <w:t>2</w:t>
      </w:r>
      <w:r>
        <w:rPr>
          <w:rFonts w:hint="default" w:ascii="Times New Roman" w:hAnsi="Times New Roman" w:eastAsia="方正仿宋_GBK" w:cs="Times New Roman"/>
          <w:bCs/>
          <w:spacing w:val="-17"/>
          <w:sz w:val="32"/>
          <w:szCs w:val="32"/>
          <w:lang w:val="en" w:eastAsia="en"/>
        </w:rPr>
        <w:t>.</w:t>
      </w:r>
      <w:r>
        <w:rPr>
          <w:rFonts w:hint="default" w:ascii="Times New Roman" w:hAnsi="Times New Roman" w:eastAsia="方正仿宋_GBK" w:cs="Times New Roman"/>
          <w:bCs/>
          <w:spacing w:val="-17"/>
          <w:sz w:val="32"/>
          <w:szCs w:val="32"/>
          <w:lang w:val="en" w:eastAsia="en" w:bidi="ar-SA"/>
        </w:rPr>
        <w:t>孤儿医疗康复明天计划</w:t>
      </w:r>
      <w:r>
        <w:rPr>
          <w:rFonts w:hint="default" w:ascii="Times New Roman" w:hAnsi="Times New Roman" w:eastAsia="方正仿宋_GBK" w:cs="Times New Roman"/>
          <w:bCs/>
          <w:spacing w:val="-17"/>
          <w:sz w:val="32"/>
          <w:szCs w:val="32"/>
          <w:lang w:val="en" w:eastAsia="zh-CN" w:bidi="ar-SA"/>
        </w:rPr>
        <w:t>。</w:t>
      </w:r>
    </w:p>
    <w:p w14:paraId="2FE52D46">
      <w:pPr>
        <w:keepNext w:val="0"/>
        <w:keepLines w:val="0"/>
        <w:pageBreakBefore w:val="0"/>
        <w:kinsoku/>
        <w:wordWrap/>
        <w:overflowPunct/>
        <w:topLinePunct w:val="0"/>
        <w:autoSpaceDE/>
        <w:bidi w:val="0"/>
        <w:spacing w:line="560" w:lineRule="exact"/>
        <w:ind w:left="0" w:leftChars="0" w:firstLine="584" w:firstLineChars="200"/>
        <w:jc w:val="both"/>
        <w:textAlignment w:val="auto"/>
        <w:rPr>
          <w:rFonts w:hint="default" w:ascii="Times New Roman" w:hAnsi="Times New Roman" w:eastAsia="方正仿宋_GBK" w:cs="Times New Roman"/>
          <w:bCs/>
          <w:spacing w:val="-14"/>
          <w:sz w:val="32"/>
          <w:szCs w:val="32"/>
          <w:lang w:val="en" w:eastAsia="en" w:bidi="ar-SA"/>
        </w:rPr>
      </w:pPr>
      <w:r>
        <w:rPr>
          <w:rFonts w:hint="default" w:ascii="Times New Roman" w:hAnsi="Times New Roman" w:eastAsia="方正仿宋_GBK" w:cs="Times New Roman"/>
          <w:spacing w:val="-14"/>
          <w:sz w:val="32"/>
          <w:szCs w:val="32"/>
          <w:lang w:bidi="ar-SA"/>
        </w:rPr>
        <w:t>（</w:t>
      </w:r>
      <w:r>
        <w:rPr>
          <w:rFonts w:hint="default" w:ascii="Times New Roman" w:hAnsi="Times New Roman" w:eastAsia="方正仿宋_GBK" w:cs="Times New Roman"/>
          <w:spacing w:val="-14"/>
          <w:sz w:val="32"/>
          <w:szCs w:val="32"/>
        </w:rPr>
        <w:t>1</w:t>
      </w:r>
      <w:r>
        <w:rPr>
          <w:rFonts w:hint="default" w:ascii="Times New Roman" w:hAnsi="Times New Roman" w:eastAsia="方正仿宋_GBK" w:cs="Times New Roman"/>
          <w:spacing w:val="-14"/>
          <w:sz w:val="32"/>
          <w:szCs w:val="32"/>
          <w:lang w:bidi="ar-SA"/>
        </w:rPr>
        <w:t>）数量指标</w:t>
      </w:r>
      <w:r>
        <w:rPr>
          <w:rFonts w:hint="default" w:ascii="Times New Roman" w:hAnsi="Times New Roman" w:eastAsia="方正仿宋_GBK" w:cs="Times New Roman"/>
          <w:spacing w:val="-14"/>
          <w:sz w:val="32"/>
          <w:szCs w:val="32"/>
          <w:lang w:eastAsia="zh-CN" w:bidi="ar-SA"/>
        </w:rPr>
        <w:t>。</w:t>
      </w:r>
      <w:r>
        <w:rPr>
          <w:rFonts w:hint="default" w:ascii="Times New Roman" w:hAnsi="Times New Roman" w:eastAsia="方正仿宋_GBK" w:cs="Times New Roman"/>
          <w:bCs/>
          <w:spacing w:val="-17"/>
          <w:sz w:val="32"/>
          <w:szCs w:val="32"/>
          <w:lang w:val="en" w:eastAsia="en" w:bidi="ar-SA"/>
        </w:rPr>
        <w:t>孤儿医疗康复明天计划</w:t>
      </w:r>
      <w:r>
        <w:rPr>
          <w:rFonts w:hint="default" w:ascii="Times New Roman" w:hAnsi="Times New Roman" w:eastAsia="方正仿宋_GBK" w:cs="Times New Roman"/>
          <w:spacing w:val="-14"/>
          <w:sz w:val="32"/>
          <w:szCs w:val="32"/>
          <w:lang w:bidi="ar-SA"/>
        </w:rPr>
        <w:t>资助孤儿数≥</w:t>
      </w:r>
      <w:r>
        <w:rPr>
          <w:rFonts w:hint="default" w:ascii="Times New Roman" w:hAnsi="Times New Roman" w:eastAsia="方正仿宋_GBK" w:cs="Times New Roman"/>
          <w:bCs/>
          <w:spacing w:val="-14"/>
          <w:sz w:val="32"/>
          <w:szCs w:val="32"/>
          <w:lang w:val="en" w:eastAsia="en"/>
        </w:rPr>
        <w:t>50</w:t>
      </w:r>
      <w:r>
        <w:rPr>
          <w:rFonts w:hint="default" w:ascii="Times New Roman" w:hAnsi="Times New Roman" w:eastAsia="方正仿宋_GBK" w:cs="Times New Roman"/>
          <w:bCs/>
          <w:spacing w:val="-14"/>
          <w:sz w:val="32"/>
          <w:szCs w:val="32"/>
          <w:lang w:val="en" w:eastAsia="en" w:bidi="ar-SA"/>
        </w:rPr>
        <w:t>人。</w:t>
      </w:r>
    </w:p>
    <w:p w14:paraId="5F3F1000">
      <w:pPr>
        <w:keepNext w:val="0"/>
        <w:keepLines w:val="0"/>
        <w:pageBreakBefore w:val="0"/>
        <w:kinsoku/>
        <w:wordWrap/>
        <w:overflowPunct/>
        <w:topLinePunct w:val="0"/>
        <w:autoSpaceDE/>
        <w:bidi w:val="0"/>
        <w:spacing w:line="560" w:lineRule="exact"/>
        <w:ind w:left="0" w:leftChars="0" w:firstLine="584" w:firstLineChars="200"/>
        <w:jc w:val="both"/>
        <w:textAlignment w:val="auto"/>
        <w:rPr>
          <w:rFonts w:hint="default" w:ascii="Times New Roman" w:hAnsi="Times New Roman" w:eastAsia="方正仿宋_GBK" w:cs="Times New Roman"/>
          <w:sz w:val="32"/>
          <w:szCs w:val="32"/>
          <w:lang w:val="en" w:eastAsia="en" w:bidi="ar-SA"/>
        </w:rPr>
      </w:pPr>
      <w:r>
        <w:rPr>
          <w:rFonts w:hint="default" w:ascii="Times New Roman" w:hAnsi="Times New Roman" w:eastAsia="方正仿宋_GBK" w:cs="Times New Roman"/>
          <w:spacing w:val="-14"/>
          <w:sz w:val="32"/>
          <w:szCs w:val="32"/>
        </w:rPr>
        <w:t>（2）</w:t>
      </w:r>
      <w:r>
        <w:rPr>
          <w:rFonts w:hint="default" w:ascii="Times New Roman" w:hAnsi="Times New Roman" w:eastAsia="方正仿宋_GBK" w:cs="Times New Roman"/>
          <w:sz w:val="32"/>
          <w:szCs w:val="32"/>
          <w:lang w:val="en" w:eastAsia="en" w:bidi="ar-SA"/>
        </w:rPr>
        <w:t>效益指标</w:t>
      </w:r>
      <w:r>
        <w:rPr>
          <w:rFonts w:hint="default" w:ascii="Times New Roman" w:hAnsi="Times New Roman" w:eastAsia="方正仿宋_GBK" w:cs="Times New Roman"/>
          <w:sz w:val="32"/>
          <w:szCs w:val="32"/>
          <w:lang w:val="en" w:eastAsia="zh-CN" w:bidi="ar-SA"/>
        </w:rPr>
        <w:t>。</w:t>
      </w:r>
      <w:r>
        <w:rPr>
          <w:rFonts w:hint="default" w:ascii="Times New Roman" w:hAnsi="Times New Roman" w:eastAsia="方正仿宋_GBK" w:cs="Times New Roman"/>
          <w:sz w:val="32"/>
          <w:szCs w:val="32"/>
          <w:lang w:val="en" w:eastAsia="en" w:bidi="ar-SA"/>
        </w:rPr>
        <w:t>中央集中彩票公益金支持社会福利事业资金支持社会福利事业发展成效显著。</w:t>
      </w:r>
    </w:p>
    <w:p w14:paraId="22C0A893">
      <w:pPr>
        <w:keepNext w:val="0"/>
        <w:keepLines w:val="0"/>
        <w:pageBreakBefore w:val="0"/>
        <w:kinsoku/>
        <w:wordWrap/>
        <w:overflowPunct/>
        <w:topLinePunct w:val="0"/>
        <w:autoSpaceDE/>
        <w:bidi w:val="0"/>
        <w:spacing w:line="560" w:lineRule="exact"/>
        <w:ind w:left="0" w:leftChars="0" w:firstLine="640" w:firstLineChars="200"/>
        <w:jc w:val="both"/>
        <w:textAlignment w:val="auto"/>
        <w:rPr>
          <w:rFonts w:hint="default" w:ascii="Times New Roman" w:hAnsi="Times New Roman" w:eastAsia="方正仿宋_GBK" w:cs="Times New Roman"/>
          <w:bCs/>
          <w:spacing w:val="-18"/>
          <w:sz w:val="32"/>
          <w:szCs w:val="32"/>
        </w:rPr>
      </w:pPr>
      <w:r>
        <w:rPr>
          <w:rFonts w:hint="default" w:ascii="Times New Roman" w:hAnsi="Times New Roman" w:eastAsia="方正仿宋_GBK" w:cs="Times New Roman"/>
          <w:sz w:val="32"/>
          <w:szCs w:val="32"/>
          <w:lang w:val="en" w:eastAsia="en"/>
        </w:rPr>
        <w:t>（</w:t>
      </w:r>
      <w:r>
        <w:rPr>
          <w:rFonts w:hint="default" w:ascii="Times New Roman" w:hAnsi="Times New Roman" w:eastAsia="方正仿宋_GBK" w:cs="Times New Roman"/>
          <w:spacing w:val="-14"/>
          <w:sz w:val="32"/>
          <w:szCs w:val="32"/>
        </w:rPr>
        <w:t>3</w:t>
      </w:r>
      <w:r>
        <w:rPr>
          <w:rFonts w:hint="default" w:ascii="Times New Roman" w:hAnsi="Times New Roman" w:eastAsia="方正仿宋_GBK" w:cs="Times New Roman"/>
          <w:sz w:val="32"/>
          <w:szCs w:val="32"/>
          <w:lang w:val="en" w:eastAsia="en"/>
        </w:rPr>
        <w:t>）满意度指标</w:t>
      </w:r>
      <w:r>
        <w:rPr>
          <w:rFonts w:hint="default" w:ascii="Times New Roman" w:hAnsi="Times New Roman" w:eastAsia="方正仿宋_GBK" w:cs="Times New Roman"/>
          <w:sz w:val="32"/>
          <w:szCs w:val="32"/>
          <w:lang w:val="en" w:eastAsia="zh-CN"/>
        </w:rPr>
        <w:t>。</w:t>
      </w:r>
      <w:r>
        <w:rPr>
          <w:rFonts w:hint="default" w:ascii="Times New Roman" w:hAnsi="Times New Roman" w:eastAsia="方正仿宋_GBK" w:cs="Times New Roman"/>
          <w:sz w:val="32"/>
          <w:szCs w:val="32"/>
          <w:lang w:val="en" w:eastAsia="en" w:bidi="ar-SA"/>
        </w:rPr>
        <w:t>接受资助和服务儿童满意度</w:t>
      </w:r>
      <w:r>
        <w:rPr>
          <w:rFonts w:hint="default" w:ascii="Times New Roman" w:hAnsi="Times New Roman" w:eastAsia="方正仿宋_GBK" w:cs="Times New Roman"/>
          <w:bCs/>
          <w:spacing w:val="-18"/>
          <w:sz w:val="32"/>
          <w:szCs w:val="32"/>
          <w:lang w:val="en-US" w:eastAsia="en" w:bidi="ar-SA"/>
        </w:rPr>
        <w:t>≥</w:t>
      </w:r>
      <w:r>
        <w:rPr>
          <w:rFonts w:hint="default" w:ascii="Times New Roman" w:hAnsi="Times New Roman" w:eastAsia="方正仿宋_GBK" w:cs="Times New Roman"/>
          <w:bCs/>
          <w:spacing w:val="-18"/>
          <w:sz w:val="32"/>
          <w:szCs w:val="32"/>
        </w:rPr>
        <w:t>90%。</w:t>
      </w:r>
    </w:p>
    <w:p w14:paraId="4ECA7A03">
      <w:pPr>
        <w:keepNext w:val="0"/>
        <w:keepLines w:val="0"/>
        <w:pageBreakBefore w:val="0"/>
        <w:kinsoku/>
        <w:wordWrap/>
        <w:overflowPunct/>
        <w:topLinePunct w:val="0"/>
        <w:autoSpaceDE/>
        <w:bidi w:val="0"/>
        <w:spacing w:line="560" w:lineRule="exact"/>
        <w:ind w:left="0" w:leftChars="0" w:firstLine="572" w:firstLineChars="200"/>
        <w:jc w:val="both"/>
        <w:textAlignment w:val="auto"/>
        <w:rPr>
          <w:rFonts w:hint="default" w:ascii="Times New Roman" w:hAnsi="Times New Roman" w:eastAsia="方正仿宋_GBK" w:cs="Times New Roman"/>
          <w:spacing w:val="-16"/>
          <w:sz w:val="32"/>
          <w:szCs w:val="32"/>
          <w:lang w:eastAsia="zh-CN" w:bidi="ar-SA"/>
        </w:rPr>
      </w:pPr>
      <w:r>
        <w:rPr>
          <w:rFonts w:hint="default" w:ascii="Times New Roman" w:hAnsi="Times New Roman" w:eastAsia="方正仿宋_GBK" w:cs="Times New Roman"/>
          <w:bCs/>
          <w:spacing w:val="-17"/>
          <w:sz w:val="32"/>
          <w:szCs w:val="32"/>
          <w:lang w:val="en-US" w:eastAsia="zh-CN"/>
        </w:rPr>
        <w:t>3</w:t>
      </w:r>
      <w:r>
        <w:rPr>
          <w:rFonts w:hint="default" w:ascii="Times New Roman" w:hAnsi="Times New Roman" w:eastAsia="方正仿宋_GBK" w:cs="Times New Roman"/>
          <w:bCs/>
          <w:spacing w:val="-17"/>
          <w:sz w:val="32"/>
          <w:szCs w:val="32"/>
          <w:lang w:val="en" w:eastAsia="en"/>
        </w:rPr>
        <w:t>.</w:t>
      </w:r>
      <w:r>
        <w:rPr>
          <w:rFonts w:hint="default" w:ascii="Times New Roman" w:hAnsi="Times New Roman" w:eastAsia="方正仿宋_GBK" w:cs="Times New Roman"/>
          <w:bCs/>
          <w:spacing w:val="-17"/>
          <w:sz w:val="32"/>
          <w:szCs w:val="32"/>
          <w:lang w:val="en" w:eastAsia="en" w:bidi="ar-SA"/>
        </w:rPr>
        <w:t>事实无人抚养儿童年满</w:t>
      </w:r>
      <w:r>
        <w:rPr>
          <w:rFonts w:hint="default" w:ascii="Times New Roman" w:hAnsi="Times New Roman" w:eastAsia="方正仿宋_GBK" w:cs="Times New Roman"/>
          <w:bCs/>
          <w:spacing w:val="-17"/>
          <w:sz w:val="32"/>
          <w:szCs w:val="32"/>
          <w:lang w:val="en" w:eastAsia="en"/>
        </w:rPr>
        <w:t>18</w:t>
      </w:r>
      <w:r>
        <w:rPr>
          <w:rFonts w:hint="default" w:ascii="Times New Roman" w:hAnsi="Times New Roman" w:eastAsia="方正仿宋_GBK" w:cs="Times New Roman"/>
          <w:bCs/>
          <w:spacing w:val="-17"/>
          <w:sz w:val="32"/>
          <w:szCs w:val="32"/>
          <w:lang w:val="en" w:eastAsia="en" w:bidi="ar-SA"/>
        </w:rPr>
        <w:t>周岁后助学</w:t>
      </w:r>
      <w:r>
        <w:rPr>
          <w:rFonts w:hint="default" w:ascii="Times New Roman" w:hAnsi="Times New Roman" w:eastAsia="方正仿宋_GBK" w:cs="Times New Roman"/>
          <w:bCs/>
          <w:spacing w:val="-17"/>
          <w:sz w:val="32"/>
          <w:szCs w:val="32"/>
          <w:lang w:val="en" w:eastAsia="zh-CN" w:bidi="ar-SA"/>
        </w:rPr>
        <w:t>。</w:t>
      </w:r>
    </w:p>
    <w:p w14:paraId="3C8B575B">
      <w:pPr>
        <w:keepNext w:val="0"/>
        <w:keepLines w:val="0"/>
        <w:pageBreakBefore w:val="0"/>
        <w:kinsoku/>
        <w:wordWrap/>
        <w:overflowPunct/>
        <w:topLinePunct w:val="0"/>
        <w:autoSpaceDE/>
        <w:bidi w:val="0"/>
        <w:spacing w:line="560" w:lineRule="exact"/>
        <w:ind w:left="0" w:leftChars="0" w:firstLine="584" w:firstLineChars="200"/>
        <w:jc w:val="both"/>
        <w:textAlignment w:val="auto"/>
        <w:rPr>
          <w:rFonts w:hint="default" w:ascii="Times New Roman" w:hAnsi="Times New Roman" w:eastAsia="方正仿宋_GBK" w:cs="Times New Roman"/>
          <w:spacing w:val="-16"/>
          <w:sz w:val="32"/>
          <w:szCs w:val="32"/>
          <w:lang w:bidi="ar-SA"/>
        </w:rPr>
      </w:pPr>
      <w:r>
        <w:rPr>
          <w:rFonts w:hint="default" w:ascii="Times New Roman" w:hAnsi="Times New Roman" w:eastAsia="方正仿宋_GBK" w:cs="Times New Roman"/>
          <w:spacing w:val="-14"/>
          <w:sz w:val="32"/>
          <w:szCs w:val="32"/>
          <w:lang w:bidi="ar-SA"/>
        </w:rPr>
        <w:t>（</w:t>
      </w:r>
      <w:r>
        <w:rPr>
          <w:rFonts w:hint="default" w:ascii="Times New Roman" w:hAnsi="Times New Roman" w:eastAsia="方正仿宋_GBK" w:cs="Times New Roman"/>
          <w:spacing w:val="-14"/>
          <w:sz w:val="32"/>
          <w:szCs w:val="32"/>
        </w:rPr>
        <w:t>1</w:t>
      </w:r>
      <w:r>
        <w:rPr>
          <w:rFonts w:hint="default" w:ascii="Times New Roman" w:hAnsi="Times New Roman" w:eastAsia="方正仿宋_GBK" w:cs="Times New Roman"/>
          <w:spacing w:val="-14"/>
          <w:sz w:val="32"/>
          <w:szCs w:val="32"/>
          <w:lang w:bidi="ar-SA"/>
        </w:rPr>
        <w:t>）数量指标</w:t>
      </w:r>
      <w:r>
        <w:rPr>
          <w:rFonts w:hint="default" w:ascii="Times New Roman" w:hAnsi="Times New Roman" w:eastAsia="方正仿宋_GBK" w:cs="Times New Roman"/>
          <w:spacing w:val="-14"/>
          <w:sz w:val="32"/>
          <w:szCs w:val="32"/>
          <w:lang w:eastAsia="zh-CN" w:bidi="ar-SA"/>
        </w:rPr>
        <w:t>。</w:t>
      </w:r>
      <w:r>
        <w:rPr>
          <w:rFonts w:hint="default" w:ascii="Times New Roman" w:hAnsi="Times New Roman" w:eastAsia="方正仿宋_GBK" w:cs="Times New Roman"/>
          <w:bCs/>
          <w:spacing w:val="-17"/>
          <w:sz w:val="32"/>
          <w:szCs w:val="32"/>
          <w:lang w:val="en" w:eastAsia="en" w:bidi="ar-SA"/>
        </w:rPr>
        <w:t>事实无人抚养儿童年满</w:t>
      </w:r>
      <w:r>
        <w:rPr>
          <w:rFonts w:hint="default" w:ascii="Times New Roman" w:hAnsi="Times New Roman" w:eastAsia="方正仿宋_GBK" w:cs="Times New Roman"/>
          <w:bCs/>
          <w:spacing w:val="-17"/>
          <w:sz w:val="32"/>
          <w:szCs w:val="32"/>
          <w:lang w:val="en" w:eastAsia="en"/>
        </w:rPr>
        <w:t>1</w:t>
      </w:r>
      <w:r>
        <w:rPr>
          <w:rFonts w:hint="default" w:ascii="Times New Roman" w:hAnsi="Times New Roman" w:eastAsia="方正仿宋_GBK" w:cs="Times New Roman"/>
          <w:bCs/>
          <w:spacing w:val="-17"/>
          <w:sz w:val="32"/>
          <w:szCs w:val="32"/>
        </w:rPr>
        <w:t>8</w:t>
      </w:r>
      <w:r>
        <w:rPr>
          <w:rFonts w:hint="default" w:ascii="Times New Roman" w:hAnsi="Times New Roman" w:eastAsia="方正仿宋_GBK" w:cs="Times New Roman"/>
          <w:bCs/>
          <w:spacing w:val="-17"/>
          <w:sz w:val="32"/>
          <w:szCs w:val="32"/>
          <w:lang w:val="en" w:eastAsia="en" w:bidi="ar-SA"/>
        </w:rPr>
        <w:t>周岁后助学</w:t>
      </w:r>
      <w:r>
        <w:rPr>
          <w:rFonts w:hint="default" w:ascii="Times New Roman" w:hAnsi="Times New Roman" w:eastAsia="方正仿宋_GBK" w:cs="Times New Roman"/>
          <w:spacing w:val="-14"/>
          <w:sz w:val="32"/>
          <w:szCs w:val="32"/>
          <w:lang w:bidi="ar-SA"/>
        </w:rPr>
        <w:t>资助人数≥</w:t>
      </w:r>
      <w:r>
        <w:rPr>
          <w:rFonts w:hint="default" w:ascii="Times New Roman" w:hAnsi="Times New Roman" w:eastAsia="方正仿宋_GBK" w:cs="Times New Roman"/>
          <w:bCs/>
          <w:spacing w:val="-14"/>
          <w:sz w:val="32"/>
          <w:szCs w:val="32"/>
          <w:lang w:val="en" w:eastAsia="en"/>
        </w:rPr>
        <w:t>24</w:t>
      </w:r>
      <w:r>
        <w:rPr>
          <w:rFonts w:hint="default" w:ascii="Times New Roman" w:hAnsi="Times New Roman" w:eastAsia="方正仿宋_GBK" w:cs="Times New Roman"/>
          <w:bCs/>
          <w:spacing w:val="-14"/>
          <w:sz w:val="32"/>
          <w:szCs w:val="32"/>
          <w:lang w:val="en" w:eastAsia="en" w:bidi="ar-SA"/>
        </w:rPr>
        <w:t>人</w:t>
      </w:r>
      <w:r>
        <w:rPr>
          <w:rFonts w:hint="default" w:ascii="Times New Roman" w:hAnsi="Times New Roman" w:eastAsia="方正仿宋_GBK" w:cs="Times New Roman"/>
          <w:bCs/>
          <w:spacing w:val="-14"/>
          <w:sz w:val="32"/>
          <w:szCs w:val="32"/>
          <w:lang w:val="en" w:eastAsia="en"/>
        </w:rPr>
        <w:t>。</w:t>
      </w:r>
    </w:p>
    <w:p w14:paraId="76FFD0B3">
      <w:pPr>
        <w:keepNext w:val="0"/>
        <w:keepLines w:val="0"/>
        <w:pageBreakBefore w:val="0"/>
        <w:numPr>
          <w:ilvl w:val="0"/>
          <w:numId w:val="0"/>
        </w:numPr>
        <w:kinsoku/>
        <w:wordWrap/>
        <w:overflowPunct/>
        <w:topLinePunct w:val="0"/>
        <w:autoSpaceDE/>
        <w:bidi w:val="0"/>
        <w:spacing w:line="560" w:lineRule="exact"/>
        <w:ind w:left="0" w:leftChars="0" w:firstLine="584" w:firstLineChars="200"/>
        <w:jc w:val="both"/>
        <w:textAlignment w:val="auto"/>
        <w:rPr>
          <w:rFonts w:hint="default" w:ascii="Times New Roman" w:hAnsi="Times New Roman" w:eastAsia="方正仿宋_GBK" w:cs="Times New Roman"/>
          <w:sz w:val="32"/>
          <w:szCs w:val="32"/>
          <w:lang w:val="en" w:eastAsia="en" w:bidi="ar-SA"/>
        </w:rPr>
      </w:pPr>
      <w:r>
        <w:rPr>
          <w:rFonts w:hint="default" w:ascii="Times New Roman" w:hAnsi="Times New Roman" w:eastAsia="方正仿宋_GBK" w:cs="Times New Roman"/>
          <w:spacing w:val="-14"/>
          <w:sz w:val="32"/>
          <w:szCs w:val="32"/>
        </w:rPr>
        <w:t>（2）</w:t>
      </w:r>
      <w:r>
        <w:rPr>
          <w:rFonts w:hint="default" w:ascii="Times New Roman" w:hAnsi="Times New Roman" w:eastAsia="方正仿宋_GBK" w:cs="Times New Roman"/>
          <w:sz w:val="32"/>
          <w:szCs w:val="32"/>
          <w:lang w:val="en" w:eastAsia="en"/>
        </w:rPr>
        <w:t>效益指标</w:t>
      </w:r>
      <w:r>
        <w:rPr>
          <w:rFonts w:hint="default" w:ascii="Times New Roman" w:hAnsi="Times New Roman" w:eastAsia="方正仿宋_GBK" w:cs="Times New Roman"/>
          <w:sz w:val="32"/>
          <w:szCs w:val="32"/>
          <w:lang w:val="en" w:eastAsia="zh-CN"/>
        </w:rPr>
        <w:t>。</w:t>
      </w:r>
      <w:r>
        <w:rPr>
          <w:rFonts w:hint="default" w:ascii="Times New Roman" w:hAnsi="Times New Roman" w:eastAsia="方正仿宋_GBK" w:cs="Times New Roman"/>
          <w:sz w:val="32"/>
          <w:szCs w:val="32"/>
          <w:lang w:val="en" w:eastAsia="en" w:bidi="ar-SA"/>
        </w:rPr>
        <w:t>中央集中彩票公益金支持社会福利事业资金支持社会福利事业发展成效显著。</w:t>
      </w:r>
    </w:p>
    <w:p w14:paraId="4DDEF32B">
      <w:pPr>
        <w:keepNext w:val="0"/>
        <w:keepLines w:val="0"/>
        <w:pageBreakBefore w:val="0"/>
        <w:numPr>
          <w:ilvl w:val="0"/>
          <w:numId w:val="0"/>
        </w:numPr>
        <w:kinsoku/>
        <w:wordWrap/>
        <w:overflowPunct/>
        <w:topLinePunct w:val="0"/>
        <w:autoSpaceDE/>
        <w:bidi w:val="0"/>
        <w:spacing w:line="560" w:lineRule="exact"/>
        <w:ind w:left="0" w:leftChars="0" w:firstLine="640" w:firstLineChars="200"/>
        <w:jc w:val="both"/>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sz w:val="32"/>
          <w:szCs w:val="32"/>
          <w:lang w:val="en" w:eastAsia="en"/>
        </w:rPr>
        <w:t>（</w:t>
      </w:r>
      <w:r>
        <w:rPr>
          <w:rFonts w:hint="default" w:ascii="Times New Roman" w:hAnsi="Times New Roman" w:eastAsia="方正仿宋_GBK" w:cs="Times New Roman"/>
          <w:spacing w:val="-14"/>
          <w:sz w:val="32"/>
          <w:szCs w:val="32"/>
        </w:rPr>
        <w:t>3</w:t>
      </w:r>
      <w:r>
        <w:rPr>
          <w:rFonts w:hint="default" w:ascii="Times New Roman" w:hAnsi="Times New Roman" w:eastAsia="方正仿宋_GBK" w:cs="Times New Roman"/>
          <w:sz w:val="32"/>
          <w:szCs w:val="32"/>
          <w:lang w:val="en" w:eastAsia="en"/>
        </w:rPr>
        <w:t>）满意度指标</w:t>
      </w:r>
      <w:r>
        <w:rPr>
          <w:rFonts w:hint="default" w:ascii="Times New Roman" w:hAnsi="Times New Roman" w:eastAsia="方正仿宋_GBK" w:cs="Times New Roman"/>
          <w:sz w:val="32"/>
          <w:szCs w:val="32"/>
          <w:lang w:val="en" w:eastAsia="zh-CN"/>
        </w:rPr>
        <w:t>。</w:t>
      </w:r>
      <w:r>
        <w:rPr>
          <w:rFonts w:hint="default" w:ascii="Times New Roman" w:hAnsi="Times New Roman" w:eastAsia="方正仿宋_GBK" w:cs="Times New Roman"/>
          <w:sz w:val="32"/>
          <w:szCs w:val="32"/>
          <w:lang w:val="en" w:eastAsia="en"/>
        </w:rPr>
        <w:t>接</w:t>
      </w:r>
      <w:r>
        <w:rPr>
          <w:rFonts w:hint="default" w:ascii="Times New Roman" w:hAnsi="Times New Roman" w:eastAsia="方正仿宋_GBK" w:cs="Times New Roman"/>
          <w:sz w:val="32"/>
          <w:szCs w:val="32"/>
          <w:lang w:val="en" w:eastAsia="en" w:bidi="ar-SA"/>
        </w:rPr>
        <w:t>受资助和服务儿童满意度</w:t>
      </w:r>
      <w:r>
        <w:rPr>
          <w:rFonts w:hint="default" w:ascii="Times New Roman" w:hAnsi="Times New Roman" w:eastAsia="方正仿宋_GBK" w:cs="Times New Roman"/>
          <w:bCs/>
          <w:spacing w:val="-18"/>
          <w:sz w:val="32"/>
          <w:szCs w:val="32"/>
          <w:lang w:val="en-US" w:eastAsia="en" w:bidi="ar-SA"/>
        </w:rPr>
        <w:t>≥</w:t>
      </w:r>
      <w:r>
        <w:rPr>
          <w:rFonts w:hint="default" w:ascii="Times New Roman" w:hAnsi="Times New Roman" w:eastAsia="方正仿宋_GBK" w:cs="Times New Roman"/>
          <w:bCs/>
          <w:spacing w:val="-18"/>
          <w:sz w:val="32"/>
          <w:szCs w:val="32"/>
        </w:rPr>
        <w:t>90%。</w:t>
      </w:r>
    </w:p>
    <w:p w14:paraId="7190E4F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bCs/>
          <w:sz w:val="32"/>
          <w:szCs w:val="32"/>
          <w:lang w:val="en" w:eastAsia="zh-CN" w:bidi="ar-SA"/>
        </w:rPr>
      </w:pPr>
      <w:r>
        <w:rPr>
          <w:rFonts w:hint="default" w:ascii="Times New Roman" w:hAnsi="Times New Roman" w:eastAsia="方正仿宋_GBK" w:cs="Times New Roman"/>
          <w:bCs/>
          <w:sz w:val="32"/>
          <w:szCs w:val="32"/>
          <w:lang w:val="en-US" w:eastAsia="zh-CN"/>
        </w:rPr>
        <w:t>4</w:t>
      </w:r>
      <w:r>
        <w:rPr>
          <w:rFonts w:hint="default" w:ascii="Times New Roman" w:hAnsi="Times New Roman" w:eastAsia="方正仿宋_GBK" w:cs="Times New Roman"/>
          <w:bCs/>
          <w:sz w:val="32"/>
          <w:szCs w:val="32"/>
        </w:rPr>
        <w:t>.</w:t>
      </w:r>
      <w:r>
        <w:rPr>
          <w:rFonts w:hint="default" w:ascii="Times New Roman" w:hAnsi="Times New Roman" w:eastAsia="方正仿宋_GBK" w:cs="Times New Roman"/>
          <w:bCs/>
          <w:sz w:val="32"/>
          <w:szCs w:val="32"/>
          <w:lang w:val="en" w:eastAsia="en" w:bidi="ar-SA"/>
        </w:rPr>
        <w:t>精神障碍社区康复服务</w:t>
      </w:r>
      <w:r>
        <w:rPr>
          <w:rFonts w:hint="default" w:ascii="Times New Roman" w:hAnsi="Times New Roman" w:eastAsia="方正仿宋_GBK" w:cs="Times New Roman"/>
          <w:bCs/>
          <w:sz w:val="32"/>
          <w:szCs w:val="32"/>
          <w:lang w:val="en" w:eastAsia="zh-CN" w:bidi="ar-SA"/>
        </w:rPr>
        <w:t>。</w:t>
      </w:r>
    </w:p>
    <w:p w14:paraId="68D6090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bCs/>
          <w:spacing w:val="-17"/>
          <w:sz w:val="32"/>
          <w:szCs w:val="32"/>
          <w:lang w:val="en" w:eastAsia="en"/>
        </w:rPr>
      </w:pPr>
      <w:r>
        <w:rPr>
          <w:rFonts w:hint="default" w:ascii="Times New Roman" w:hAnsi="Times New Roman" w:eastAsia="方正仿宋_GBK" w:cs="Times New Roman"/>
          <w:sz w:val="32"/>
          <w:szCs w:val="32"/>
          <w:lang w:bidi="ar-SA"/>
        </w:rPr>
        <w:t>（</w:t>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bidi="ar-SA"/>
        </w:rPr>
        <w:t>）数量指标</w:t>
      </w:r>
      <w:r>
        <w:rPr>
          <w:rFonts w:hint="default" w:ascii="Times New Roman" w:hAnsi="Times New Roman" w:eastAsia="方正仿宋_GBK" w:cs="Times New Roman"/>
          <w:sz w:val="32"/>
          <w:szCs w:val="32"/>
          <w:lang w:eastAsia="zh-CN" w:bidi="ar-SA"/>
        </w:rPr>
        <w:t>。</w:t>
      </w:r>
      <w:r>
        <w:rPr>
          <w:rFonts w:hint="default" w:ascii="Times New Roman" w:hAnsi="Times New Roman" w:eastAsia="方正仿宋_GBK" w:cs="Times New Roman"/>
          <w:spacing w:val="-17"/>
          <w:sz w:val="32"/>
          <w:szCs w:val="32"/>
          <w:lang w:val="en" w:eastAsia="en" w:bidi="ar-SA"/>
        </w:rPr>
        <w:t>精神障碍社区康复服务人次数≥</w:t>
      </w:r>
      <w:r>
        <w:rPr>
          <w:rFonts w:hint="default" w:ascii="Times New Roman" w:hAnsi="Times New Roman" w:eastAsia="方正仿宋_GBK" w:cs="Times New Roman"/>
          <w:bCs/>
          <w:spacing w:val="-17"/>
          <w:sz w:val="32"/>
          <w:szCs w:val="32"/>
          <w:lang w:val="en" w:eastAsia="en"/>
        </w:rPr>
        <w:t>37000</w:t>
      </w:r>
      <w:r>
        <w:rPr>
          <w:rFonts w:hint="default" w:ascii="Times New Roman" w:hAnsi="Times New Roman" w:eastAsia="方正仿宋_GBK" w:cs="Times New Roman"/>
          <w:bCs/>
          <w:spacing w:val="-17"/>
          <w:sz w:val="32"/>
          <w:szCs w:val="32"/>
          <w:lang w:val="en" w:eastAsia="en" w:bidi="ar-SA"/>
        </w:rPr>
        <w:t>人次</w:t>
      </w:r>
      <w:r>
        <w:rPr>
          <w:rFonts w:hint="default" w:ascii="Times New Roman" w:hAnsi="Times New Roman" w:eastAsia="方正仿宋_GBK" w:cs="Times New Roman"/>
          <w:bCs/>
          <w:spacing w:val="-17"/>
          <w:sz w:val="32"/>
          <w:szCs w:val="32"/>
          <w:lang w:val="en" w:eastAsia="en"/>
        </w:rPr>
        <w:t xml:space="preserve"> 。</w:t>
      </w:r>
    </w:p>
    <w:p w14:paraId="768CF7F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bCs/>
          <w:sz w:val="32"/>
          <w:szCs w:val="32"/>
          <w:lang w:val="en" w:eastAsia="en"/>
        </w:rPr>
      </w:pPr>
      <w:r>
        <w:rPr>
          <w:rFonts w:hint="default" w:ascii="Times New Roman" w:hAnsi="Times New Roman" w:eastAsia="方正仿宋_GBK" w:cs="Times New Roman"/>
          <w:bCs/>
          <w:sz w:val="32"/>
          <w:szCs w:val="32"/>
          <w:lang w:val="en" w:eastAsia="en"/>
        </w:rPr>
        <w:t>（</w:t>
      </w:r>
      <w:r>
        <w:rPr>
          <w:rFonts w:hint="default" w:ascii="Times New Roman" w:hAnsi="Times New Roman" w:eastAsia="方正仿宋_GBK" w:cs="Times New Roman"/>
          <w:sz w:val="32"/>
          <w:szCs w:val="32"/>
        </w:rPr>
        <w:t>2</w:t>
      </w:r>
      <w:r>
        <w:rPr>
          <w:rFonts w:hint="default" w:ascii="Times New Roman" w:hAnsi="Times New Roman" w:eastAsia="方正仿宋_GBK" w:cs="Times New Roman"/>
          <w:bCs/>
          <w:sz w:val="32"/>
          <w:szCs w:val="32"/>
          <w:lang w:val="en" w:eastAsia="en"/>
        </w:rPr>
        <w:t>）</w:t>
      </w:r>
      <w:r>
        <w:rPr>
          <w:rFonts w:hint="default" w:ascii="Times New Roman" w:hAnsi="Times New Roman" w:eastAsia="方正仿宋_GBK" w:cs="Times New Roman"/>
          <w:bCs/>
          <w:sz w:val="32"/>
          <w:szCs w:val="32"/>
          <w:lang w:val="en" w:eastAsia="en" w:bidi="ar-SA"/>
        </w:rPr>
        <w:t>效益指标</w:t>
      </w:r>
      <w:r>
        <w:rPr>
          <w:rFonts w:hint="default" w:ascii="Times New Roman" w:hAnsi="Times New Roman" w:eastAsia="方正仿宋_GBK" w:cs="Times New Roman"/>
          <w:bCs/>
          <w:sz w:val="32"/>
          <w:szCs w:val="32"/>
          <w:lang w:val="en" w:eastAsia="zh-CN" w:bidi="ar-SA"/>
        </w:rPr>
        <w:t>。</w:t>
      </w:r>
      <w:r>
        <w:rPr>
          <w:rFonts w:hint="default" w:ascii="Times New Roman" w:hAnsi="Times New Roman" w:eastAsia="方正仿宋_GBK" w:cs="Times New Roman"/>
          <w:bCs/>
          <w:sz w:val="32"/>
          <w:szCs w:val="32"/>
          <w:lang w:val="en" w:eastAsia="en" w:bidi="ar-SA"/>
        </w:rPr>
        <w:t>支持残疾人福利事业发展成效显著。</w:t>
      </w:r>
    </w:p>
    <w:p w14:paraId="5F411BD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lang w:val="en" w:eastAsia="en"/>
        </w:rPr>
        <w:t>（</w:t>
      </w:r>
      <w:r>
        <w:rPr>
          <w:rFonts w:hint="default" w:ascii="Times New Roman" w:hAnsi="Times New Roman" w:eastAsia="方正仿宋_GBK" w:cs="Times New Roman"/>
          <w:sz w:val="32"/>
          <w:szCs w:val="32"/>
        </w:rPr>
        <w:t>3</w:t>
      </w:r>
      <w:r>
        <w:rPr>
          <w:rFonts w:hint="default" w:ascii="Times New Roman" w:hAnsi="Times New Roman" w:eastAsia="方正仿宋_GBK" w:cs="Times New Roman"/>
          <w:bCs/>
          <w:sz w:val="32"/>
          <w:szCs w:val="32"/>
          <w:lang w:val="en" w:eastAsia="en"/>
        </w:rPr>
        <w:t>）</w:t>
      </w:r>
      <w:r>
        <w:rPr>
          <w:rFonts w:hint="default" w:ascii="Times New Roman" w:hAnsi="Times New Roman" w:eastAsia="方正仿宋_GBK" w:cs="Times New Roman"/>
          <w:bCs/>
          <w:sz w:val="32"/>
          <w:szCs w:val="32"/>
          <w:lang w:val="en-US" w:eastAsia="en" w:bidi="ar-SA"/>
        </w:rPr>
        <w:t>满意度</w:t>
      </w:r>
      <w:r>
        <w:rPr>
          <w:rFonts w:hint="default" w:ascii="Times New Roman" w:hAnsi="Times New Roman" w:eastAsia="方正仿宋_GBK" w:cs="Times New Roman"/>
          <w:bCs/>
          <w:sz w:val="32"/>
          <w:szCs w:val="32"/>
          <w:lang w:val="en" w:eastAsia="en" w:bidi="ar-SA"/>
        </w:rPr>
        <w:t>指标</w:t>
      </w:r>
      <w:r>
        <w:rPr>
          <w:rFonts w:hint="default" w:ascii="Times New Roman" w:hAnsi="Times New Roman" w:eastAsia="方正仿宋_GBK" w:cs="Times New Roman"/>
          <w:bCs/>
          <w:sz w:val="32"/>
          <w:szCs w:val="32"/>
          <w:lang w:val="en" w:eastAsia="zh-CN" w:bidi="ar-SA"/>
        </w:rPr>
        <w:t>。</w:t>
      </w:r>
      <w:r>
        <w:rPr>
          <w:rFonts w:hint="default" w:ascii="Times New Roman" w:hAnsi="Times New Roman" w:eastAsia="方正仿宋_GBK" w:cs="Times New Roman"/>
          <w:bCs/>
          <w:sz w:val="32"/>
          <w:szCs w:val="32"/>
          <w:lang w:val="en" w:eastAsia="en" w:bidi="ar-SA"/>
        </w:rPr>
        <w:t>精神障碍社区康复服务对象满意度</w:t>
      </w:r>
      <w:r>
        <w:rPr>
          <w:rFonts w:hint="default" w:ascii="Times New Roman" w:hAnsi="Times New Roman" w:eastAsia="方正仿宋_GBK" w:cs="Times New Roman"/>
          <w:bCs/>
          <w:sz w:val="32"/>
          <w:szCs w:val="32"/>
          <w:lang w:val="en-US" w:eastAsia="en" w:bidi="ar-SA"/>
        </w:rPr>
        <w:t>≥</w:t>
      </w:r>
      <w:r>
        <w:rPr>
          <w:rFonts w:hint="default" w:ascii="Times New Roman" w:hAnsi="Times New Roman" w:eastAsia="方正仿宋_GBK" w:cs="Times New Roman"/>
          <w:bCs/>
          <w:sz w:val="32"/>
          <w:szCs w:val="32"/>
        </w:rPr>
        <w:t>90%。</w:t>
      </w:r>
    </w:p>
    <w:p w14:paraId="41695183">
      <w:pPr>
        <w:keepNext w:val="0"/>
        <w:keepLines w:val="0"/>
        <w:pageBreakBefore w:val="0"/>
        <w:widowControl w:val="0"/>
        <w:kinsoku/>
        <w:wordWrap/>
        <w:overflowPunct/>
        <w:topLinePunct w:val="0"/>
        <w:autoSpaceDE/>
        <w:autoSpaceDN/>
        <w:bidi w:val="0"/>
        <w:adjustRightInd/>
        <w:snapToGrid/>
        <w:spacing w:line="560" w:lineRule="exact"/>
        <w:ind w:left="0" w:leftChars="0" w:firstLine="572"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pacing w:val="-17"/>
          <w:sz w:val="32"/>
          <w:szCs w:val="32"/>
          <w:lang w:val="en-US" w:eastAsia="zh-CN"/>
        </w:rPr>
        <w:t>5</w:t>
      </w:r>
      <w:r>
        <w:rPr>
          <w:rFonts w:hint="default" w:ascii="Times New Roman" w:hAnsi="Times New Roman" w:eastAsia="方正仿宋_GBK" w:cs="Times New Roman"/>
          <w:bCs/>
          <w:spacing w:val="-17"/>
          <w:sz w:val="32"/>
          <w:szCs w:val="32"/>
          <w:lang w:val="en" w:eastAsia="en"/>
        </w:rPr>
        <w:t>.</w:t>
      </w:r>
      <w:r>
        <w:rPr>
          <w:rFonts w:hint="default" w:ascii="Times New Roman" w:hAnsi="Times New Roman" w:eastAsia="方正仿宋_GBK" w:cs="Times New Roman"/>
          <w:bCs/>
          <w:sz w:val="32"/>
          <w:szCs w:val="32"/>
          <w:lang w:bidi="ar-SA"/>
        </w:rPr>
        <w:t>康复辅助器具社区租赁服务试点项目</w:t>
      </w:r>
      <w:r>
        <w:rPr>
          <w:rFonts w:hint="default" w:ascii="Times New Roman" w:hAnsi="Times New Roman" w:eastAsia="方正仿宋_GBK" w:cs="Times New Roman"/>
          <w:bCs/>
          <w:sz w:val="32"/>
          <w:szCs w:val="32"/>
          <w:lang w:eastAsia="zh-CN" w:bidi="ar-SA"/>
        </w:rPr>
        <w:t>。</w:t>
      </w:r>
    </w:p>
    <w:p w14:paraId="58B9164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bCs/>
          <w:spacing w:val="-17"/>
          <w:sz w:val="32"/>
          <w:szCs w:val="32"/>
          <w:lang w:val="en" w:eastAsia="en"/>
        </w:rPr>
      </w:pPr>
      <w:r>
        <w:rPr>
          <w:rFonts w:hint="default" w:ascii="Times New Roman" w:hAnsi="Times New Roman" w:eastAsia="方正仿宋_GBK" w:cs="Times New Roman"/>
          <w:sz w:val="32"/>
          <w:szCs w:val="32"/>
          <w:lang w:bidi="ar-SA"/>
        </w:rPr>
        <w:t>（</w:t>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bidi="ar-SA"/>
        </w:rPr>
        <w:t>）数量指标</w:t>
      </w:r>
      <w:r>
        <w:rPr>
          <w:rFonts w:hint="default" w:ascii="Times New Roman" w:hAnsi="Times New Roman" w:eastAsia="方正仿宋_GBK" w:cs="Times New Roman"/>
          <w:sz w:val="32"/>
          <w:szCs w:val="32"/>
          <w:lang w:eastAsia="zh-CN" w:bidi="ar-SA"/>
        </w:rPr>
        <w:t>。</w:t>
      </w:r>
      <w:r>
        <w:rPr>
          <w:rFonts w:hint="default" w:ascii="Times New Roman" w:hAnsi="Times New Roman" w:eastAsia="方正仿宋_GBK" w:cs="Times New Roman"/>
          <w:sz w:val="32"/>
          <w:szCs w:val="32"/>
          <w:lang w:bidi="ar-SA"/>
        </w:rPr>
        <w:t>建设康复辅助器具租赁服务点</w:t>
      </w:r>
      <w:r>
        <w:rPr>
          <w:rFonts w:hint="default" w:ascii="Times New Roman" w:hAnsi="Times New Roman" w:eastAsia="方正仿宋_GBK" w:cs="Times New Roman"/>
          <w:spacing w:val="-17"/>
          <w:sz w:val="32"/>
          <w:szCs w:val="32"/>
          <w:lang w:val="en" w:eastAsia="en" w:bidi="ar-SA"/>
        </w:rPr>
        <w:t>≥</w:t>
      </w:r>
      <w:r>
        <w:rPr>
          <w:rFonts w:hint="default" w:ascii="Times New Roman" w:hAnsi="Times New Roman" w:eastAsia="方正仿宋_GBK" w:cs="Times New Roman"/>
          <w:bCs/>
          <w:spacing w:val="-17"/>
          <w:sz w:val="32"/>
          <w:szCs w:val="32"/>
          <w:lang w:val="en" w:eastAsia="en"/>
        </w:rPr>
        <w:t>3</w:t>
      </w:r>
      <w:r>
        <w:rPr>
          <w:rFonts w:hint="default" w:ascii="Times New Roman" w:hAnsi="Times New Roman" w:eastAsia="方正仿宋_GBK" w:cs="Times New Roman"/>
          <w:bCs/>
          <w:spacing w:val="-17"/>
          <w:sz w:val="32"/>
          <w:szCs w:val="32"/>
          <w:lang w:val="en" w:eastAsia="en" w:bidi="ar-SA"/>
        </w:rPr>
        <w:t>个。</w:t>
      </w:r>
    </w:p>
    <w:p w14:paraId="46F699B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bCs/>
          <w:sz w:val="32"/>
          <w:szCs w:val="32"/>
          <w:lang w:val="en" w:eastAsia="en"/>
        </w:rPr>
      </w:pPr>
      <w:r>
        <w:rPr>
          <w:rFonts w:hint="default" w:ascii="Times New Roman" w:hAnsi="Times New Roman" w:eastAsia="方正仿宋_GBK" w:cs="Times New Roman"/>
          <w:bCs/>
          <w:sz w:val="32"/>
          <w:szCs w:val="32"/>
          <w:lang w:val="en" w:eastAsia="en"/>
        </w:rPr>
        <w:t>（</w:t>
      </w:r>
      <w:r>
        <w:rPr>
          <w:rFonts w:hint="default" w:ascii="Times New Roman" w:hAnsi="Times New Roman" w:eastAsia="方正仿宋_GBK" w:cs="Times New Roman"/>
          <w:sz w:val="32"/>
          <w:szCs w:val="32"/>
        </w:rPr>
        <w:t>2</w:t>
      </w:r>
      <w:r>
        <w:rPr>
          <w:rFonts w:hint="default" w:ascii="Times New Roman" w:hAnsi="Times New Roman" w:eastAsia="方正仿宋_GBK" w:cs="Times New Roman"/>
          <w:bCs/>
          <w:sz w:val="32"/>
          <w:szCs w:val="32"/>
          <w:lang w:val="en" w:eastAsia="en"/>
        </w:rPr>
        <w:t>）</w:t>
      </w:r>
      <w:r>
        <w:rPr>
          <w:rFonts w:hint="default" w:ascii="Times New Roman" w:hAnsi="Times New Roman" w:eastAsia="方正仿宋_GBK" w:cs="Times New Roman"/>
          <w:bCs/>
          <w:sz w:val="32"/>
          <w:szCs w:val="32"/>
          <w:lang w:val="en" w:eastAsia="en" w:bidi="ar-SA"/>
        </w:rPr>
        <w:t>效益指标</w:t>
      </w:r>
      <w:r>
        <w:rPr>
          <w:rFonts w:hint="default" w:ascii="Times New Roman" w:hAnsi="Times New Roman" w:eastAsia="方正仿宋_GBK" w:cs="Times New Roman"/>
          <w:bCs/>
          <w:sz w:val="32"/>
          <w:szCs w:val="32"/>
          <w:lang w:val="en" w:eastAsia="zh-CN" w:bidi="ar-SA"/>
        </w:rPr>
        <w:t>。</w:t>
      </w:r>
      <w:r>
        <w:rPr>
          <w:rFonts w:hint="default" w:ascii="Times New Roman" w:hAnsi="Times New Roman" w:eastAsia="方正仿宋_GBK" w:cs="Times New Roman"/>
          <w:bCs/>
          <w:sz w:val="32"/>
          <w:szCs w:val="32"/>
          <w:lang w:val="en" w:eastAsia="en" w:bidi="ar-SA"/>
        </w:rPr>
        <w:t>支持残疾人福利事业发展成效显著。</w:t>
      </w:r>
    </w:p>
    <w:p w14:paraId="6F11D50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bCs/>
          <w:spacing w:val="-18"/>
          <w:sz w:val="32"/>
          <w:szCs w:val="32"/>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en-US"/>
        </w:rPr>
        <w:t>(3)</w:t>
      </w:r>
      <w:r>
        <w:rPr>
          <w:rFonts w:hint="default" w:ascii="Times New Roman" w:hAnsi="Times New Roman" w:eastAsia="方正仿宋_GBK" w:cs="Times New Roman"/>
          <w:bCs/>
          <w:sz w:val="32"/>
          <w:szCs w:val="32"/>
          <w:lang w:val="en" w:eastAsia="en"/>
        </w:rPr>
        <w:t>满意度指标</w:t>
      </w:r>
      <w:r>
        <w:rPr>
          <w:rFonts w:hint="default" w:ascii="Times New Roman" w:hAnsi="Times New Roman" w:eastAsia="方正仿宋_GBK" w:cs="Times New Roman"/>
          <w:bCs/>
          <w:sz w:val="32"/>
          <w:szCs w:val="32"/>
          <w:lang w:val="en" w:eastAsia="zh-CN"/>
        </w:rPr>
        <w:t>。</w:t>
      </w:r>
      <w:r>
        <w:rPr>
          <w:rFonts w:hint="default" w:ascii="Times New Roman" w:hAnsi="Times New Roman" w:eastAsia="方正仿宋_GBK" w:cs="Times New Roman"/>
          <w:bCs/>
          <w:spacing w:val="-18"/>
          <w:sz w:val="32"/>
          <w:szCs w:val="32"/>
          <w:lang w:val="en" w:eastAsia="en" w:bidi="ar-SA"/>
        </w:rPr>
        <w:t>康复辅助器具租赁服务对象满意度</w:t>
      </w:r>
      <w:r>
        <w:rPr>
          <w:rFonts w:hint="default" w:ascii="Times New Roman" w:hAnsi="Times New Roman" w:eastAsia="方正仿宋_GBK" w:cs="Times New Roman"/>
          <w:bCs/>
          <w:spacing w:val="-18"/>
          <w:sz w:val="32"/>
          <w:szCs w:val="32"/>
          <w:lang w:val="en-US" w:eastAsia="en" w:bidi="ar-SA"/>
        </w:rPr>
        <w:t>≥</w:t>
      </w:r>
      <w:r>
        <w:rPr>
          <w:rFonts w:hint="default" w:ascii="Times New Roman" w:hAnsi="Times New Roman" w:eastAsia="方正仿宋_GBK" w:cs="Times New Roman"/>
          <w:bCs/>
          <w:spacing w:val="-18"/>
          <w:sz w:val="32"/>
          <w:szCs w:val="32"/>
        </w:rPr>
        <w:t>90%。</w:t>
      </w:r>
    </w:p>
    <w:p w14:paraId="053548B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b w:val="0"/>
          <w:bCs/>
          <w:color w:val="auto"/>
          <w:sz w:val="32"/>
          <w:szCs w:val="32"/>
          <w:highlight w:val="none"/>
          <w:u w:val="none"/>
          <w:lang w:val="en-US" w:eastAsia="zh-CN"/>
        </w:rPr>
        <w:t>6.慈善事业高质量发展试点。慈善事业高质量发展综合试点个数≥4个，</w:t>
      </w:r>
      <w:r>
        <w:rPr>
          <w:rFonts w:hint="default" w:ascii="Times New Roman" w:hAnsi="Times New Roman" w:eastAsia="方正仿宋_GBK" w:cs="Times New Roman"/>
          <w:color w:val="auto"/>
          <w:kern w:val="2"/>
          <w:sz w:val="32"/>
          <w:szCs w:val="32"/>
          <w:lang w:val="en-US" w:eastAsia="zh-CN" w:bidi="ar-SA"/>
        </w:rPr>
        <w:t>项目整体绩效目标为以慈善事业高质量发展试点工作为契机，指导试点县（区）以实施慈善组织赋能、慈善组织培育及人才培养、慈善基金发展、慈善项目创投、慈善文化弘扬、慈善资源整合等行动为着力点，积极培育试点县（区）域内各类公益慈善组织，实现试点乡镇社区慈善基金全覆盖，组建志愿者队伍参与，开展慈善活动，营造浓厚慈善场景，打造慈善品牌项目。本次自评将依据既定绩效目标指标体系，对项目决策、过程管理、实施进展及阶段性成果进行客观评估。</w:t>
      </w:r>
    </w:p>
    <w:p w14:paraId="69B7223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7</w:t>
      </w:r>
      <w:r>
        <w:rPr>
          <w:rFonts w:hint="default" w:ascii="Times New Roman" w:hAnsi="Times New Roman" w:eastAsia="方正仿宋_GBK" w:cs="Times New Roman"/>
          <w:sz w:val="32"/>
          <w:szCs w:val="32"/>
        </w:rPr>
        <w:t>.环保火化炉购置项目</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完成2台环保火化炉购置，提升全市殡葬服务</w:t>
      </w:r>
      <w:r>
        <w:rPr>
          <w:rFonts w:hint="default" w:ascii="Times New Roman" w:hAnsi="Times New Roman" w:eastAsia="方正仿宋_GBK" w:cs="Times New Roman"/>
          <w:sz w:val="32"/>
          <w:szCs w:val="32"/>
          <w:lang w:eastAsia="zh-CN"/>
        </w:rPr>
        <w:t>保障</w:t>
      </w:r>
      <w:r>
        <w:rPr>
          <w:rFonts w:hint="default" w:ascii="Times New Roman" w:hAnsi="Times New Roman" w:eastAsia="方正仿宋_GBK" w:cs="Times New Roman"/>
          <w:sz w:val="32"/>
          <w:szCs w:val="32"/>
        </w:rPr>
        <w:t>能力。</w:t>
      </w:r>
    </w:p>
    <w:p w14:paraId="5864BCE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rPr>
        <w:t>.“文明婚俗”提升行动项目：西区开展2025年度“文明婚俗”提升行动</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充分发挥婚姻登记机关阵地作用，提升婚姻登记机关服务水平，有效推进婚姻领域移风易俗，深化婚俗改革。在西区河门口公园建设</w:t>
      </w:r>
      <w:r>
        <w:rPr>
          <w:rFonts w:hint="default" w:ascii="Times New Roman" w:hAnsi="Times New Roman" w:eastAsia="方正仿宋_GBK" w:cs="Times New Roman"/>
          <w:sz w:val="32"/>
          <w:szCs w:val="32"/>
          <w:lang w:val="en-US" w:eastAsia="zh-CN"/>
        </w:rPr>
        <w:t>1个</w:t>
      </w:r>
      <w:r>
        <w:rPr>
          <w:rFonts w:hint="default" w:ascii="Times New Roman" w:hAnsi="Times New Roman" w:eastAsia="方正仿宋_GBK" w:cs="Times New Roman"/>
          <w:sz w:val="32"/>
          <w:szCs w:val="32"/>
        </w:rPr>
        <w:t>公园式婚姻登记</w:t>
      </w:r>
      <w:r>
        <w:rPr>
          <w:rFonts w:hint="default" w:ascii="Times New Roman" w:hAnsi="Times New Roman" w:eastAsia="方正仿宋_GBK" w:cs="Times New Roman"/>
          <w:sz w:val="32"/>
          <w:szCs w:val="32"/>
          <w:lang w:eastAsia="zh-CN"/>
        </w:rPr>
        <w:t>机关</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全年</w:t>
      </w:r>
      <w:r>
        <w:rPr>
          <w:rFonts w:hint="default" w:ascii="Times New Roman" w:hAnsi="Times New Roman" w:eastAsia="方正仿宋_GBK" w:cs="Times New Roman"/>
          <w:sz w:val="32"/>
          <w:szCs w:val="32"/>
        </w:rPr>
        <w:t>开展2场文明婚俗活动、1场50人以上的婚恋交友活动。</w:t>
      </w:r>
    </w:p>
    <w:p w14:paraId="04791455">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rPr>
        <w:t>二、评价实施</w:t>
      </w:r>
    </w:p>
    <w:p w14:paraId="264BA863">
      <w:pPr>
        <w:keepNext w:val="0"/>
        <w:keepLines w:val="0"/>
        <w:pageBreakBefore w:val="0"/>
        <w:widowControl w:val="0"/>
        <w:kinsoku/>
        <w:wordWrap/>
        <w:overflowPunct/>
        <w:topLinePunct w:val="0"/>
        <w:autoSpaceDE/>
        <w:autoSpaceDN/>
        <w:bidi w:val="0"/>
        <w:spacing w:line="560" w:lineRule="exact"/>
        <w:ind w:left="0" w:leftChars="0" w:firstLine="643" w:firstLineChars="200"/>
        <w:jc w:val="both"/>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color w:val="auto"/>
          <w:sz w:val="32"/>
          <w:szCs w:val="32"/>
          <w:highlight w:val="none"/>
          <w:u w:val="none"/>
          <w:lang w:val="zh-CN"/>
        </w:rPr>
        <w:t>（一）评价目的</w:t>
      </w:r>
      <w:r>
        <w:rPr>
          <w:rFonts w:hint="default" w:ascii="Times New Roman" w:hAnsi="Times New Roman" w:eastAsia="方正楷体_GBK" w:cs="Times New Roman"/>
          <w:b/>
          <w:color w:val="auto"/>
          <w:sz w:val="32"/>
          <w:szCs w:val="32"/>
          <w:highlight w:val="none"/>
          <w:u w:val="none"/>
          <w:lang w:val="en-US" w:eastAsia="zh-CN"/>
        </w:rPr>
        <w:t>。</w:t>
      </w:r>
    </w:p>
    <w:p w14:paraId="70BB8EB8">
      <w:pPr>
        <w:keepNext w:val="0"/>
        <w:keepLines w:val="0"/>
        <w:pageBreakBefore w:val="0"/>
        <w:widowControl w:val="0"/>
        <w:kinsoku/>
        <w:wordWrap/>
        <w:overflowPunct/>
        <w:topLinePunct w:val="0"/>
        <w:autoSpaceDE/>
        <w:autoSpaceDN/>
        <w:bidi w:val="0"/>
        <w:spacing w:line="560" w:lineRule="exact"/>
        <w:ind w:left="0" w:leftChars="0" w:firstLine="640" w:firstLineChars="200"/>
        <w:jc w:val="both"/>
        <w:textAlignment w:val="auto"/>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为全面掌握政策执行和资金使用情况，依据相关政策规定和绩效管理要求等客观反映财政资金投入产出和社会效益，查找政策落实中的薄弱环节与管理风险，明确整改措施和责任分工，为完善制度机制、优化资源配置和改进政策执行提供依据。</w:t>
      </w:r>
    </w:p>
    <w:p w14:paraId="7B47B8C3">
      <w:pPr>
        <w:keepNext w:val="0"/>
        <w:keepLines w:val="0"/>
        <w:pageBreakBefore w:val="0"/>
        <w:widowControl w:val="0"/>
        <w:kinsoku/>
        <w:wordWrap/>
        <w:overflowPunct/>
        <w:topLinePunct w:val="0"/>
        <w:autoSpaceDE/>
        <w:autoSpaceDN/>
        <w:bidi w:val="0"/>
        <w:spacing w:line="560" w:lineRule="exact"/>
        <w:ind w:left="0" w:leftChars="0" w:firstLine="640" w:firstLineChars="200"/>
        <w:jc w:val="both"/>
        <w:textAlignment w:val="auto"/>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zh-CN" w:eastAsia="zh-CN" w:bidi="ar-SA"/>
        </w:rPr>
        <w:t>通过项目绩效自评，</w:t>
      </w:r>
      <w:r>
        <w:rPr>
          <w:rFonts w:hint="default" w:ascii="Times New Roman" w:hAnsi="Times New Roman" w:eastAsia="方正仿宋_GBK" w:cs="Times New Roman"/>
          <w:kern w:val="2"/>
          <w:sz w:val="32"/>
          <w:szCs w:val="32"/>
          <w:lang w:val="en-US" w:eastAsia="zh-CN" w:bidi="ar-SA"/>
        </w:rPr>
        <w:t>旨在全面评估项目资金的使用效益与政策的实施成效，总结试点工作中的宝贵经验与有效做法，及时发现实施过程中存在的问题与挑战，为下一步优化资源配置、强化项目管理、完善政策措施、为推动全市慈善事业高质量发展提供决策依据与经验支撑，</w:t>
      </w:r>
      <w:r>
        <w:rPr>
          <w:rFonts w:hint="default" w:ascii="Times New Roman" w:hAnsi="Times New Roman" w:eastAsia="方正仿宋_GBK" w:cs="Times New Roman"/>
          <w:sz w:val="32"/>
          <w:szCs w:val="32"/>
        </w:rPr>
        <w:t>全面核查</w:t>
      </w:r>
      <w:r>
        <w:rPr>
          <w:rFonts w:hint="default" w:ascii="Times New Roman" w:hAnsi="Times New Roman" w:eastAsia="方正仿宋_GBK" w:cs="Times New Roman"/>
          <w:sz w:val="32"/>
          <w:szCs w:val="32"/>
          <w:lang w:eastAsia="zh-CN"/>
        </w:rPr>
        <w:t>社会福利类项目、</w:t>
      </w:r>
      <w:r>
        <w:rPr>
          <w:rFonts w:hint="default" w:ascii="Times New Roman" w:hAnsi="Times New Roman" w:eastAsia="方正仿宋_GBK" w:cs="Times New Roman"/>
          <w:sz w:val="32"/>
          <w:szCs w:val="32"/>
        </w:rPr>
        <w:t>环保火化炉购置、“文明婚俗”提升行动项目资金使用合规性、项目实施进度、绩效目标完成情况，推动项目资金使用效益最大化</w:t>
      </w:r>
      <w:r>
        <w:rPr>
          <w:rFonts w:hint="default" w:ascii="Times New Roman" w:hAnsi="Times New Roman" w:eastAsia="方正仿宋_GBK" w:cs="Times New Roman"/>
          <w:sz w:val="32"/>
          <w:szCs w:val="32"/>
          <w:lang w:eastAsia="zh-CN"/>
        </w:rPr>
        <w:t>。</w:t>
      </w:r>
    </w:p>
    <w:p w14:paraId="721B903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jc w:val="both"/>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color w:val="auto"/>
          <w:sz w:val="32"/>
          <w:szCs w:val="32"/>
          <w:highlight w:val="none"/>
          <w:u w:val="none"/>
          <w:lang w:val="zh-CN"/>
        </w:rPr>
        <w:t>（二）预设问题及评价重点。</w:t>
      </w:r>
    </w:p>
    <w:p w14:paraId="3D1EBFE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按照绩效评价指标体系，围绕资金支出使用全过程及实施效果开展综合评价。预设问题包括：资金分配是否合理、使用是否合规；项目实施是否符合规划要求，进度是否达标；绩效目标是否科学，完成情况是否理想；项目实施是否达到预期社会效益，服务对象满意度如何。评价重点聚焦通用指标中的项目决策合规性、资金管理规范性、预算执行效率、目标完成质量，专用指标中民生保障类的区域均衡性、对象精准性、群众满意度，以及基础设施类的工程进度、功能实现等核心内容。</w:t>
      </w:r>
    </w:p>
    <w:p w14:paraId="0AEE99A4">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jc w:val="both"/>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楷体_GBK" w:cs="Times New Roman"/>
          <w:b/>
          <w:color w:val="auto"/>
          <w:sz w:val="32"/>
          <w:szCs w:val="32"/>
          <w:highlight w:val="none"/>
          <w:u w:val="none"/>
          <w:lang w:val="zh-CN"/>
        </w:rPr>
        <w:t>（三）评价选点</w:t>
      </w:r>
      <w:r>
        <w:rPr>
          <w:rFonts w:hint="default" w:ascii="Times New Roman" w:hAnsi="Times New Roman" w:eastAsia="方正楷体_GBK" w:cs="Times New Roman"/>
          <w:b/>
          <w:color w:val="auto"/>
          <w:sz w:val="32"/>
          <w:szCs w:val="32"/>
          <w:highlight w:val="none"/>
          <w:u w:val="none"/>
          <w:lang w:val="en-US" w:eastAsia="zh-CN"/>
        </w:rPr>
        <w:t>。</w:t>
      </w:r>
    </w:p>
    <w:p w14:paraId="2CBB07CC">
      <w:pPr>
        <w:keepNext w:val="0"/>
        <w:keepLines w:val="0"/>
        <w:pageBreakBefore w:val="0"/>
        <w:kinsoku/>
        <w:wordWrap/>
        <w:overflowPunct/>
        <w:topLinePunct w:val="0"/>
        <w:autoSpaceDE/>
        <w:bidi w:val="0"/>
        <w:spacing w:line="560" w:lineRule="exact"/>
        <w:ind w:left="0" w:leftChars="0" w:firstLine="640" w:firstLineChars="200"/>
        <w:jc w:val="both"/>
        <w:textAlignment w:val="auto"/>
        <w:rPr>
          <w:rFonts w:hint="default" w:ascii="Times New Roman" w:hAnsi="Times New Roman" w:eastAsia="方正仿宋_GBK" w:cs="Times New Roman"/>
          <w:bCs/>
          <w:spacing w:val="-17"/>
          <w:sz w:val="32"/>
          <w:szCs w:val="32"/>
          <w:lang w:val="en" w:eastAsia="zh-CN"/>
        </w:rPr>
      </w:pPr>
      <w:r>
        <w:rPr>
          <w:rFonts w:hint="default" w:ascii="Times New Roman" w:hAnsi="Times New Roman" w:eastAsia="方正仿宋_GBK" w:cs="Times New Roman"/>
          <w:bCs/>
          <w:sz w:val="32"/>
          <w:szCs w:val="32"/>
          <w:lang w:val="en-US" w:eastAsia="zh-CN" w:bidi="ar-SA"/>
        </w:rPr>
        <w:t>1.</w:t>
      </w:r>
      <w:r>
        <w:rPr>
          <w:rFonts w:hint="default" w:ascii="Times New Roman" w:hAnsi="Times New Roman" w:eastAsia="方正仿宋_GBK" w:cs="Times New Roman"/>
          <w:bCs/>
          <w:sz w:val="32"/>
          <w:szCs w:val="32"/>
          <w:lang w:eastAsia="zh-CN" w:bidi="ar-SA"/>
        </w:rPr>
        <w:t>儿童保障、</w:t>
      </w:r>
      <w:r>
        <w:rPr>
          <w:rFonts w:hint="default" w:ascii="Times New Roman" w:hAnsi="Times New Roman" w:eastAsia="方正仿宋_GBK" w:cs="Times New Roman"/>
          <w:bCs/>
          <w:sz w:val="32"/>
          <w:szCs w:val="32"/>
          <w:lang w:bidi="ar-SA"/>
        </w:rPr>
        <w:t>精神障碍社区康复服务、康复辅助器具社区租赁服务</w:t>
      </w:r>
      <w:r>
        <w:rPr>
          <w:rFonts w:hint="default" w:ascii="Times New Roman" w:hAnsi="Times New Roman" w:eastAsia="方正仿宋_GBK" w:cs="Times New Roman"/>
          <w:bCs/>
          <w:sz w:val="32"/>
          <w:szCs w:val="32"/>
          <w:lang w:eastAsia="zh-CN" w:bidi="ar-SA"/>
        </w:rPr>
        <w:t>项目</w:t>
      </w:r>
      <w:r>
        <w:rPr>
          <w:rFonts w:hint="default" w:ascii="Times New Roman" w:hAnsi="Times New Roman" w:eastAsia="方正仿宋_GBK" w:cs="Times New Roman"/>
          <w:bCs/>
          <w:sz w:val="32"/>
          <w:szCs w:val="32"/>
          <w:lang w:bidi="ar-SA"/>
        </w:rPr>
        <w:t>绩效自评坚持“覆盖全面、突出重点、兼顾代表性”的原则，覆盖全市</w:t>
      </w:r>
      <w:r>
        <w:rPr>
          <w:rFonts w:hint="default" w:ascii="Times New Roman" w:hAnsi="Times New Roman" w:eastAsia="方正仿宋_GBK" w:cs="Times New Roman"/>
          <w:bCs/>
          <w:spacing w:val="-17"/>
          <w:sz w:val="32"/>
          <w:szCs w:val="32"/>
          <w:lang w:val="en" w:eastAsia="en"/>
        </w:rPr>
        <w:t>5个县区</w:t>
      </w:r>
      <w:r>
        <w:rPr>
          <w:rFonts w:hint="default" w:ascii="Times New Roman" w:hAnsi="Times New Roman" w:eastAsia="方正仿宋_GBK" w:cs="Times New Roman"/>
          <w:bCs/>
          <w:spacing w:val="-17"/>
          <w:sz w:val="32"/>
          <w:szCs w:val="32"/>
          <w:lang w:val="en" w:eastAsia="zh-CN"/>
        </w:rPr>
        <w:t>。</w:t>
      </w:r>
    </w:p>
    <w:p w14:paraId="7EF3D6EF">
      <w:pPr>
        <w:keepNext w:val="0"/>
        <w:keepLines w:val="0"/>
        <w:pageBreakBefore w:val="0"/>
        <w:widowControl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方正仿宋_GBK" w:cs="Times New Roman"/>
          <w:color w:val="000000"/>
          <w:kern w:val="0"/>
          <w:sz w:val="32"/>
          <w:szCs w:val="32"/>
          <w:highlight w:val="none"/>
          <w:u w:val="none"/>
          <w:shd w:val="clear" w:color="auto" w:fill="FFFFFF"/>
          <w:lang w:val="zh-CN" w:eastAsia="zh-CN" w:bidi="ar-SA"/>
        </w:rPr>
      </w:pPr>
      <w:r>
        <w:rPr>
          <w:rFonts w:hint="default" w:ascii="Times New Roman" w:hAnsi="Times New Roman" w:eastAsia="方正仿宋_GBK" w:cs="Times New Roman"/>
          <w:color w:val="auto"/>
          <w:kern w:val="2"/>
          <w:sz w:val="32"/>
          <w:szCs w:val="32"/>
          <w:lang w:val="en-US" w:eastAsia="zh-CN" w:bidi="ar-SA"/>
        </w:rPr>
        <w:t>2.慈善事业高质量发展试点项目根据项目布局和实施重点，选取部分关键点位进行实地评价，</w:t>
      </w:r>
      <w:r>
        <w:rPr>
          <w:rFonts w:hint="default" w:ascii="Times New Roman" w:hAnsi="Times New Roman" w:eastAsia="方正仿宋_GBK" w:cs="Times New Roman"/>
          <w:color w:val="auto"/>
          <w:kern w:val="0"/>
          <w:sz w:val="32"/>
          <w:szCs w:val="32"/>
          <w:highlight w:val="none"/>
          <w:u w:val="none"/>
          <w:shd w:val="clear" w:color="auto" w:fill="FFFFFF"/>
          <w:lang w:val="zh-CN" w:eastAsia="zh-CN" w:bidi="ar-SA"/>
        </w:rPr>
        <w:t>西区选取点位为河门口街道、清香坪街道杨家坪社区，仁和区选取点位为</w:t>
      </w:r>
      <w:r>
        <w:rPr>
          <w:rFonts w:hint="default" w:ascii="Times New Roman" w:hAnsi="Times New Roman" w:eastAsia="方正仿宋_GBK" w:cs="Times New Roman"/>
          <w:color w:val="auto"/>
          <w:kern w:val="2"/>
          <w:sz w:val="32"/>
          <w:szCs w:val="32"/>
          <w:lang w:val="en-US" w:eastAsia="zh-CN" w:bidi="ar-SA"/>
        </w:rPr>
        <w:t>仁和镇、啊喇彝族乡，</w:t>
      </w:r>
      <w:r>
        <w:rPr>
          <w:rFonts w:hint="default" w:ascii="Times New Roman" w:hAnsi="Times New Roman" w:eastAsia="方正仿宋_GBK" w:cs="Times New Roman"/>
          <w:color w:val="auto"/>
          <w:kern w:val="0"/>
          <w:sz w:val="32"/>
          <w:szCs w:val="32"/>
          <w:highlight w:val="none"/>
          <w:u w:val="none"/>
          <w:shd w:val="clear" w:color="auto" w:fill="FFFFFF"/>
          <w:lang w:val="zh-CN" w:eastAsia="zh-CN" w:bidi="ar-SA"/>
        </w:rPr>
        <w:t>米易县选取点位为</w:t>
      </w:r>
      <w:r>
        <w:rPr>
          <w:rFonts w:hint="default" w:ascii="Times New Roman" w:hAnsi="Times New Roman" w:eastAsia="方正仿宋_GBK" w:cs="Times New Roman"/>
          <w:sz w:val="32"/>
          <w:szCs w:val="32"/>
        </w:rPr>
        <w:t>县级公益慈善服务中心、攀莲镇（儿童主题公园）</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color w:val="auto"/>
          <w:kern w:val="0"/>
          <w:sz w:val="32"/>
          <w:szCs w:val="32"/>
          <w:highlight w:val="none"/>
          <w:u w:val="none"/>
          <w:shd w:val="clear" w:color="auto" w:fill="FFFFFF"/>
          <w:lang w:val="zh-CN" w:eastAsia="zh-CN" w:bidi="ar-SA"/>
        </w:rPr>
        <w:t>盐边选取点位为</w:t>
      </w:r>
      <w:r>
        <w:rPr>
          <w:rFonts w:hint="default" w:ascii="Times New Roman" w:hAnsi="Times New Roman" w:eastAsia="方正仿宋_GBK" w:cs="Times New Roman"/>
          <w:color w:val="auto"/>
          <w:kern w:val="2"/>
          <w:sz w:val="32"/>
          <w:szCs w:val="32"/>
          <w:lang w:val="en-US" w:eastAsia="zh-CN" w:bidi="ar-SA"/>
        </w:rPr>
        <w:t>桐子林镇清源社区、城北社区，</w:t>
      </w:r>
      <w:r>
        <w:rPr>
          <w:rFonts w:hint="default" w:ascii="Times New Roman" w:hAnsi="Times New Roman" w:eastAsia="方正仿宋_GBK" w:cs="Times New Roman"/>
          <w:color w:val="000000"/>
          <w:kern w:val="0"/>
          <w:sz w:val="32"/>
          <w:szCs w:val="32"/>
          <w:highlight w:val="none"/>
          <w:u w:val="none"/>
          <w:shd w:val="clear" w:color="auto" w:fill="FFFFFF"/>
          <w:lang w:val="zh-CN" w:eastAsia="zh-CN" w:bidi="ar-SA"/>
        </w:rPr>
        <w:t>共计选取</w:t>
      </w:r>
      <w:r>
        <w:rPr>
          <w:rFonts w:hint="default" w:ascii="Times New Roman" w:hAnsi="Times New Roman" w:eastAsia="方正仿宋_GBK" w:cs="Times New Roman"/>
          <w:color w:val="000000"/>
          <w:kern w:val="0"/>
          <w:sz w:val="32"/>
          <w:szCs w:val="32"/>
          <w:highlight w:val="none"/>
          <w:u w:val="none"/>
          <w:shd w:val="clear" w:color="auto" w:fill="FFFFFF"/>
          <w:lang w:val="en-US" w:eastAsia="zh-CN" w:bidi="ar-SA"/>
        </w:rPr>
        <w:t>8</w:t>
      </w:r>
      <w:r>
        <w:rPr>
          <w:rFonts w:hint="default" w:ascii="Times New Roman" w:hAnsi="Times New Roman" w:eastAsia="方正仿宋_GBK" w:cs="Times New Roman"/>
          <w:color w:val="000000"/>
          <w:kern w:val="0"/>
          <w:sz w:val="32"/>
          <w:szCs w:val="32"/>
          <w:highlight w:val="none"/>
          <w:u w:val="none"/>
          <w:shd w:val="clear" w:color="auto" w:fill="FFFFFF"/>
          <w:lang w:val="zh-CN" w:eastAsia="zh-CN" w:bidi="ar-SA"/>
        </w:rPr>
        <w:t>个点位。</w:t>
      </w:r>
    </w:p>
    <w:p w14:paraId="5A53065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lang w:eastAsia="zh-CN"/>
        </w:rPr>
        <w:t>“文明婚俗”提升行动和环保火化炉改造项目</w:t>
      </w:r>
      <w:r>
        <w:rPr>
          <w:rFonts w:hint="default" w:ascii="Times New Roman" w:hAnsi="Times New Roman" w:eastAsia="方正仿宋_GBK" w:cs="Times New Roman"/>
          <w:sz w:val="32"/>
          <w:szCs w:val="32"/>
        </w:rPr>
        <w:t>按照“覆盖全面、重点突出”原则，选取专项资金分配涉及的市县点位进行实地踏勘。本次共选取</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个点位</w:t>
      </w:r>
      <w:r>
        <w:rPr>
          <w:rFonts w:hint="default" w:ascii="Times New Roman" w:hAnsi="Times New Roman" w:eastAsia="方正仿宋_GBK" w:cs="Times New Roman"/>
          <w:sz w:val="32"/>
          <w:szCs w:val="32"/>
          <w:lang w:eastAsia="zh-CN"/>
        </w:rPr>
        <w:t>是</w:t>
      </w:r>
      <w:r>
        <w:rPr>
          <w:rFonts w:hint="default" w:ascii="Times New Roman" w:hAnsi="Times New Roman" w:eastAsia="方正仿宋_GBK" w:cs="Times New Roman"/>
          <w:color w:val="auto"/>
          <w:sz w:val="32"/>
          <w:szCs w:val="32"/>
          <w:u w:val="none"/>
          <w:vertAlign w:val="baseline"/>
          <w:lang w:val="en-US" w:eastAsia="zh-CN"/>
        </w:rPr>
        <w:t>攀枝花市西区和</w:t>
      </w:r>
      <w:r>
        <w:rPr>
          <w:rFonts w:hint="default" w:ascii="Times New Roman" w:hAnsi="Times New Roman" w:eastAsia="方正仿宋_GBK" w:cs="Times New Roman"/>
          <w:color w:val="auto"/>
          <w:sz w:val="32"/>
          <w:szCs w:val="32"/>
          <w:highlight w:val="none"/>
          <w:u w:val="none"/>
          <w:vertAlign w:val="baseline"/>
          <w:lang w:val="en-US" w:eastAsia="zh-CN"/>
        </w:rPr>
        <w:t>市殡葬服务中心</w:t>
      </w:r>
      <w:r>
        <w:rPr>
          <w:rFonts w:hint="default" w:ascii="Times New Roman" w:hAnsi="Times New Roman" w:eastAsia="方正仿宋_GBK" w:cs="Times New Roman"/>
          <w:sz w:val="32"/>
          <w:szCs w:val="32"/>
          <w:lang w:val="en-US" w:eastAsia="zh-CN"/>
        </w:rPr>
        <w:t>。</w:t>
      </w:r>
    </w:p>
    <w:p w14:paraId="59A78D8C">
      <w:pPr>
        <w:keepNext w:val="0"/>
        <w:keepLines w:val="0"/>
        <w:pageBreakBefore w:val="0"/>
        <w:widowControl w:val="0"/>
        <w:numPr>
          <w:ilvl w:val="0"/>
          <w:numId w:val="0"/>
        </w:numPr>
        <w:kinsoku/>
        <w:wordWrap/>
        <w:overflowPunct/>
        <w:topLinePunct w:val="0"/>
        <w:autoSpaceDE/>
        <w:autoSpaceDN/>
        <w:bidi w:val="0"/>
        <w:spacing w:line="560" w:lineRule="exact"/>
        <w:ind w:firstLine="643" w:firstLineChars="200"/>
        <w:jc w:val="both"/>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color w:val="auto"/>
          <w:sz w:val="32"/>
          <w:szCs w:val="32"/>
          <w:highlight w:val="none"/>
          <w:u w:val="none"/>
          <w:lang w:val="zh-CN"/>
        </w:rPr>
        <w:t>（四）评价方法</w:t>
      </w:r>
      <w:r>
        <w:rPr>
          <w:rFonts w:hint="default" w:ascii="Times New Roman" w:hAnsi="Times New Roman" w:eastAsia="方正楷体_GBK" w:cs="Times New Roman"/>
          <w:b/>
          <w:color w:val="auto"/>
          <w:sz w:val="32"/>
          <w:szCs w:val="32"/>
          <w:highlight w:val="none"/>
          <w:u w:val="none"/>
          <w:lang w:val="en-US" w:eastAsia="zh-CN"/>
        </w:rPr>
        <w:t>。</w:t>
      </w:r>
    </w:p>
    <w:p w14:paraId="5CC76F51">
      <w:pPr>
        <w:keepNext w:val="0"/>
        <w:keepLines w:val="0"/>
        <w:pageBreakBefore w:val="0"/>
        <w:kinsoku/>
        <w:wordWrap/>
        <w:overflowPunct/>
        <w:topLinePunct w:val="0"/>
        <w:autoSpaceDE/>
        <w:bidi w:val="0"/>
        <w:spacing w:line="560" w:lineRule="exact"/>
        <w:ind w:left="0" w:leftChars="0" w:firstLine="640" w:firstLineChars="200"/>
        <w:jc w:val="both"/>
        <w:textAlignment w:val="auto"/>
        <w:rPr>
          <w:rFonts w:hint="default" w:ascii="Times New Roman" w:hAnsi="Times New Roman" w:eastAsia="方正仿宋_GBK" w:cs="Times New Roman"/>
          <w:bCs/>
          <w:sz w:val="32"/>
          <w:szCs w:val="32"/>
          <w:lang w:bidi="ar-SA"/>
        </w:rPr>
      </w:pPr>
      <w:r>
        <w:rPr>
          <w:rFonts w:hint="default" w:ascii="Times New Roman" w:hAnsi="Times New Roman" w:eastAsia="方正仿宋_GBK" w:cs="Times New Roman"/>
          <w:bCs/>
          <w:sz w:val="32"/>
          <w:szCs w:val="32"/>
          <w:lang w:val="en-US" w:eastAsia="zh-CN" w:bidi="ar-SA"/>
        </w:rPr>
        <w:t>1.</w:t>
      </w:r>
      <w:r>
        <w:rPr>
          <w:rFonts w:hint="default" w:ascii="Times New Roman" w:hAnsi="Times New Roman" w:eastAsia="方正仿宋_GBK" w:cs="Times New Roman"/>
          <w:bCs/>
          <w:sz w:val="32"/>
          <w:szCs w:val="32"/>
          <w:lang w:eastAsia="zh-CN" w:bidi="ar-SA"/>
        </w:rPr>
        <w:t>儿童保障</w:t>
      </w:r>
      <w:r>
        <w:rPr>
          <w:rFonts w:hint="default" w:ascii="Times New Roman" w:hAnsi="Times New Roman" w:eastAsia="方正仿宋_GBK" w:cs="Times New Roman"/>
          <w:bCs/>
          <w:spacing w:val="-17"/>
          <w:sz w:val="32"/>
          <w:szCs w:val="32"/>
          <w:lang w:val="en" w:eastAsia="zh-CN" w:bidi="ar-SA"/>
        </w:rPr>
        <w:t>、</w:t>
      </w:r>
      <w:r>
        <w:rPr>
          <w:rFonts w:hint="default" w:ascii="Times New Roman" w:hAnsi="Times New Roman" w:eastAsia="方正仿宋_GBK" w:cs="Times New Roman"/>
          <w:bCs/>
          <w:sz w:val="32"/>
          <w:szCs w:val="32"/>
          <w:lang w:bidi="ar-SA"/>
        </w:rPr>
        <w:t>康复辅助器具社区租赁服务试点</w:t>
      </w:r>
      <w:r>
        <w:rPr>
          <w:rFonts w:hint="default" w:ascii="Times New Roman" w:hAnsi="Times New Roman" w:eastAsia="方正仿宋_GBK" w:cs="Times New Roman"/>
          <w:bCs/>
          <w:sz w:val="32"/>
          <w:szCs w:val="32"/>
          <w:lang w:eastAsia="zh-CN" w:bidi="ar-SA"/>
        </w:rPr>
        <w:t>、</w:t>
      </w:r>
      <w:r>
        <w:rPr>
          <w:rFonts w:hint="default" w:ascii="Times New Roman" w:hAnsi="Times New Roman" w:eastAsia="方正仿宋_GBK" w:cs="Times New Roman"/>
          <w:bCs/>
          <w:sz w:val="32"/>
          <w:szCs w:val="32"/>
          <w:lang w:bidi="ar-SA"/>
        </w:rPr>
        <w:t>精神障碍社区康复</w:t>
      </w:r>
      <w:r>
        <w:rPr>
          <w:rFonts w:hint="default" w:ascii="Times New Roman" w:hAnsi="Times New Roman" w:eastAsia="方正仿宋_GBK" w:cs="Times New Roman"/>
          <w:bCs/>
          <w:sz w:val="32"/>
          <w:szCs w:val="32"/>
          <w:lang w:val="en-US" w:eastAsia="en-US" w:bidi="ar-SA"/>
        </w:rPr>
        <w:t>服务</w:t>
      </w:r>
      <w:r>
        <w:rPr>
          <w:rFonts w:hint="default" w:ascii="Times New Roman" w:hAnsi="Times New Roman" w:eastAsia="方正仿宋_GBK" w:cs="Times New Roman"/>
          <w:bCs/>
          <w:sz w:val="32"/>
          <w:szCs w:val="32"/>
          <w:lang w:eastAsia="zh-CN" w:bidi="ar-SA"/>
        </w:rPr>
        <w:t>项目主要</w:t>
      </w:r>
      <w:r>
        <w:rPr>
          <w:rFonts w:hint="default" w:ascii="Times New Roman" w:hAnsi="Times New Roman" w:eastAsia="方正仿宋_GBK" w:cs="Times New Roman"/>
          <w:bCs/>
          <w:sz w:val="32"/>
          <w:szCs w:val="32"/>
          <w:lang w:bidi="ar-SA"/>
        </w:rPr>
        <w:t>采取“全覆盖县区+实地勘察+座谈调研”的方式组织实施。自评范围覆盖全市</w:t>
      </w:r>
      <w:r>
        <w:rPr>
          <w:rFonts w:hint="default" w:ascii="Times New Roman" w:hAnsi="Times New Roman" w:eastAsia="方正仿宋_GBK" w:cs="Times New Roman"/>
          <w:bCs/>
          <w:spacing w:val="-17"/>
          <w:sz w:val="32"/>
          <w:szCs w:val="32"/>
        </w:rPr>
        <w:t>5</w:t>
      </w:r>
      <w:r>
        <w:rPr>
          <w:rFonts w:hint="default" w:ascii="Times New Roman" w:hAnsi="Times New Roman" w:eastAsia="方正仿宋_GBK" w:cs="Times New Roman"/>
          <w:bCs/>
          <w:sz w:val="32"/>
          <w:szCs w:val="32"/>
          <w:lang w:bidi="ar-SA"/>
        </w:rPr>
        <w:t>个县区，对各县区涉及的相关点位开展实地考察与核查，重点查看政策落实、对象认定（建档）、服务供给、资金拨付与发放（支付）、台账资料归集、信息系统录入、公开公示及监督管理等情况。</w:t>
      </w:r>
    </w:p>
    <w:p w14:paraId="2266F02F">
      <w:pPr>
        <w:keepNext w:val="0"/>
        <w:keepLines w:val="0"/>
        <w:pageBreakBefore w:val="0"/>
        <w:widowControl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方正仿宋_GBK" w:cs="Times New Roman"/>
          <w:color w:val="000000"/>
          <w:kern w:val="0"/>
          <w:sz w:val="32"/>
          <w:szCs w:val="32"/>
          <w:highlight w:val="none"/>
          <w:u w:val="none"/>
          <w:shd w:val="clear" w:color="auto" w:fill="FFFFFF"/>
          <w:lang w:val="zh-CN" w:eastAsia="zh-CN" w:bidi="ar-SA"/>
        </w:rPr>
      </w:pPr>
      <w:r>
        <w:rPr>
          <w:rFonts w:hint="default" w:ascii="Times New Roman" w:hAnsi="Times New Roman" w:eastAsia="方正仿宋_GBK" w:cs="Times New Roman"/>
          <w:color w:val="auto"/>
          <w:kern w:val="2"/>
          <w:sz w:val="32"/>
          <w:szCs w:val="32"/>
          <w:lang w:val="en-US" w:eastAsia="zh-CN" w:bidi="ar-SA"/>
        </w:rPr>
        <w:t>2.</w:t>
      </w:r>
      <w:r>
        <w:rPr>
          <w:rFonts w:hint="default" w:ascii="Times New Roman" w:hAnsi="Times New Roman" w:eastAsia="方正仿宋_GBK" w:cs="Times New Roman"/>
          <w:color w:val="auto"/>
          <w:kern w:val="2"/>
          <w:sz w:val="32"/>
          <w:szCs w:val="32"/>
          <w:lang w:val="zh-CN" w:eastAsia="zh-CN" w:bidi="ar-SA"/>
        </w:rPr>
        <w:t>慈善高质量发展试点项目采用资料审查与实地调研相结合的方式，通过查阅项目财务资料、实施方案、总结报告等文件，核实资金使用情况及项目实施进度；组织召开座谈会，与项目承接机构、试点乡镇及社区工作人员、受益群体等进行交流，了解项目实施效果及存在问题。</w:t>
      </w:r>
    </w:p>
    <w:p w14:paraId="5BF3DC3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保火化炉购置</w:t>
      </w:r>
      <w:r>
        <w:rPr>
          <w:rFonts w:hint="default" w:ascii="Times New Roman" w:hAnsi="Times New Roman" w:eastAsia="方正仿宋_GBK" w:cs="Times New Roman"/>
          <w:sz w:val="32"/>
          <w:szCs w:val="32"/>
          <w:lang w:eastAsia="zh-CN"/>
        </w:rPr>
        <w:t>、文明婚俗</w:t>
      </w:r>
      <w:r>
        <w:rPr>
          <w:rFonts w:hint="default" w:ascii="Times New Roman" w:hAnsi="Times New Roman" w:eastAsia="方正仿宋_GBK" w:cs="Times New Roman"/>
          <w:bCs/>
          <w:sz w:val="32"/>
          <w:szCs w:val="32"/>
          <w:lang w:eastAsia="zh-CN"/>
        </w:rPr>
        <w:t>项目采用</w:t>
      </w:r>
      <w:r>
        <w:rPr>
          <w:rFonts w:hint="default" w:ascii="Times New Roman" w:hAnsi="Times New Roman" w:eastAsia="方正仿宋_GBK" w:cs="Times New Roman"/>
          <w:bCs/>
          <w:sz w:val="32"/>
          <w:szCs w:val="32"/>
        </w:rPr>
        <w:t>案卷研究法</w:t>
      </w:r>
      <w:r>
        <w:rPr>
          <w:rFonts w:hint="default" w:ascii="Times New Roman" w:hAnsi="Times New Roman" w:eastAsia="方正仿宋_GBK" w:cs="Times New Roman"/>
          <w:bCs/>
          <w:sz w:val="32"/>
          <w:szCs w:val="32"/>
          <w:lang w:eastAsia="zh-CN"/>
        </w:rPr>
        <w:t>，主要是</w:t>
      </w:r>
      <w:r>
        <w:rPr>
          <w:rFonts w:hint="default" w:ascii="Times New Roman" w:hAnsi="Times New Roman" w:eastAsia="方正仿宋_GBK" w:cs="Times New Roman"/>
          <w:bCs/>
          <w:sz w:val="32"/>
          <w:szCs w:val="32"/>
        </w:rPr>
        <w:t>查阅项目立项文件、预算批复、资金拨付凭证、合同协议、验收资料等案卷，核查项目决策与管理规范性</w:t>
      </w:r>
      <w:r>
        <w:rPr>
          <w:rFonts w:hint="default" w:ascii="Times New Roman" w:hAnsi="Times New Roman" w:eastAsia="方正仿宋_GBK" w:cs="Times New Roman"/>
          <w:bCs/>
          <w:sz w:val="32"/>
          <w:szCs w:val="32"/>
          <w:lang w:eastAsia="zh-CN"/>
        </w:rPr>
        <w:t>；</w:t>
      </w:r>
      <w:r>
        <w:rPr>
          <w:rFonts w:hint="default" w:ascii="Times New Roman" w:hAnsi="Times New Roman" w:eastAsia="方正仿宋_GBK" w:cs="Times New Roman"/>
          <w:sz w:val="32"/>
          <w:szCs w:val="32"/>
        </w:rPr>
        <w:t>实地勘察法</w:t>
      </w:r>
      <w:r>
        <w:rPr>
          <w:rFonts w:hint="default" w:ascii="Times New Roman" w:hAnsi="Times New Roman" w:eastAsia="方正仿宋_GBK" w:cs="Times New Roman"/>
          <w:sz w:val="32"/>
          <w:szCs w:val="32"/>
          <w:lang w:eastAsia="zh-CN"/>
        </w:rPr>
        <w:t>，主要是</w:t>
      </w:r>
      <w:r>
        <w:rPr>
          <w:rFonts w:hint="default" w:ascii="Times New Roman" w:hAnsi="Times New Roman" w:eastAsia="方正仿宋_GBK" w:cs="Times New Roman"/>
          <w:sz w:val="32"/>
          <w:szCs w:val="32"/>
        </w:rPr>
        <w:t>前往选定点位，实地查看</w:t>
      </w:r>
      <w:r>
        <w:rPr>
          <w:rFonts w:hint="default" w:ascii="Times New Roman" w:hAnsi="Times New Roman" w:eastAsia="方正仿宋_GBK" w:cs="Times New Roman"/>
          <w:sz w:val="32"/>
          <w:szCs w:val="32"/>
          <w:lang w:eastAsia="zh-CN"/>
        </w:rPr>
        <w:t>市殡葬服务中心</w:t>
      </w:r>
      <w:r>
        <w:rPr>
          <w:rFonts w:hint="default" w:ascii="Times New Roman" w:hAnsi="Times New Roman" w:eastAsia="方正仿宋_GBK" w:cs="Times New Roman"/>
          <w:sz w:val="32"/>
          <w:szCs w:val="32"/>
        </w:rPr>
        <w:t>环保火化炉购置情况、</w:t>
      </w:r>
      <w:r>
        <w:rPr>
          <w:rFonts w:hint="default" w:ascii="Times New Roman" w:hAnsi="Times New Roman" w:eastAsia="方正仿宋_GBK" w:cs="Times New Roman"/>
          <w:sz w:val="32"/>
          <w:szCs w:val="32"/>
          <w:lang w:eastAsia="zh-CN"/>
        </w:rPr>
        <w:t>西区</w:t>
      </w:r>
      <w:r>
        <w:rPr>
          <w:rFonts w:hint="default" w:ascii="Times New Roman" w:hAnsi="Times New Roman" w:eastAsia="方正仿宋_GBK" w:cs="Times New Roman"/>
          <w:sz w:val="32"/>
          <w:szCs w:val="32"/>
        </w:rPr>
        <w:t>公园式婚姻登记机关建设进度及</w:t>
      </w:r>
      <w:r>
        <w:rPr>
          <w:rFonts w:hint="default" w:ascii="Times New Roman" w:hAnsi="Times New Roman" w:eastAsia="方正仿宋_GBK" w:cs="Times New Roman"/>
          <w:sz w:val="32"/>
          <w:szCs w:val="32"/>
          <w:lang w:eastAsia="zh-CN"/>
        </w:rPr>
        <w:t>文明婚俗活动开展情况；</w:t>
      </w:r>
      <w:r>
        <w:rPr>
          <w:rFonts w:hint="default" w:ascii="Times New Roman" w:hAnsi="Times New Roman" w:eastAsia="方正仿宋_GBK" w:cs="Times New Roman"/>
          <w:bCs/>
          <w:sz w:val="32"/>
          <w:szCs w:val="32"/>
        </w:rPr>
        <w:t>单位自评法</w:t>
      </w:r>
      <w:r>
        <w:rPr>
          <w:rFonts w:hint="default" w:ascii="Times New Roman" w:hAnsi="Times New Roman" w:eastAsia="方正仿宋_GBK" w:cs="Times New Roman"/>
          <w:bCs/>
          <w:sz w:val="32"/>
          <w:szCs w:val="32"/>
          <w:lang w:eastAsia="zh-CN"/>
        </w:rPr>
        <w:t>，主要是</w:t>
      </w:r>
      <w:r>
        <w:rPr>
          <w:rFonts w:hint="default" w:ascii="Times New Roman" w:hAnsi="Times New Roman" w:eastAsia="方正仿宋_GBK" w:cs="Times New Roman"/>
          <w:bCs/>
          <w:sz w:val="32"/>
          <w:szCs w:val="32"/>
        </w:rPr>
        <w:t>结合项目实施单位的自我评估</w:t>
      </w:r>
      <w:r>
        <w:rPr>
          <w:rFonts w:hint="default" w:ascii="Times New Roman" w:hAnsi="Times New Roman" w:eastAsia="方正仿宋_GBK" w:cs="Times New Roman"/>
          <w:bCs/>
          <w:sz w:val="32"/>
          <w:szCs w:val="32"/>
          <w:lang w:eastAsia="zh-CN"/>
        </w:rPr>
        <w:t>情况</w:t>
      </w:r>
      <w:r>
        <w:rPr>
          <w:rFonts w:hint="default" w:ascii="Times New Roman" w:hAnsi="Times New Roman" w:eastAsia="方正仿宋_GBK" w:cs="Times New Roman"/>
          <w:bCs/>
          <w:sz w:val="32"/>
          <w:szCs w:val="32"/>
        </w:rPr>
        <w:t>，综合分析</w:t>
      </w:r>
      <w:r>
        <w:rPr>
          <w:rFonts w:hint="default" w:ascii="Times New Roman" w:hAnsi="Times New Roman" w:eastAsia="方正仿宋_GBK" w:cs="Times New Roman"/>
          <w:bCs/>
          <w:sz w:val="32"/>
          <w:szCs w:val="32"/>
          <w:lang w:eastAsia="zh-CN"/>
        </w:rPr>
        <w:t>。</w:t>
      </w:r>
    </w:p>
    <w:p w14:paraId="1C7A7987">
      <w:pPr>
        <w:keepNext w:val="0"/>
        <w:keepLines w:val="0"/>
        <w:pageBreakBefore w:val="0"/>
        <w:widowControl w:val="0"/>
        <w:numPr>
          <w:ilvl w:val="0"/>
          <w:numId w:val="0"/>
        </w:numPr>
        <w:kinsoku/>
        <w:wordWrap/>
        <w:overflowPunct/>
        <w:topLinePunct w:val="0"/>
        <w:autoSpaceDE/>
        <w:autoSpaceDN/>
        <w:bidi w:val="0"/>
        <w:spacing w:line="560" w:lineRule="exact"/>
        <w:ind w:firstLine="643" w:firstLineChars="200"/>
        <w:jc w:val="both"/>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color w:val="auto"/>
          <w:sz w:val="32"/>
          <w:szCs w:val="32"/>
          <w:highlight w:val="none"/>
          <w:u w:val="none"/>
          <w:lang w:val="zh-CN"/>
        </w:rPr>
        <w:t>（五）评价组织</w:t>
      </w:r>
      <w:r>
        <w:rPr>
          <w:rFonts w:hint="default" w:ascii="Times New Roman" w:hAnsi="Times New Roman" w:eastAsia="方正楷体_GBK" w:cs="Times New Roman"/>
          <w:b/>
          <w:color w:val="auto"/>
          <w:sz w:val="32"/>
          <w:szCs w:val="32"/>
          <w:highlight w:val="none"/>
          <w:u w:val="none"/>
          <w:lang w:val="en-US" w:eastAsia="zh-CN"/>
        </w:rPr>
        <w:t>。</w:t>
      </w:r>
    </w:p>
    <w:p w14:paraId="49EF7B7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bCs/>
          <w:kern w:val="2"/>
          <w:sz w:val="32"/>
          <w:szCs w:val="32"/>
          <w:lang w:val="en" w:eastAsia="zh-CN" w:bidi="ar-SA"/>
        </w:rPr>
      </w:pPr>
      <w:r>
        <w:rPr>
          <w:rFonts w:hint="default" w:ascii="Times New Roman" w:hAnsi="Times New Roman" w:eastAsia="方正仿宋_GBK" w:cs="Times New Roman"/>
          <w:b/>
          <w:bCs/>
          <w:kern w:val="2"/>
          <w:sz w:val="32"/>
          <w:szCs w:val="32"/>
          <w:lang w:val="en-US" w:eastAsia="zh-CN" w:bidi="ar-SA"/>
        </w:rPr>
        <w:t>1.</w:t>
      </w:r>
      <w:r>
        <w:rPr>
          <w:rFonts w:hint="default" w:ascii="Times New Roman" w:hAnsi="Times New Roman" w:eastAsia="方正仿宋_GBK" w:cs="Times New Roman"/>
          <w:b/>
          <w:bCs/>
          <w:kern w:val="2"/>
          <w:sz w:val="32"/>
          <w:szCs w:val="32"/>
          <w:lang w:val="en" w:eastAsia="zh-CN" w:bidi="ar-SA"/>
        </w:rPr>
        <w:t>评价小组成员</w:t>
      </w:r>
    </w:p>
    <w:p w14:paraId="4DD2A13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bCs/>
          <w:kern w:val="2"/>
          <w:sz w:val="32"/>
          <w:szCs w:val="32"/>
          <w:lang w:val="en" w:eastAsia="zh-CN" w:bidi="ar-SA"/>
        </w:rPr>
      </w:pPr>
      <w:r>
        <w:rPr>
          <w:rFonts w:hint="default" w:ascii="Times New Roman" w:hAnsi="Times New Roman" w:eastAsia="方正仿宋_GBK" w:cs="Times New Roman"/>
          <w:b/>
          <w:bCs/>
          <w:kern w:val="2"/>
          <w:sz w:val="32"/>
          <w:szCs w:val="32"/>
          <w:lang w:val="en-US" w:eastAsia="zh-CN" w:bidi="ar-SA"/>
        </w:rPr>
        <w:t>1.慈善事业高质量发展试点、环保火化炉改造、文明婚俗项目</w:t>
      </w:r>
      <w:r>
        <w:rPr>
          <w:rFonts w:hint="default" w:ascii="Times New Roman" w:hAnsi="Times New Roman" w:eastAsia="方正仿宋_GBK" w:cs="Times New Roman"/>
          <w:b/>
          <w:bCs/>
          <w:kern w:val="2"/>
          <w:sz w:val="32"/>
          <w:szCs w:val="32"/>
          <w:lang w:val="en" w:eastAsia="zh-CN" w:bidi="ar-SA"/>
        </w:rPr>
        <w:t>评价小组成员。</w:t>
      </w:r>
    </w:p>
    <w:p w14:paraId="34CF329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 w:eastAsia="zh-CN"/>
        </w:rPr>
      </w:pPr>
      <w:r>
        <w:rPr>
          <w:rFonts w:hint="default" w:ascii="Times New Roman" w:hAnsi="Times New Roman" w:eastAsia="方正仿宋_GBK" w:cs="Times New Roman"/>
          <w:sz w:val="32"/>
          <w:szCs w:val="32"/>
          <w:lang w:val="en" w:eastAsia="zh-CN"/>
        </w:rPr>
        <w:t>崔测东：攀枝花市民政局党组成员、副局长（</w:t>
      </w:r>
      <w:r>
        <w:rPr>
          <w:rFonts w:hint="default" w:ascii="Times New Roman" w:hAnsi="Times New Roman" w:eastAsia="方正仿宋_GBK" w:cs="Times New Roman"/>
          <w:b w:val="0"/>
          <w:bCs w:val="0"/>
          <w:kern w:val="2"/>
          <w:sz w:val="32"/>
          <w:szCs w:val="32"/>
          <w:lang w:val="en-US" w:eastAsia="zh-CN" w:bidi="ar-SA"/>
        </w:rPr>
        <w:t>慈善事业高质量发展试点、环保火化炉改造、文明婚俗项</w:t>
      </w:r>
      <w:r>
        <w:rPr>
          <w:rFonts w:hint="default" w:ascii="Times New Roman" w:hAnsi="Times New Roman" w:eastAsia="方正仿宋_GBK" w:cs="Times New Roman"/>
          <w:sz w:val="32"/>
          <w:szCs w:val="32"/>
          <w:lang w:val="en" w:eastAsia="zh-CN"/>
        </w:rPr>
        <w:t>项目分管局领导）</w:t>
      </w:r>
    </w:p>
    <w:p w14:paraId="4FDB108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 w:eastAsia="zh-CN"/>
        </w:rPr>
      </w:pPr>
      <w:r>
        <w:rPr>
          <w:rFonts w:hint="default" w:ascii="Times New Roman" w:hAnsi="Times New Roman" w:eastAsia="方正仿宋_GBK" w:cs="Times New Roman"/>
          <w:sz w:val="32"/>
          <w:szCs w:val="32"/>
          <w:lang w:val="en" w:eastAsia="zh-CN"/>
        </w:rPr>
        <w:t>朱跃红：攀枝花市民政局规划财务（政策法规与行政审批科）科科长（绩效评价负责人）</w:t>
      </w:r>
    </w:p>
    <w:p w14:paraId="5E72FB8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 w:eastAsia="zh-CN"/>
        </w:rPr>
      </w:pPr>
      <w:r>
        <w:rPr>
          <w:rFonts w:hint="default" w:ascii="Times New Roman" w:hAnsi="Times New Roman" w:eastAsia="方正仿宋_GBK" w:cs="Times New Roman"/>
          <w:sz w:val="32"/>
          <w:szCs w:val="32"/>
          <w:lang w:val="en" w:eastAsia="zh-CN"/>
        </w:rPr>
        <w:t>邓永：攀枝花市民政局社会事务科（区划地名科）副科长（</w:t>
      </w:r>
      <w:r>
        <w:rPr>
          <w:rFonts w:hint="default" w:ascii="Times New Roman" w:hAnsi="Times New Roman" w:eastAsia="方正仿宋_GBK" w:cs="Times New Roman"/>
          <w:b w:val="0"/>
          <w:bCs w:val="0"/>
          <w:kern w:val="2"/>
          <w:sz w:val="32"/>
          <w:szCs w:val="32"/>
          <w:lang w:val="en-US" w:eastAsia="zh-CN" w:bidi="ar-SA"/>
        </w:rPr>
        <w:t>慈善事业高质量发展试点、环保火化炉改造、文明婚俗项</w:t>
      </w:r>
      <w:r>
        <w:rPr>
          <w:rFonts w:hint="default" w:ascii="Times New Roman" w:hAnsi="Times New Roman" w:eastAsia="方正仿宋_GBK" w:cs="Times New Roman"/>
          <w:sz w:val="32"/>
          <w:szCs w:val="32"/>
          <w:lang w:val="en" w:eastAsia="zh-CN"/>
        </w:rPr>
        <w:t>项目负责人）</w:t>
      </w:r>
    </w:p>
    <w:p w14:paraId="76CB89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lang w:val="en" w:eastAsia="zh-CN"/>
        </w:rPr>
      </w:pPr>
      <w:r>
        <w:rPr>
          <w:rFonts w:hint="default" w:ascii="Times New Roman" w:hAnsi="Times New Roman" w:eastAsia="方正仿宋_GBK" w:cs="Times New Roman"/>
          <w:sz w:val="32"/>
          <w:szCs w:val="32"/>
          <w:lang w:val="en" w:eastAsia="zh-CN"/>
        </w:rPr>
        <w:t>罗琳：攀枝花市规划财务科（政策法规与行政审批科）会计</w:t>
      </w:r>
    </w:p>
    <w:p w14:paraId="78A3861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cs="Times New Roman"/>
          <w:lang w:val="en" w:eastAsia="zh-CN"/>
        </w:rPr>
      </w:pPr>
      <w:r>
        <w:rPr>
          <w:rFonts w:hint="default" w:ascii="Times New Roman" w:hAnsi="Times New Roman" w:eastAsia="方正仿宋_GBK" w:cs="Times New Roman"/>
          <w:b/>
          <w:bCs/>
          <w:kern w:val="2"/>
          <w:sz w:val="32"/>
          <w:szCs w:val="32"/>
          <w:lang w:val="en-US" w:eastAsia="zh-CN" w:bidi="ar-SA"/>
        </w:rPr>
        <w:t>2.</w:t>
      </w:r>
      <w:r>
        <w:rPr>
          <w:rFonts w:hint="default" w:ascii="Times New Roman" w:hAnsi="Times New Roman" w:eastAsia="方正仿宋_GBK" w:cs="Times New Roman"/>
          <w:b/>
          <w:bCs/>
          <w:sz w:val="32"/>
          <w:szCs w:val="32"/>
          <w:lang w:val="en-US" w:eastAsia="zh-CN"/>
        </w:rPr>
        <w:t>儿童保障、</w:t>
      </w:r>
      <w:r>
        <w:rPr>
          <w:rFonts w:hint="default" w:ascii="Times New Roman" w:hAnsi="Times New Roman" w:eastAsia="方正仿宋_GBK" w:cs="Times New Roman"/>
          <w:b/>
          <w:bCs w:val="0"/>
          <w:sz w:val="32"/>
          <w:szCs w:val="32"/>
          <w:lang w:bidi="ar-SA"/>
        </w:rPr>
        <w:t>康复辅助器具社区租赁服务试点</w:t>
      </w:r>
      <w:r>
        <w:rPr>
          <w:rFonts w:hint="default" w:ascii="Times New Roman" w:hAnsi="Times New Roman" w:eastAsia="方正仿宋_GBK" w:cs="Times New Roman"/>
          <w:b/>
          <w:bCs w:val="0"/>
          <w:sz w:val="32"/>
          <w:szCs w:val="32"/>
          <w:lang w:eastAsia="zh-CN" w:bidi="ar-SA"/>
        </w:rPr>
        <w:t>、</w:t>
      </w:r>
      <w:r>
        <w:rPr>
          <w:rFonts w:hint="default" w:ascii="Times New Roman" w:hAnsi="Times New Roman" w:eastAsia="方正仿宋_GBK" w:cs="Times New Roman"/>
          <w:b/>
          <w:bCs w:val="0"/>
          <w:sz w:val="32"/>
          <w:szCs w:val="32"/>
          <w:lang w:bidi="ar-SA"/>
        </w:rPr>
        <w:t>精神障碍社区康复</w:t>
      </w:r>
      <w:r>
        <w:rPr>
          <w:rFonts w:hint="default" w:ascii="Times New Roman" w:hAnsi="Times New Roman" w:eastAsia="方正仿宋_GBK" w:cs="Times New Roman"/>
          <w:b/>
          <w:bCs w:val="0"/>
          <w:sz w:val="32"/>
          <w:szCs w:val="32"/>
          <w:lang w:val="en-US" w:eastAsia="en-US" w:bidi="ar-SA"/>
        </w:rPr>
        <w:t>服务</w:t>
      </w:r>
      <w:r>
        <w:rPr>
          <w:rFonts w:hint="default" w:ascii="Times New Roman" w:hAnsi="Times New Roman" w:eastAsia="方正仿宋_GBK" w:cs="Times New Roman"/>
          <w:b/>
          <w:bCs w:val="0"/>
          <w:sz w:val="32"/>
          <w:szCs w:val="32"/>
          <w:lang w:val="en-US" w:eastAsia="zh-CN" w:bidi="ar-SA"/>
        </w:rPr>
        <w:t>项目</w:t>
      </w:r>
      <w:r>
        <w:rPr>
          <w:rFonts w:hint="default" w:ascii="Times New Roman" w:hAnsi="Times New Roman" w:eastAsia="方正仿宋_GBK" w:cs="Times New Roman"/>
          <w:b/>
          <w:bCs/>
          <w:kern w:val="2"/>
          <w:sz w:val="32"/>
          <w:szCs w:val="32"/>
          <w:lang w:val="en" w:eastAsia="zh-CN" w:bidi="ar-SA"/>
        </w:rPr>
        <w:t>评价小组成员。</w:t>
      </w:r>
    </w:p>
    <w:p w14:paraId="444C48F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 w:eastAsia="zh-CN"/>
        </w:rPr>
      </w:pPr>
      <w:r>
        <w:rPr>
          <w:rFonts w:hint="default" w:ascii="Times New Roman" w:hAnsi="Times New Roman" w:eastAsia="方正仿宋_GBK" w:cs="Times New Roman"/>
          <w:sz w:val="32"/>
          <w:szCs w:val="32"/>
          <w:lang w:val="en" w:eastAsia="zh-CN"/>
        </w:rPr>
        <w:t>刘高华：攀枝花市民政局党组成员、副局长（绩效评价分管局领导，</w:t>
      </w:r>
      <w:r>
        <w:rPr>
          <w:rFonts w:hint="default" w:ascii="Times New Roman" w:hAnsi="Times New Roman" w:eastAsia="方正仿宋_GBK" w:cs="Times New Roman"/>
          <w:b w:val="0"/>
          <w:bCs w:val="0"/>
          <w:sz w:val="32"/>
          <w:szCs w:val="32"/>
          <w:lang w:val="en-US" w:eastAsia="zh-CN"/>
        </w:rPr>
        <w:t>儿童保障、</w:t>
      </w:r>
      <w:r>
        <w:rPr>
          <w:rFonts w:hint="default" w:ascii="Times New Roman" w:hAnsi="Times New Roman" w:eastAsia="方正仿宋_GBK" w:cs="Times New Roman"/>
          <w:b w:val="0"/>
          <w:bCs w:val="0"/>
          <w:sz w:val="32"/>
          <w:szCs w:val="32"/>
          <w:lang w:bidi="ar-SA"/>
        </w:rPr>
        <w:t>康复辅助器具社区租赁服务试点</w:t>
      </w:r>
      <w:r>
        <w:rPr>
          <w:rFonts w:hint="default" w:ascii="Times New Roman" w:hAnsi="Times New Roman" w:eastAsia="方正仿宋_GBK" w:cs="Times New Roman"/>
          <w:b w:val="0"/>
          <w:bCs w:val="0"/>
          <w:sz w:val="32"/>
          <w:szCs w:val="32"/>
          <w:lang w:eastAsia="zh-CN" w:bidi="ar-SA"/>
        </w:rPr>
        <w:t>、</w:t>
      </w:r>
      <w:r>
        <w:rPr>
          <w:rFonts w:hint="default" w:ascii="Times New Roman" w:hAnsi="Times New Roman" w:eastAsia="方正仿宋_GBK" w:cs="Times New Roman"/>
          <w:b w:val="0"/>
          <w:bCs w:val="0"/>
          <w:sz w:val="32"/>
          <w:szCs w:val="32"/>
          <w:lang w:bidi="ar-SA"/>
        </w:rPr>
        <w:t>精神障碍社区康复</w:t>
      </w:r>
      <w:r>
        <w:rPr>
          <w:rFonts w:hint="default" w:ascii="Times New Roman" w:hAnsi="Times New Roman" w:eastAsia="方正仿宋_GBK" w:cs="Times New Roman"/>
          <w:b w:val="0"/>
          <w:bCs w:val="0"/>
          <w:sz w:val="32"/>
          <w:szCs w:val="32"/>
          <w:lang w:val="en-US" w:eastAsia="en-US" w:bidi="ar-SA"/>
        </w:rPr>
        <w:t>服务</w:t>
      </w:r>
      <w:r>
        <w:rPr>
          <w:rFonts w:hint="default" w:ascii="Times New Roman" w:hAnsi="Times New Roman" w:eastAsia="方正仿宋_GBK" w:cs="Times New Roman"/>
          <w:sz w:val="32"/>
          <w:szCs w:val="32"/>
          <w:lang w:val="en" w:eastAsia="zh-CN"/>
        </w:rPr>
        <w:t>项目分管局领导）</w:t>
      </w:r>
    </w:p>
    <w:p w14:paraId="4196A06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 w:eastAsia="zh-CN"/>
        </w:rPr>
      </w:pPr>
      <w:r>
        <w:rPr>
          <w:rFonts w:hint="default" w:ascii="Times New Roman" w:hAnsi="Times New Roman" w:eastAsia="方正仿宋_GBK" w:cs="Times New Roman"/>
          <w:sz w:val="32"/>
          <w:szCs w:val="32"/>
          <w:lang w:val="en" w:eastAsia="zh-CN"/>
        </w:rPr>
        <w:t>朱跃红：攀枝花市民政局规划财务（政策法规与行政审批科）科科长（绩效评价负责人）</w:t>
      </w:r>
    </w:p>
    <w:p w14:paraId="531630D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 w:eastAsia="zh-CN"/>
        </w:rPr>
      </w:pPr>
      <w:r>
        <w:rPr>
          <w:rFonts w:hint="default" w:ascii="Times New Roman" w:hAnsi="Times New Roman" w:eastAsia="方正仿宋_GBK" w:cs="Times New Roman"/>
          <w:sz w:val="32"/>
          <w:szCs w:val="32"/>
          <w:lang w:val="en" w:eastAsia="zh-CN"/>
        </w:rPr>
        <w:t>张双：攀枝花市民政局社会福利科（儿童保障科）科长（</w:t>
      </w:r>
      <w:r>
        <w:rPr>
          <w:rFonts w:hint="default" w:ascii="Times New Roman" w:hAnsi="Times New Roman" w:eastAsia="方正仿宋_GBK" w:cs="Times New Roman"/>
          <w:b w:val="0"/>
          <w:bCs w:val="0"/>
          <w:sz w:val="32"/>
          <w:szCs w:val="32"/>
          <w:lang w:val="en-US" w:eastAsia="zh-CN"/>
        </w:rPr>
        <w:t>儿童保障、</w:t>
      </w:r>
      <w:r>
        <w:rPr>
          <w:rFonts w:hint="default" w:ascii="Times New Roman" w:hAnsi="Times New Roman" w:eastAsia="方正仿宋_GBK" w:cs="Times New Roman"/>
          <w:b w:val="0"/>
          <w:bCs w:val="0"/>
          <w:sz w:val="32"/>
          <w:szCs w:val="32"/>
          <w:lang w:bidi="ar-SA"/>
        </w:rPr>
        <w:t>康复辅助器具社区租赁服务试点</w:t>
      </w:r>
      <w:r>
        <w:rPr>
          <w:rFonts w:hint="default" w:ascii="Times New Roman" w:hAnsi="Times New Roman" w:eastAsia="方正仿宋_GBK" w:cs="Times New Roman"/>
          <w:b w:val="0"/>
          <w:bCs w:val="0"/>
          <w:sz w:val="32"/>
          <w:szCs w:val="32"/>
          <w:lang w:eastAsia="zh-CN" w:bidi="ar-SA"/>
        </w:rPr>
        <w:t>、</w:t>
      </w:r>
      <w:r>
        <w:rPr>
          <w:rFonts w:hint="default" w:ascii="Times New Roman" w:hAnsi="Times New Roman" w:eastAsia="方正仿宋_GBK" w:cs="Times New Roman"/>
          <w:b w:val="0"/>
          <w:bCs w:val="0"/>
          <w:sz w:val="32"/>
          <w:szCs w:val="32"/>
          <w:lang w:bidi="ar-SA"/>
        </w:rPr>
        <w:t>精神障碍社区康复</w:t>
      </w:r>
      <w:r>
        <w:rPr>
          <w:rFonts w:hint="default" w:ascii="Times New Roman" w:hAnsi="Times New Roman" w:eastAsia="方正仿宋_GBK" w:cs="Times New Roman"/>
          <w:b w:val="0"/>
          <w:bCs w:val="0"/>
          <w:sz w:val="32"/>
          <w:szCs w:val="32"/>
          <w:lang w:val="en-US" w:eastAsia="en-US" w:bidi="ar-SA"/>
        </w:rPr>
        <w:t>服务</w:t>
      </w:r>
      <w:r>
        <w:rPr>
          <w:rFonts w:hint="default" w:ascii="Times New Roman" w:hAnsi="Times New Roman" w:eastAsia="方正仿宋_GBK" w:cs="Times New Roman"/>
          <w:sz w:val="32"/>
          <w:szCs w:val="32"/>
          <w:lang w:val="en" w:eastAsia="zh-CN"/>
        </w:rPr>
        <w:t>项目负责人）</w:t>
      </w:r>
    </w:p>
    <w:p w14:paraId="349C1E2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lang w:val="en" w:eastAsia="zh-CN"/>
        </w:rPr>
      </w:pPr>
      <w:r>
        <w:rPr>
          <w:rFonts w:hint="default" w:ascii="Times New Roman" w:hAnsi="Times New Roman" w:eastAsia="方正仿宋_GBK" w:cs="Times New Roman"/>
          <w:sz w:val="32"/>
          <w:szCs w:val="32"/>
          <w:lang w:val="en" w:eastAsia="zh-CN"/>
        </w:rPr>
        <w:t>罗琳：攀枝花市规划财务科（政策法规与行政审批科）会计</w:t>
      </w:r>
    </w:p>
    <w:p w14:paraId="081A9DCD">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黑体_GBK" w:cs="Times New Roman"/>
          <w:sz w:val="32"/>
          <w:szCs w:val="32"/>
          <w:highlight w:val="none"/>
          <w:lang w:val="zh-CN"/>
        </w:rPr>
      </w:pPr>
      <w:r>
        <w:rPr>
          <w:rFonts w:hint="default" w:ascii="Times New Roman" w:hAnsi="Times New Roman" w:eastAsia="方正黑体_GBK" w:cs="Times New Roman"/>
          <w:sz w:val="32"/>
          <w:szCs w:val="32"/>
          <w:highlight w:val="none"/>
        </w:rPr>
        <w:t>三、</w:t>
      </w:r>
      <w:r>
        <w:rPr>
          <w:rFonts w:hint="default" w:ascii="Times New Roman" w:hAnsi="Times New Roman" w:eastAsia="方正黑体_GBK" w:cs="Times New Roman"/>
          <w:sz w:val="32"/>
          <w:szCs w:val="32"/>
          <w:highlight w:val="none"/>
          <w:lang w:eastAsia="zh-CN"/>
        </w:rPr>
        <w:t>绩效分析</w:t>
      </w:r>
      <w:r>
        <w:rPr>
          <w:rFonts w:hint="default" w:ascii="Times New Roman" w:hAnsi="Times New Roman" w:eastAsia="方正黑体_GBK" w:cs="Times New Roman"/>
          <w:sz w:val="32"/>
          <w:szCs w:val="32"/>
          <w:highlight w:val="none"/>
          <w:lang w:val="zh-CN"/>
        </w:rPr>
        <w:tab/>
      </w:r>
    </w:p>
    <w:p w14:paraId="29FFA89B">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outlineLvl w:val="9"/>
        <w:rPr>
          <w:rFonts w:hint="default" w:ascii="Times New Roman" w:hAnsi="Times New Roman" w:eastAsia="方正楷体_GBK" w:cs="Times New Roman"/>
          <w:b/>
          <w:color w:val="auto"/>
          <w:sz w:val="32"/>
          <w:szCs w:val="32"/>
          <w:highlight w:val="none"/>
          <w:u w:val="none"/>
          <w:lang w:val="en-US" w:eastAsia="zh-CN"/>
        </w:rPr>
      </w:pPr>
      <w:r>
        <w:rPr>
          <w:rFonts w:hint="default" w:ascii="Times New Roman" w:hAnsi="Times New Roman" w:eastAsia="方正楷体_GBK" w:cs="Times New Roman"/>
          <w:b/>
          <w:color w:val="auto"/>
          <w:sz w:val="32"/>
          <w:szCs w:val="32"/>
          <w:highlight w:val="none"/>
          <w:u w:val="none"/>
          <w:lang w:val="zh-CN"/>
        </w:rPr>
        <w:t>（一）</w:t>
      </w:r>
      <w:r>
        <w:rPr>
          <w:rFonts w:hint="default" w:ascii="Times New Roman" w:hAnsi="Times New Roman" w:eastAsia="方正楷体_GBK" w:cs="Times New Roman"/>
          <w:b/>
          <w:color w:val="auto"/>
          <w:sz w:val="32"/>
          <w:szCs w:val="32"/>
          <w:highlight w:val="none"/>
          <w:u w:val="none"/>
          <w:lang w:val="en-US" w:eastAsia="zh-CN"/>
        </w:rPr>
        <w:t>通用指标</w:t>
      </w:r>
      <w:r>
        <w:rPr>
          <w:rFonts w:hint="default" w:ascii="Times New Roman" w:hAnsi="Times New Roman" w:eastAsia="方正楷体_GBK" w:cs="Times New Roman"/>
          <w:b/>
          <w:bCs/>
          <w:color w:val="000000"/>
          <w:kern w:val="0"/>
          <w:sz w:val="32"/>
          <w:szCs w:val="32"/>
          <w:highlight w:val="none"/>
          <w:shd w:val="clear" w:color="auto" w:fill="FFFFFF"/>
          <w:lang w:val="zh-CN"/>
        </w:rPr>
        <w:t>绩效分析</w:t>
      </w:r>
    </w:p>
    <w:p w14:paraId="6952030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auto"/>
          <w:sz w:val="32"/>
          <w:szCs w:val="32"/>
          <w:lang w:eastAsia="zh-CN"/>
        </w:rPr>
        <w:t>项目决策。儿童保障、</w:t>
      </w:r>
      <w:r>
        <w:rPr>
          <w:rFonts w:hint="default" w:ascii="Times New Roman" w:hAnsi="Times New Roman" w:eastAsia="方正仿宋_GBK" w:cs="Times New Roman"/>
          <w:sz w:val="32"/>
          <w:szCs w:val="32"/>
          <w:lang w:bidi="ar"/>
        </w:rPr>
        <w:t>精神障碍社区康复服务、康复辅助器具社区租赁服务等聚焦重点领域，明确 “兜底保障 + 康复服务 + 社会融入” 总体目标。项目决策阶段完成需求调研与问题梳理，结合服务对象规模、资金承受能力、既有服务资源和基层承接能力，科学确定年度任务、服务内容、资金测算与绩效目标，设置可量化、可考核、可追溯的指标体系，同步明确县区、部门及承接机构职责分工与工作流程，为规范实施提供依据。福彩圆梦・孤儿助学工程、孤儿医疗康复明天计划、事实无人抚养儿童年满18周岁后助学、为你而来 相伴成长</w:t>
      </w:r>
      <w:r>
        <w:rPr>
          <w:rFonts w:hint="default" w:ascii="Times New Roman" w:hAnsi="Times New Roman" w:eastAsia="方正仿宋_GBK" w:cs="Times New Roman"/>
          <w:bCs/>
          <w:spacing w:val="-17"/>
          <w:sz w:val="32"/>
          <w:szCs w:val="32"/>
          <w:lang w:bidi="ar-SA"/>
        </w:rPr>
        <w:t>儿童关爱保护项目</w:t>
      </w:r>
      <w:r>
        <w:rPr>
          <w:rFonts w:hint="default" w:ascii="Times New Roman" w:hAnsi="Times New Roman" w:eastAsia="方正仿宋_GBK" w:cs="Times New Roman"/>
          <w:sz w:val="32"/>
          <w:szCs w:val="32"/>
          <w:lang w:bidi="ar"/>
        </w:rPr>
        <w:t>4个项目，围绕未成年人保护与困境儿童保障相关要求，聚焦孤儿、事实无人抚养儿童在 “教育延续、医疗康复、成年后发展” 方面的突出困难，落实兜底保障与发展型救助并重的工作导向。</w:t>
      </w:r>
      <w:r>
        <w:rPr>
          <w:rFonts w:hint="default" w:ascii="Times New Roman" w:hAnsi="Times New Roman" w:eastAsia="方正仿宋_GBK" w:cs="Times New Roman"/>
          <w:sz w:val="32"/>
          <w:szCs w:val="32"/>
          <w:lang w:val="en-US" w:eastAsia="zh-CN" w:bidi="ar"/>
        </w:rPr>
        <w:t>慈善事业高质量发展试点紧密契合国家及省级引导慈善事业高质量发展、促进共同富裕的政策导向，符合试点县（区）经济社会发展实际和民生需求，决策程序规范，前期论证较为充分。资金投向清晰，聚焦慈善服务体系构建与关键环节突破。环保火化炉改造、文明婚俗</w:t>
      </w:r>
      <w:r>
        <w:rPr>
          <w:rFonts w:hint="default" w:ascii="Times New Roman" w:hAnsi="Times New Roman" w:eastAsia="方正仿宋_GBK" w:cs="Times New Roman"/>
          <w:sz w:val="32"/>
          <w:szCs w:val="32"/>
          <w:lang w:eastAsia="zh-CN"/>
        </w:rPr>
        <w:t>项目均依据省级相关文件设立，立项审批流程规范，决策程序严密，资料齐全。</w:t>
      </w:r>
    </w:p>
    <w:p w14:paraId="47DF75A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color w:val="auto"/>
          <w:sz w:val="32"/>
          <w:szCs w:val="32"/>
          <w:lang w:eastAsia="zh-CN"/>
        </w:rPr>
        <w:t>项目管理。</w:t>
      </w:r>
      <w:r>
        <w:rPr>
          <w:rFonts w:hint="default" w:ascii="Times New Roman" w:hAnsi="Times New Roman" w:eastAsia="方正仿宋_GBK" w:cs="Times New Roman"/>
          <w:sz w:val="32"/>
          <w:szCs w:val="32"/>
          <w:lang w:bidi="ar-SA"/>
        </w:rPr>
        <w:t>建立市级统筹、县区落实、部门协同的项目管理机制，形成“目标管理—过程控制—结果评价—整改提升”的闭环。制度层面完善对象认定（建档）与动态复核、资金拨付与发放（支付）、服务采购（或协议管理）、档案台账、信息系统录入、公开公示与监督检查等管理要求；执行层面明确审批审核链条与岗位责任，落实财务管理和资金安全控制，健全资料留痕和数据质量管理，确保补贴资金、服务资金使用合规。通过定期调度、抽查核验、问题通报、培训督导等方式加强过程监管，对发现问题及时整改并跟踪销号，防范漏补错补、记录不实、服务不到位及资金风险。</w:t>
      </w:r>
      <w:r>
        <w:rPr>
          <w:rFonts w:hint="default" w:ascii="Times New Roman" w:hAnsi="Times New Roman" w:eastAsia="方正仿宋_GBK" w:cs="Times New Roman"/>
          <w:color w:val="000000"/>
          <w:kern w:val="0"/>
          <w:sz w:val="32"/>
          <w:szCs w:val="32"/>
          <w:highlight w:val="none"/>
          <w:u w:val="none"/>
          <w:shd w:val="clear" w:color="auto" w:fill="FFFFFF"/>
          <w:lang w:val="zh-CN" w:eastAsia="zh-CN" w:bidi="ar-SA"/>
        </w:rPr>
        <w:t>慈善事业高质量发展试点县（区）已制定项目具体实施计划书及相应的资金管理要求，明确了任务分工与推进路径。资金分配方案聚焦试点核心任务，总体合理。</w:t>
      </w:r>
      <w:r>
        <w:rPr>
          <w:rFonts w:hint="default" w:ascii="Times New Roman" w:hAnsi="Times New Roman" w:eastAsia="方正仿宋_GBK" w:cs="Times New Roman"/>
          <w:kern w:val="2"/>
          <w:sz w:val="32"/>
          <w:szCs w:val="32"/>
          <w:lang w:eastAsia="zh-CN" w:bidi="ar-SA"/>
        </w:rPr>
        <w:t>同时，市民政局加强项目实施过程的监督指导，定期开展项目进度检查与质量评估，及时解决项目推进中遇到的问题与困难，保障项目按计划有序推进。</w:t>
      </w:r>
      <w:r>
        <w:rPr>
          <w:rFonts w:hint="default" w:ascii="Times New Roman" w:hAnsi="Times New Roman" w:eastAsia="方正仿宋_GBK" w:cs="Times New Roman"/>
          <w:color w:val="000000"/>
          <w:kern w:val="0"/>
          <w:sz w:val="32"/>
          <w:szCs w:val="32"/>
          <w:highlight w:val="none"/>
          <w:u w:val="none"/>
          <w:shd w:val="clear" w:color="auto" w:fill="FFFFFF"/>
          <w:lang w:val="zh-CN" w:eastAsia="zh-CN" w:bidi="ar-SA"/>
        </w:rPr>
        <w:t>环保火化炉购置、文明婚俗改革项目规划论证符合中省关于殡葬改革、婚俗改革的重点要求，绩效目标设置科学合理，与公共服务提升需求高度契合。</w:t>
      </w:r>
    </w:p>
    <w:p w14:paraId="5F1B4B3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color w:val="auto"/>
          <w:sz w:val="32"/>
          <w:szCs w:val="32"/>
          <w:lang w:val="en-US" w:eastAsia="zh-CN"/>
        </w:rPr>
        <w:t>3.项目实施。</w:t>
      </w:r>
      <w:r>
        <w:rPr>
          <w:rFonts w:hint="default" w:ascii="Times New Roman" w:hAnsi="Times New Roman" w:eastAsia="方正仿宋_GBK" w:cs="Times New Roman"/>
          <w:sz w:val="32"/>
          <w:szCs w:val="32"/>
          <w:lang w:bidi="ar-SA"/>
        </w:rPr>
        <w:t>精神障碍社区康复服务方面围绕筛查建档、评估分级、个案管理、随访管理、康复训练与社会功能恢复等环节组织实施，强化风险评估与应急处置预案，推动医疗机构、基层卫生机构、社区与承接机构协同转介与连续服务；康复辅助器具社区租赁服务方面开展需求评估与适配指导，规范器具入库、流转、消毒维护、维修更换与报废管理，落实价格（收费）公示、押金管理及使用培训，提升租赁服务可及性与便民水平。项目实施过程中注重资料归集、现场核查和满意度回访，保证过程可追溯、结果可核验；福彩圆梦</w:t>
      </w:r>
      <w:r>
        <w:rPr>
          <w:rFonts w:hint="default" w:ascii="Times New Roman" w:hAnsi="Times New Roman" w:eastAsia="方正仿宋_GBK" w:cs="Times New Roman"/>
          <w:spacing w:val="-16"/>
          <w:sz w:val="32"/>
          <w:szCs w:val="32"/>
          <w:lang w:bidi="ar-SA"/>
        </w:rPr>
        <w:t>·孤儿助学工程：按照“公开、公平、公正”原则，对符合条件的孤儿及事实无人抚养儿童开展助学资助，重点保障学费、住宿费及必要学习生活支出。建立“申请—审核—公示—发</w:t>
      </w:r>
      <w:r>
        <w:rPr>
          <w:rFonts w:hint="default" w:ascii="Times New Roman" w:hAnsi="Times New Roman" w:eastAsia="方正仿宋_GBK" w:cs="Times New Roman"/>
          <w:sz w:val="32"/>
          <w:szCs w:val="32"/>
          <w:lang w:bidi="ar-SA"/>
        </w:rPr>
        <w:t>放—回访”流程，资金专款专用、按学期（或按年度）及时发放，并做好台账管理和监督检查，确保资助精准到人、规范透明；</w:t>
      </w:r>
      <w:r>
        <w:rPr>
          <w:rFonts w:hint="default" w:ascii="Times New Roman" w:hAnsi="Times New Roman" w:eastAsia="方正仿宋_GBK" w:cs="Times New Roman"/>
          <w:bCs/>
          <w:sz w:val="32"/>
          <w:szCs w:val="32"/>
          <w:lang w:val="en" w:eastAsia="en" w:bidi="ar-SA"/>
        </w:rPr>
        <w:t>孤儿医疗康复明天计划：对符合条件的孤儿及事实</w:t>
      </w:r>
      <w:r>
        <w:rPr>
          <w:rFonts w:hint="default" w:ascii="Times New Roman" w:hAnsi="Times New Roman" w:eastAsia="方正仿宋_GBK" w:cs="Times New Roman"/>
          <w:bCs/>
          <w:spacing w:val="-17"/>
          <w:sz w:val="32"/>
          <w:szCs w:val="32"/>
          <w:lang w:val="en" w:eastAsia="en" w:bidi="ar-SA"/>
        </w:rPr>
        <w:t>无人抚养儿童开展医疗救治和康复资助，重点保障诊疗、手术、药品、康复训练等必要费用。严格执行“申请—审核—公示—救助（结算）—回访”流程，实行定点医疗机构服务与费用结算管理，资金专款专用、全程留痕，确保救助及时规范、效果可评估；事实无人抚养儿童年满</w:t>
      </w:r>
      <w:r>
        <w:rPr>
          <w:rFonts w:hint="default" w:ascii="Times New Roman" w:hAnsi="Times New Roman" w:eastAsia="方正仿宋_GBK" w:cs="Times New Roman"/>
          <w:bCs/>
          <w:spacing w:val="-17"/>
          <w:sz w:val="32"/>
          <w:szCs w:val="32"/>
          <w:lang w:val="en" w:eastAsia="en"/>
        </w:rPr>
        <w:t>18</w:t>
      </w:r>
      <w:r>
        <w:rPr>
          <w:rFonts w:hint="default" w:ascii="Times New Roman" w:hAnsi="Times New Roman" w:eastAsia="方正仿宋_GBK" w:cs="Times New Roman"/>
          <w:bCs/>
          <w:spacing w:val="-17"/>
          <w:sz w:val="32"/>
          <w:szCs w:val="32"/>
          <w:lang w:val="en" w:eastAsia="en" w:bidi="ar-SA"/>
        </w:rPr>
        <w:t>周岁后助学：对年满</w:t>
      </w:r>
      <w:r>
        <w:rPr>
          <w:rFonts w:hint="default" w:ascii="Times New Roman" w:hAnsi="Times New Roman" w:eastAsia="方正仿宋_GBK" w:cs="Times New Roman"/>
          <w:bCs/>
          <w:spacing w:val="-17"/>
          <w:sz w:val="32"/>
          <w:szCs w:val="32"/>
          <w:lang w:val="en" w:eastAsia="en"/>
        </w:rPr>
        <w:t>18</w:t>
      </w:r>
      <w:r>
        <w:rPr>
          <w:rFonts w:hint="default" w:ascii="Times New Roman" w:hAnsi="Times New Roman" w:eastAsia="方正仿宋_GBK" w:cs="Times New Roman"/>
          <w:bCs/>
          <w:spacing w:val="-17"/>
          <w:sz w:val="32"/>
          <w:szCs w:val="32"/>
          <w:lang w:val="en" w:eastAsia="en" w:bidi="ar-SA"/>
        </w:rPr>
        <w:t>周岁且继续在校就读（含中职、高职、高校等）的事实无人抚养儿童，按规定标准给予助学资助，重点用于学费、住宿费及必要学习生活支出；</w:t>
      </w:r>
      <w:r>
        <w:rPr>
          <w:rFonts w:hint="default" w:ascii="Times New Roman" w:hAnsi="Times New Roman" w:eastAsia="方正仿宋_GBK" w:cs="Times New Roman"/>
          <w:sz w:val="32"/>
          <w:szCs w:val="32"/>
          <w:lang w:bidi="ar"/>
        </w:rPr>
        <w:t>为你而来 相伴成长</w:t>
      </w:r>
      <w:r>
        <w:rPr>
          <w:rFonts w:hint="default" w:ascii="Times New Roman" w:hAnsi="Times New Roman" w:eastAsia="方正仿宋_GBK" w:cs="Times New Roman"/>
          <w:bCs/>
          <w:spacing w:val="-17"/>
          <w:sz w:val="32"/>
          <w:szCs w:val="32"/>
          <w:lang w:bidi="ar-SA"/>
        </w:rPr>
        <w:t>儿童关爱保护项目开展巡查巡访、心理指导等服务，组织爱国</w:t>
      </w:r>
      <w:r>
        <w:rPr>
          <w:rFonts w:hint="default" w:ascii="Times New Roman" w:hAnsi="Times New Roman" w:eastAsia="方正仿宋_GBK" w:cs="Times New Roman"/>
          <w:bCs/>
          <w:spacing w:val="-17"/>
          <w:sz w:val="32"/>
          <w:szCs w:val="32"/>
          <w:lang w:eastAsia="zh-CN" w:bidi="ar-SA"/>
        </w:rPr>
        <w:t>主义</w:t>
      </w:r>
      <w:r>
        <w:rPr>
          <w:rFonts w:hint="default" w:ascii="Times New Roman" w:hAnsi="Times New Roman" w:eastAsia="方正仿宋_GBK" w:cs="Times New Roman"/>
          <w:bCs/>
          <w:spacing w:val="-17"/>
          <w:sz w:val="32"/>
          <w:szCs w:val="32"/>
          <w:lang w:bidi="ar-SA"/>
        </w:rPr>
        <w:t>教育、法律共读等活动，丰富关爱内涵；推动服务覆盖困境、留守、流动儿童，明确</w:t>
      </w:r>
      <w:r>
        <w:rPr>
          <w:rFonts w:hint="default" w:ascii="Times New Roman" w:hAnsi="Times New Roman" w:eastAsia="方正仿宋_GBK" w:cs="Times New Roman"/>
          <w:sz w:val="32"/>
          <w:szCs w:val="32"/>
          <w:lang w:bidi="ar"/>
        </w:rPr>
        <w:t>3</w:t>
      </w:r>
      <w:r>
        <w:rPr>
          <w:rFonts w:hint="default" w:ascii="Times New Roman" w:hAnsi="Times New Roman" w:eastAsia="方正仿宋_GBK" w:cs="Times New Roman"/>
          <w:sz w:val="32"/>
          <w:szCs w:val="32"/>
          <w:lang w:val="en-US" w:eastAsia="en-US" w:bidi="ar"/>
        </w:rPr>
        <w:t xml:space="preserve"> </w:t>
      </w:r>
      <w:r>
        <w:rPr>
          <w:rFonts w:hint="default" w:ascii="Times New Roman" w:hAnsi="Times New Roman" w:eastAsia="方正仿宋_GBK" w:cs="Times New Roman"/>
          <w:sz w:val="32"/>
          <w:szCs w:val="32"/>
          <w:lang w:bidi="ar"/>
        </w:rPr>
        <w:t>-</w:t>
      </w:r>
      <w:r>
        <w:rPr>
          <w:rFonts w:hint="default" w:ascii="Times New Roman" w:hAnsi="Times New Roman" w:eastAsia="方正仿宋_GBK" w:cs="Times New Roman"/>
          <w:sz w:val="32"/>
          <w:szCs w:val="32"/>
          <w:lang w:val="en-US" w:eastAsia="en-US" w:bidi="ar"/>
        </w:rPr>
        <w:t xml:space="preserve"> </w:t>
      </w:r>
      <w:r>
        <w:rPr>
          <w:rFonts w:hint="default" w:ascii="Times New Roman" w:hAnsi="Times New Roman" w:eastAsia="方正仿宋_GBK" w:cs="Times New Roman"/>
          <w:sz w:val="32"/>
          <w:szCs w:val="32"/>
          <w:lang w:bidi="ar"/>
        </w:rPr>
        <w:t>17</w:t>
      </w:r>
      <w:r>
        <w:rPr>
          <w:rFonts w:hint="default" w:ascii="Times New Roman" w:hAnsi="Times New Roman" w:eastAsia="方正仿宋_GBK" w:cs="Times New Roman"/>
          <w:bCs/>
          <w:spacing w:val="-17"/>
          <w:sz w:val="32"/>
          <w:szCs w:val="32"/>
          <w:lang w:bidi="ar-SA"/>
        </w:rPr>
        <w:t>岁重点群体。</w:t>
      </w:r>
      <w:r>
        <w:rPr>
          <w:rFonts w:hint="default" w:ascii="Times New Roman" w:hAnsi="Times New Roman" w:eastAsia="方正仿宋_GBK" w:cs="Times New Roman"/>
          <w:color w:val="000000"/>
          <w:kern w:val="0"/>
          <w:sz w:val="32"/>
          <w:szCs w:val="32"/>
          <w:highlight w:val="none"/>
          <w:u w:val="none"/>
          <w:shd w:val="clear" w:color="auto" w:fill="FFFFFF"/>
          <w:lang w:val="zh-CN" w:eastAsia="zh-CN" w:bidi="ar-SA"/>
        </w:rPr>
        <w:t>慈善事业高质量发展试点县（区）项目总体上按计划推进，</w:t>
      </w:r>
      <w:r>
        <w:rPr>
          <w:rFonts w:hint="default" w:ascii="Times New Roman" w:hAnsi="Times New Roman" w:eastAsia="方正仿宋_GBK" w:cs="Times New Roman"/>
          <w:sz w:val="32"/>
          <w:szCs w:val="32"/>
          <w:lang w:eastAsia="zh-CN"/>
        </w:rPr>
        <w:t>前期方案制定、动员部署、部分资源链接与氛围营造等启动阶段工作已顺利完成。</w:t>
      </w:r>
      <w:r>
        <w:rPr>
          <w:rFonts w:hint="default" w:ascii="Times New Roman" w:hAnsi="Times New Roman" w:eastAsia="方正仿宋_GBK" w:cs="Times New Roman"/>
          <w:color w:val="000000"/>
          <w:kern w:val="0"/>
          <w:sz w:val="32"/>
          <w:szCs w:val="32"/>
          <w:highlight w:val="none"/>
          <w:u w:val="none"/>
          <w:shd w:val="clear" w:color="auto" w:fill="FFFFFF"/>
          <w:lang w:val="zh-CN" w:eastAsia="zh-CN" w:bidi="ar-SA"/>
        </w:rPr>
        <w:t>环保火化炉购置、文明婚俗改革项目</w:t>
      </w:r>
      <w:r>
        <w:rPr>
          <w:rFonts w:hint="default" w:ascii="Times New Roman" w:hAnsi="Times New Roman" w:eastAsia="方正仿宋_GBK" w:cs="Times New Roman"/>
          <w:sz w:val="32"/>
          <w:szCs w:val="32"/>
          <w:lang w:eastAsia="zh-CN"/>
        </w:rPr>
        <w:t>资金聚焦民生保障、基础设施升级等重点领域，与殡葬服务、婚俗改革总体规划及相关事业发展相匹配，投向精准。</w:t>
      </w:r>
    </w:p>
    <w:p w14:paraId="2F57207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val="en-US" w:eastAsia="zh-CN"/>
        </w:rPr>
        <w:t>4.项目结果。</w:t>
      </w:r>
    </w:p>
    <w:p w14:paraId="35AA304B">
      <w:pPr>
        <w:keepNext w:val="0"/>
        <w:keepLines w:val="0"/>
        <w:pageBreakBefore w:val="0"/>
        <w:kinsoku/>
        <w:wordWrap/>
        <w:overflowPunct/>
        <w:topLinePunct w:val="0"/>
        <w:autoSpaceDE/>
        <w:bidi w:val="0"/>
        <w:spacing w:line="560" w:lineRule="exact"/>
        <w:ind w:left="0" w:leftChars="0" w:firstLine="640" w:firstLineChars="200"/>
        <w:jc w:val="both"/>
        <w:textAlignment w:val="auto"/>
        <w:rPr>
          <w:rFonts w:hint="default" w:ascii="Times New Roman" w:hAnsi="Times New Roman" w:eastAsia="方正仿宋_GBK" w:cs="Times New Roman"/>
          <w:bCs/>
          <w:spacing w:val="-17"/>
          <w:sz w:val="32"/>
          <w:szCs w:val="32"/>
        </w:rPr>
      </w:pPr>
      <w:r>
        <w:rPr>
          <w:rFonts w:hint="default" w:ascii="Times New Roman" w:hAnsi="Times New Roman" w:eastAsia="方正仿宋_GBK" w:cs="Times New Roman"/>
          <w:sz w:val="32"/>
          <w:szCs w:val="32"/>
          <w:lang w:eastAsia="zh-CN" w:bidi="ar-SA"/>
        </w:rPr>
        <w:t>（</w:t>
      </w:r>
      <w:r>
        <w:rPr>
          <w:rFonts w:hint="default" w:ascii="Times New Roman" w:hAnsi="Times New Roman" w:eastAsia="方正仿宋_GBK" w:cs="Times New Roman"/>
          <w:sz w:val="32"/>
          <w:szCs w:val="32"/>
          <w:lang w:val="en-US" w:eastAsia="zh-CN" w:bidi="ar-SA"/>
        </w:rPr>
        <w:t>1</w:t>
      </w:r>
      <w:r>
        <w:rPr>
          <w:rFonts w:hint="default" w:ascii="Times New Roman" w:hAnsi="Times New Roman" w:eastAsia="方正仿宋_GBK" w:cs="Times New Roman"/>
          <w:sz w:val="32"/>
          <w:szCs w:val="32"/>
          <w:lang w:eastAsia="zh-CN" w:bidi="ar-SA"/>
        </w:rPr>
        <w:t>）儿童保障、</w:t>
      </w:r>
      <w:r>
        <w:rPr>
          <w:rFonts w:hint="default" w:ascii="Times New Roman" w:hAnsi="Times New Roman" w:eastAsia="方正仿宋_GBK" w:cs="Times New Roman"/>
          <w:sz w:val="32"/>
          <w:szCs w:val="32"/>
          <w:lang w:bidi="ar-SA"/>
        </w:rPr>
        <w:t>精神障碍社区康复服务</w:t>
      </w:r>
      <w:r>
        <w:rPr>
          <w:rFonts w:hint="default" w:ascii="Times New Roman" w:hAnsi="Times New Roman" w:eastAsia="方正仿宋_GBK" w:cs="Times New Roman"/>
          <w:sz w:val="32"/>
          <w:szCs w:val="32"/>
          <w:lang w:eastAsia="zh-CN" w:bidi="ar-SA"/>
        </w:rPr>
        <w:t>、</w:t>
      </w:r>
      <w:r>
        <w:rPr>
          <w:rFonts w:hint="default" w:ascii="Times New Roman" w:hAnsi="Times New Roman" w:eastAsia="方正仿宋_GBK" w:cs="Times New Roman"/>
          <w:sz w:val="32"/>
          <w:szCs w:val="32"/>
          <w:lang w:bidi="ar-SA"/>
        </w:rPr>
        <w:t>康复辅助器具租赁服务</w:t>
      </w:r>
      <w:r>
        <w:rPr>
          <w:rFonts w:hint="default" w:ascii="Times New Roman" w:hAnsi="Times New Roman" w:eastAsia="方正仿宋_GBK" w:cs="Times New Roman"/>
          <w:sz w:val="32"/>
          <w:szCs w:val="32"/>
          <w:lang w:eastAsia="zh-CN" w:bidi="ar-SA"/>
        </w:rPr>
        <w:t>。</w:t>
      </w:r>
      <w:r>
        <w:rPr>
          <w:rFonts w:hint="default" w:ascii="Times New Roman" w:hAnsi="Times New Roman" w:eastAsia="方正仿宋_GBK" w:cs="Times New Roman"/>
          <w:sz w:val="32"/>
          <w:szCs w:val="32"/>
          <w:lang w:bidi="ar-SA"/>
        </w:rPr>
        <w:t>精神障碍社区康复服务年初</w:t>
      </w:r>
      <w:r>
        <w:rPr>
          <w:rFonts w:hint="default" w:ascii="Times New Roman" w:hAnsi="Times New Roman" w:eastAsia="方正仿宋_GBK" w:cs="Times New Roman"/>
          <w:sz w:val="32"/>
          <w:szCs w:val="32"/>
          <w:lang w:eastAsia="zh-CN" w:bidi="ar-SA"/>
        </w:rPr>
        <w:t>设置</w:t>
      </w:r>
      <w:r>
        <w:rPr>
          <w:rFonts w:hint="default" w:ascii="Times New Roman" w:hAnsi="Times New Roman" w:eastAsia="方正仿宋_GBK" w:cs="Times New Roman"/>
          <w:sz w:val="32"/>
          <w:szCs w:val="32"/>
          <w:lang w:bidi="ar-SA"/>
        </w:rPr>
        <w:t>绩效目标为服务人次数≧</w:t>
      </w:r>
      <w:r>
        <w:rPr>
          <w:rFonts w:hint="default" w:ascii="Times New Roman" w:hAnsi="Times New Roman" w:eastAsia="方正仿宋_GBK" w:cs="Times New Roman"/>
          <w:bCs/>
          <w:spacing w:val="-17"/>
          <w:sz w:val="32"/>
          <w:szCs w:val="32"/>
        </w:rPr>
        <w:t>37000</w:t>
      </w:r>
      <w:r>
        <w:rPr>
          <w:rFonts w:hint="default" w:ascii="Times New Roman" w:hAnsi="Times New Roman" w:eastAsia="方正仿宋_GBK" w:cs="Times New Roman"/>
          <w:sz w:val="32"/>
          <w:szCs w:val="32"/>
          <w:lang w:bidi="ar-SA"/>
        </w:rPr>
        <w:t>人次，该项目累计为</w:t>
      </w:r>
      <w:r>
        <w:rPr>
          <w:rFonts w:hint="default" w:ascii="Times New Roman" w:hAnsi="Times New Roman" w:eastAsia="方正仿宋_GBK" w:cs="Times New Roman"/>
          <w:bCs/>
          <w:spacing w:val="-17"/>
          <w:sz w:val="32"/>
          <w:szCs w:val="32"/>
          <w:lang w:val="en-US" w:eastAsia="en-US"/>
        </w:rPr>
        <w:t>39757</w:t>
      </w:r>
      <w:r>
        <w:rPr>
          <w:rFonts w:hint="default" w:ascii="Times New Roman" w:hAnsi="Times New Roman" w:eastAsia="方正仿宋_GBK" w:cs="Times New Roman"/>
          <w:bCs/>
          <w:spacing w:val="-17"/>
          <w:sz w:val="32"/>
          <w:szCs w:val="32"/>
          <w:lang w:bidi="ar-SA"/>
        </w:rPr>
        <w:t>人次</w:t>
      </w:r>
      <w:r>
        <w:rPr>
          <w:rFonts w:hint="default" w:ascii="Times New Roman" w:hAnsi="Times New Roman" w:eastAsia="方正仿宋_GBK" w:cs="Times New Roman"/>
          <w:sz w:val="32"/>
          <w:szCs w:val="32"/>
          <w:lang w:bidi="ar-SA"/>
        </w:rPr>
        <w:t>提供规范</w:t>
      </w:r>
      <w:r>
        <w:rPr>
          <w:rFonts w:hint="default" w:ascii="Times New Roman" w:hAnsi="Times New Roman" w:eastAsia="方正仿宋_GBK" w:cs="Times New Roman"/>
          <w:sz w:val="32"/>
          <w:szCs w:val="32"/>
          <w:lang w:val="en-US" w:eastAsia="en-US" w:bidi="ar-SA"/>
        </w:rPr>
        <w:t>服务</w:t>
      </w:r>
      <w:r>
        <w:rPr>
          <w:rFonts w:hint="default" w:ascii="Times New Roman" w:hAnsi="Times New Roman" w:eastAsia="方正仿宋_GBK" w:cs="Times New Roman"/>
          <w:sz w:val="32"/>
          <w:szCs w:val="32"/>
          <w:lang w:bidi="ar-SA"/>
        </w:rPr>
        <w:t>；康复辅助器具社区租赁服务年初绩效目标为建设康复辅助器具租赁服务点大于等于</w:t>
      </w:r>
      <w:r>
        <w:rPr>
          <w:rFonts w:hint="default" w:ascii="Times New Roman" w:hAnsi="Times New Roman" w:eastAsia="方正仿宋_GBK" w:cs="Times New Roman"/>
          <w:bCs/>
          <w:spacing w:val="-17"/>
          <w:sz w:val="32"/>
          <w:szCs w:val="32"/>
        </w:rPr>
        <w:t>3</w:t>
      </w:r>
      <w:r>
        <w:rPr>
          <w:rFonts w:hint="default" w:ascii="Times New Roman" w:hAnsi="Times New Roman" w:eastAsia="方正仿宋_GBK" w:cs="Times New Roman"/>
          <w:bCs/>
          <w:spacing w:val="-17"/>
          <w:sz w:val="32"/>
          <w:szCs w:val="32"/>
          <w:lang w:bidi="ar-SA"/>
        </w:rPr>
        <w:t>个</w:t>
      </w:r>
      <w:r>
        <w:rPr>
          <w:rFonts w:hint="default" w:ascii="Times New Roman" w:hAnsi="Times New Roman" w:eastAsia="方正仿宋_GBK" w:cs="Times New Roman"/>
          <w:bCs/>
          <w:spacing w:val="-17"/>
          <w:sz w:val="32"/>
          <w:szCs w:val="32"/>
          <w:lang w:eastAsia="zh-CN"/>
        </w:rPr>
        <w:t>，</w:t>
      </w:r>
      <w:r>
        <w:rPr>
          <w:rFonts w:hint="default" w:ascii="Times New Roman" w:hAnsi="Times New Roman" w:eastAsia="方正仿宋_GBK" w:cs="Times New Roman"/>
          <w:bCs/>
          <w:spacing w:val="-17"/>
          <w:sz w:val="32"/>
          <w:szCs w:val="32"/>
        </w:rPr>
        <w:t>2025</w:t>
      </w:r>
      <w:r>
        <w:rPr>
          <w:rFonts w:hint="default" w:ascii="Times New Roman" w:hAnsi="Times New Roman" w:eastAsia="方正仿宋_GBK" w:cs="Times New Roman"/>
          <w:bCs/>
          <w:spacing w:val="-17"/>
          <w:sz w:val="32"/>
          <w:szCs w:val="32"/>
          <w:lang w:bidi="ar-SA"/>
        </w:rPr>
        <w:t>年全市已建成</w:t>
      </w:r>
      <w:r>
        <w:rPr>
          <w:rFonts w:hint="default" w:ascii="Times New Roman" w:hAnsi="Times New Roman" w:eastAsia="方正仿宋_GBK" w:cs="Times New Roman"/>
          <w:bCs/>
          <w:spacing w:val="-17"/>
          <w:sz w:val="32"/>
          <w:szCs w:val="32"/>
        </w:rPr>
        <w:t>3</w:t>
      </w:r>
      <w:r>
        <w:rPr>
          <w:rFonts w:hint="default" w:ascii="Times New Roman" w:hAnsi="Times New Roman" w:eastAsia="方正仿宋_GBK" w:cs="Times New Roman"/>
          <w:bCs/>
          <w:spacing w:val="-17"/>
          <w:sz w:val="32"/>
          <w:szCs w:val="32"/>
          <w:lang w:bidi="ar-SA"/>
        </w:rPr>
        <w:t>个站点并开展服务，累计为</w:t>
      </w:r>
      <w:r>
        <w:rPr>
          <w:rFonts w:hint="default" w:ascii="Times New Roman" w:hAnsi="Times New Roman" w:eastAsia="方正仿宋_GBK" w:cs="Times New Roman"/>
          <w:bCs/>
          <w:spacing w:val="-17"/>
          <w:sz w:val="32"/>
          <w:szCs w:val="32"/>
        </w:rPr>
        <w:t>871</w:t>
      </w:r>
      <w:r>
        <w:rPr>
          <w:rFonts w:hint="default" w:ascii="Times New Roman" w:hAnsi="Times New Roman" w:eastAsia="方正仿宋_GBK" w:cs="Times New Roman"/>
          <w:bCs/>
          <w:spacing w:val="-17"/>
          <w:sz w:val="32"/>
          <w:szCs w:val="32"/>
          <w:lang w:bidi="ar-SA"/>
        </w:rPr>
        <w:t>人提供辅具租赁服务；</w:t>
      </w:r>
      <w:r>
        <w:rPr>
          <w:rFonts w:hint="default" w:ascii="Times New Roman" w:hAnsi="Times New Roman" w:eastAsia="方正仿宋_GBK" w:cs="Times New Roman"/>
          <w:spacing w:val="-16"/>
          <w:sz w:val="32"/>
          <w:szCs w:val="32"/>
          <w:lang w:bidi="ar-SA"/>
        </w:rPr>
        <w:t>福彩圆梦·孤儿助学工程年初的绩效目标为全年资助孤儿数</w:t>
      </w:r>
      <w:r>
        <w:rPr>
          <w:rFonts w:hint="default" w:ascii="Times New Roman" w:hAnsi="Times New Roman" w:eastAsia="方正仿宋_GBK" w:cs="Times New Roman"/>
          <w:sz w:val="32"/>
          <w:szCs w:val="32"/>
          <w:lang w:bidi="ar-SA"/>
        </w:rPr>
        <w:t>≧</w:t>
      </w:r>
      <w:r>
        <w:rPr>
          <w:rFonts w:hint="default" w:ascii="Times New Roman" w:hAnsi="Times New Roman" w:eastAsia="方正仿宋_GBK" w:cs="Times New Roman"/>
          <w:bCs/>
          <w:spacing w:val="-17"/>
          <w:sz w:val="32"/>
          <w:szCs w:val="32"/>
        </w:rPr>
        <w:t>40</w:t>
      </w:r>
      <w:r>
        <w:rPr>
          <w:rFonts w:hint="default" w:ascii="Times New Roman" w:hAnsi="Times New Roman" w:eastAsia="方正仿宋_GBK" w:cs="Times New Roman"/>
          <w:bCs/>
          <w:spacing w:val="-17"/>
          <w:sz w:val="32"/>
          <w:szCs w:val="32"/>
          <w:lang w:bidi="ar-SA"/>
        </w:rPr>
        <w:t>人，</w:t>
      </w:r>
      <w:r>
        <w:rPr>
          <w:rFonts w:hint="default" w:ascii="Times New Roman" w:hAnsi="Times New Roman" w:eastAsia="方正仿宋_GBK" w:cs="Times New Roman"/>
          <w:bCs/>
          <w:spacing w:val="-17"/>
          <w:sz w:val="32"/>
          <w:szCs w:val="32"/>
        </w:rPr>
        <w:t>2025</w:t>
      </w:r>
      <w:r>
        <w:rPr>
          <w:rFonts w:hint="default" w:ascii="Times New Roman" w:hAnsi="Times New Roman" w:eastAsia="方正仿宋_GBK" w:cs="Times New Roman"/>
          <w:bCs/>
          <w:spacing w:val="-17"/>
          <w:sz w:val="32"/>
          <w:szCs w:val="32"/>
          <w:lang w:bidi="ar-SA"/>
        </w:rPr>
        <w:t>年全年累计资助孤儿</w:t>
      </w:r>
      <w:r>
        <w:rPr>
          <w:rFonts w:hint="default" w:ascii="Times New Roman" w:hAnsi="Times New Roman" w:eastAsia="方正仿宋_GBK" w:cs="Times New Roman"/>
          <w:bCs/>
          <w:spacing w:val="-17"/>
          <w:sz w:val="32"/>
          <w:szCs w:val="32"/>
        </w:rPr>
        <w:t>32</w:t>
      </w:r>
      <w:r>
        <w:rPr>
          <w:rFonts w:hint="default" w:ascii="Times New Roman" w:hAnsi="Times New Roman" w:eastAsia="方正仿宋_GBK" w:cs="Times New Roman"/>
          <w:bCs/>
          <w:spacing w:val="-17"/>
          <w:sz w:val="32"/>
          <w:szCs w:val="32"/>
          <w:lang w:bidi="ar-SA"/>
        </w:rPr>
        <w:t>人 ；</w:t>
      </w:r>
      <w:r>
        <w:rPr>
          <w:rFonts w:hint="default" w:ascii="Times New Roman" w:hAnsi="Times New Roman" w:eastAsia="方正仿宋_GBK" w:cs="Times New Roman"/>
          <w:bCs/>
          <w:spacing w:val="-17"/>
          <w:sz w:val="32"/>
          <w:szCs w:val="32"/>
          <w:lang w:val="en" w:eastAsia="en" w:bidi="ar-SA"/>
        </w:rPr>
        <w:t>孤儿医疗康复明天计划</w:t>
      </w:r>
      <w:r>
        <w:rPr>
          <w:rFonts w:hint="default" w:ascii="Times New Roman" w:hAnsi="Times New Roman" w:eastAsia="方正仿宋_GBK" w:cs="Times New Roman"/>
          <w:spacing w:val="-16"/>
          <w:sz w:val="32"/>
          <w:szCs w:val="32"/>
          <w:lang w:bidi="ar-SA"/>
        </w:rPr>
        <w:t>年初的绩效目标为全年资助孤儿数</w:t>
      </w:r>
      <w:r>
        <w:rPr>
          <w:rFonts w:hint="default" w:ascii="Times New Roman" w:hAnsi="Times New Roman" w:eastAsia="方正仿宋_GBK" w:cs="Times New Roman"/>
          <w:sz w:val="32"/>
          <w:szCs w:val="32"/>
          <w:lang w:bidi="ar-SA"/>
        </w:rPr>
        <w:t>≧</w:t>
      </w:r>
      <w:r>
        <w:rPr>
          <w:rFonts w:hint="default" w:ascii="Times New Roman" w:hAnsi="Times New Roman" w:eastAsia="方正仿宋_GBK" w:cs="Times New Roman"/>
          <w:bCs/>
          <w:spacing w:val="-17"/>
          <w:sz w:val="32"/>
          <w:szCs w:val="32"/>
        </w:rPr>
        <w:t>50</w:t>
      </w:r>
      <w:r>
        <w:rPr>
          <w:rFonts w:hint="default" w:ascii="Times New Roman" w:hAnsi="Times New Roman" w:eastAsia="方正仿宋_GBK" w:cs="Times New Roman"/>
          <w:bCs/>
          <w:spacing w:val="-17"/>
          <w:sz w:val="32"/>
          <w:szCs w:val="32"/>
          <w:lang w:bidi="ar-SA"/>
        </w:rPr>
        <w:t>人</w:t>
      </w:r>
      <w:r>
        <w:rPr>
          <w:rFonts w:hint="default" w:ascii="Times New Roman" w:hAnsi="Times New Roman" w:eastAsia="方正仿宋_GBK" w:cs="Times New Roman"/>
          <w:sz w:val="32"/>
          <w:szCs w:val="32"/>
          <w:lang w:bidi="ar-SA"/>
        </w:rPr>
        <w:t>，</w:t>
      </w:r>
      <w:r>
        <w:rPr>
          <w:rFonts w:hint="default" w:ascii="Times New Roman" w:hAnsi="Times New Roman" w:eastAsia="方正仿宋_GBK" w:cs="Times New Roman"/>
          <w:bCs/>
          <w:spacing w:val="-17"/>
          <w:sz w:val="32"/>
          <w:szCs w:val="32"/>
        </w:rPr>
        <w:t>2025</w:t>
      </w:r>
      <w:r>
        <w:rPr>
          <w:rFonts w:hint="default" w:ascii="Times New Roman" w:hAnsi="Times New Roman" w:eastAsia="方正仿宋_GBK" w:cs="Times New Roman"/>
          <w:bCs/>
          <w:spacing w:val="-17"/>
          <w:sz w:val="32"/>
          <w:szCs w:val="32"/>
          <w:lang w:bidi="ar-SA"/>
        </w:rPr>
        <w:t>年全年累计资助孤儿</w:t>
      </w:r>
      <w:r>
        <w:rPr>
          <w:rFonts w:hint="default" w:ascii="Times New Roman" w:hAnsi="Times New Roman" w:eastAsia="方正仿宋_GBK" w:cs="Times New Roman"/>
          <w:bCs/>
          <w:spacing w:val="-17"/>
          <w:sz w:val="32"/>
          <w:szCs w:val="32"/>
        </w:rPr>
        <w:t>49</w:t>
      </w:r>
      <w:r>
        <w:rPr>
          <w:rFonts w:hint="default" w:ascii="Times New Roman" w:hAnsi="Times New Roman" w:eastAsia="方正仿宋_GBK" w:cs="Times New Roman"/>
          <w:bCs/>
          <w:spacing w:val="-17"/>
          <w:sz w:val="32"/>
          <w:szCs w:val="32"/>
          <w:lang w:bidi="ar-SA"/>
        </w:rPr>
        <w:t>人；</w:t>
      </w:r>
      <w:r>
        <w:rPr>
          <w:rFonts w:hint="default" w:ascii="Times New Roman" w:hAnsi="Times New Roman" w:eastAsia="方正仿宋_GBK" w:cs="Times New Roman"/>
          <w:bCs/>
          <w:spacing w:val="-17"/>
          <w:sz w:val="32"/>
          <w:szCs w:val="32"/>
          <w:lang w:val="en" w:eastAsia="en" w:bidi="ar-SA"/>
        </w:rPr>
        <w:t>事实无人抚养儿童年满</w:t>
      </w:r>
      <w:r>
        <w:rPr>
          <w:rFonts w:hint="default" w:ascii="Times New Roman" w:hAnsi="Times New Roman" w:eastAsia="方正仿宋_GBK" w:cs="Times New Roman"/>
          <w:bCs/>
          <w:spacing w:val="-17"/>
          <w:sz w:val="32"/>
          <w:szCs w:val="32"/>
          <w:lang w:val="en" w:eastAsia="en"/>
        </w:rPr>
        <w:t>18</w:t>
      </w:r>
      <w:r>
        <w:rPr>
          <w:rFonts w:hint="default" w:ascii="Times New Roman" w:hAnsi="Times New Roman" w:eastAsia="方正仿宋_GBK" w:cs="Times New Roman"/>
          <w:bCs/>
          <w:spacing w:val="-17"/>
          <w:sz w:val="32"/>
          <w:szCs w:val="32"/>
          <w:lang w:val="en" w:eastAsia="en" w:bidi="ar-SA"/>
        </w:rPr>
        <w:t>周岁后助学</w:t>
      </w:r>
      <w:r>
        <w:rPr>
          <w:rFonts w:hint="default" w:ascii="Times New Roman" w:hAnsi="Times New Roman" w:eastAsia="方正仿宋_GBK" w:cs="Times New Roman"/>
          <w:spacing w:val="-16"/>
          <w:sz w:val="32"/>
          <w:szCs w:val="32"/>
          <w:lang w:bidi="ar-SA"/>
        </w:rPr>
        <w:t>年初的绩效目标为全年资助孤儿数</w:t>
      </w:r>
      <w:r>
        <w:rPr>
          <w:rFonts w:hint="default" w:ascii="Times New Roman" w:hAnsi="Times New Roman" w:eastAsia="方正仿宋_GBK" w:cs="Times New Roman"/>
          <w:sz w:val="32"/>
          <w:szCs w:val="32"/>
          <w:lang w:bidi="ar-SA"/>
        </w:rPr>
        <w:t>≧</w:t>
      </w:r>
      <w:r>
        <w:rPr>
          <w:rFonts w:hint="default" w:ascii="Times New Roman" w:hAnsi="Times New Roman" w:eastAsia="方正仿宋_GBK" w:cs="Times New Roman"/>
          <w:bCs/>
          <w:spacing w:val="-17"/>
          <w:sz w:val="32"/>
          <w:szCs w:val="32"/>
        </w:rPr>
        <w:t>24</w:t>
      </w:r>
      <w:r>
        <w:rPr>
          <w:rFonts w:hint="default" w:ascii="Times New Roman" w:hAnsi="Times New Roman" w:eastAsia="方正仿宋_GBK" w:cs="Times New Roman"/>
          <w:bCs/>
          <w:spacing w:val="-17"/>
          <w:sz w:val="32"/>
          <w:szCs w:val="32"/>
          <w:lang w:bidi="ar-SA"/>
        </w:rPr>
        <w:t>人</w:t>
      </w:r>
      <w:r>
        <w:rPr>
          <w:rFonts w:hint="default" w:ascii="Times New Roman" w:hAnsi="Times New Roman" w:eastAsia="方正仿宋_GBK" w:cs="Times New Roman"/>
          <w:spacing w:val="-16"/>
          <w:sz w:val="32"/>
          <w:szCs w:val="32"/>
          <w:lang w:bidi="ar-SA"/>
        </w:rPr>
        <w:t>，</w:t>
      </w:r>
      <w:r>
        <w:rPr>
          <w:rFonts w:hint="default" w:ascii="Times New Roman" w:hAnsi="Times New Roman" w:eastAsia="方正仿宋_GBK" w:cs="Times New Roman"/>
          <w:bCs/>
          <w:spacing w:val="-17"/>
          <w:sz w:val="32"/>
          <w:szCs w:val="32"/>
        </w:rPr>
        <w:t xml:space="preserve"> 2025</w:t>
      </w:r>
      <w:r>
        <w:rPr>
          <w:rFonts w:hint="default" w:ascii="Times New Roman" w:hAnsi="Times New Roman" w:eastAsia="方正仿宋_GBK" w:cs="Times New Roman"/>
          <w:bCs/>
          <w:spacing w:val="-17"/>
          <w:sz w:val="32"/>
          <w:szCs w:val="32"/>
          <w:lang w:bidi="ar-SA"/>
        </w:rPr>
        <w:t>年全年累计资助</w:t>
      </w:r>
      <w:r>
        <w:rPr>
          <w:rFonts w:hint="default" w:ascii="Times New Roman" w:hAnsi="Times New Roman" w:eastAsia="方正仿宋_GBK" w:cs="Times New Roman"/>
          <w:bCs/>
          <w:spacing w:val="-17"/>
          <w:sz w:val="32"/>
          <w:szCs w:val="32"/>
        </w:rPr>
        <w:t>23人</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kern w:val="2"/>
          <w:sz w:val="32"/>
          <w:szCs w:val="32"/>
          <w:lang w:val="en-US" w:eastAsia="zh-CN" w:bidi="ar-SA"/>
        </w:rPr>
        <w:t>超额</w:t>
      </w:r>
      <w:r>
        <w:rPr>
          <w:rFonts w:hint="default" w:ascii="Times New Roman" w:hAnsi="Times New Roman" w:eastAsia="方正仿宋_GBK" w:cs="Times New Roman"/>
          <w:sz w:val="32"/>
          <w:szCs w:val="32"/>
          <w:lang w:eastAsia="zh-CN"/>
        </w:rPr>
        <w:t>完成预期目标</w:t>
      </w:r>
      <w:r>
        <w:rPr>
          <w:rFonts w:hint="default" w:ascii="Times New Roman" w:hAnsi="Times New Roman" w:eastAsia="方正仿宋_GBK" w:cs="Times New Roman"/>
          <w:bCs/>
          <w:spacing w:val="-17"/>
          <w:sz w:val="32"/>
          <w:szCs w:val="32"/>
        </w:rPr>
        <w:t>。</w:t>
      </w:r>
    </w:p>
    <w:p w14:paraId="26249BE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color w:val="000000"/>
          <w:kern w:val="0"/>
          <w:sz w:val="32"/>
          <w:szCs w:val="32"/>
          <w:highlight w:val="none"/>
          <w:u w:val="none"/>
          <w:shd w:val="clear" w:color="auto" w:fill="FFFFFF"/>
          <w:lang w:val="zh-CN" w:eastAsia="zh-CN" w:bidi="ar-SA"/>
        </w:rPr>
        <w:t>（</w:t>
      </w:r>
      <w:r>
        <w:rPr>
          <w:rFonts w:hint="default" w:ascii="Times New Roman" w:hAnsi="Times New Roman" w:eastAsia="方正仿宋_GBK" w:cs="Times New Roman"/>
          <w:color w:val="000000"/>
          <w:kern w:val="0"/>
          <w:sz w:val="32"/>
          <w:szCs w:val="32"/>
          <w:highlight w:val="none"/>
          <w:u w:val="none"/>
          <w:shd w:val="clear" w:color="auto" w:fill="FFFFFF"/>
          <w:lang w:val="en-US" w:eastAsia="zh-CN" w:bidi="ar-SA"/>
        </w:rPr>
        <w:t>2</w:t>
      </w:r>
      <w:r>
        <w:rPr>
          <w:rFonts w:hint="default" w:ascii="Times New Roman" w:hAnsi="Times New Roman" w:eastAsia="方正仿宋_GBK" w:cs="Times New Roman"/>
          <w:color w:val="000000"/>
          <w:kern w:val="0"/>
          <w:sz w:val="32"/>
          <w:szCs w:val="32"/>
          <w:highlight w:val="none"/>
          <w:u w:val="none"/>
          <w:shd w:val="clear" w:color="auto" w:fill="FFFFFF"/>
          <w:lang w:val="zh-CN" w:eastAsia="zh-CN" w:bidi="ar-SA"/>
        </w:rPr>
        <w:t>）慈善事业高质量发展试点。</w:t>
      </w:r>
      <w:r>
        <w:rPr>
          <w:rFonts w:hint="default" w:ascii="Times New Roman" w:hAnsi="Times New Roman" w:eastAsia="方正仿宋_GBK" w:cs="Times New Roman"/>
          <w:sz w:val="32"/>
          <w:szCs w:val="32"/>
          <w:lang w:bidi="ar-SA"/>
        </w:rPr>
        <w:t>年初绩效目标为</w:t>
      </w:r>
      <w:r>
        <w:rPr>
          <w:rFonts w:hint="default" w:ascii="Times New Roman" w:hAnsi="Times New Roman" w:eastAsia="方正仿宋_GBK" w:cs="Times New Roman"/>
          <w:color w:val="000000"/>
          <w:kern w:val="0"/>
          <w:sz w:val="32"/>
          <w:szCs w:val="32"/>
          <w:highlight w:val="none"/>
          <w:u w:val="none"/>
          <w:shd w:val="clear" w:color="auto" w:fill="FFFFFF"/>
          <w:lang w:val="zh-CN" w:eastAsia="zh-CN" w:bidi="ar-SA"/>
        </w:rPr>
        <w:t>完成</w:t>
      </w:r>
      <w:r>
        <w:rPr>
          <w:rFonts w:hint="default" w:ascii="Times New Roman" w:hAnsi="Times New Roman" w:eastAsia="方正仿宋_GBK" w:cs="Times New Roman"/>
          <w:b w:val="0"/>
          <w:bCs/>
          <w:color w:val="auto"/>
          <w:sz w:val="32"/>
          <w:szCs w:val="32"/>
          <w:highlight w:val="none"/>
          <w:u w:val="none"/>
          <w:lang w:val="en-US" w:eastAsia="zh-CN"/>
        </w:rPr>
        <w:t>慈善事业高质量发展综合试点</w:t>
      </w:r>
      <w:r>
        <w:rPr>
          <w:rFonts w:hint="default" w:ascii="Times New Roman" w:hAnsi="Times New Roman" w:eastAsia="东文宋体" w:cs="Times New Roman"/>
          <w:b w:val="0"/>
          <w:bCs/>
          <w:color w:val="auto"/>
          <w:sz w:val="32"/>
          <w:szCs w:val="32"/>
          <w:highlight w:val="none"/>
          <w:u w:val="none"/>
          <w:lang w:val="en-US" w:eastAsia="zh-CN"/>
        </w:rPr>
        <w:t>≥</w:t>
      </w:r>
      <w:r>
        <w:rPr>
          <w:rFonts w:hint="default" w:ascii="Times New Roman" w:hAnsi="Times New Roman" w:eastAsia="方正仿宋_GBK" w:cs="Times New Roman"/>
          <w:b w:val="0"/>
          <w:bCs/>
          <w:color w:val="auto"/>
          <w:sz w:val="32"/>
          <w:szCs w:val="32"/>
          <w:highlight w:val="none"/>
          <w:u w:val="none"/>
          <w:lang w:val="en-US" w:eastAsia="zh-CN"/>
        </w:rPr>
        <w:t>4个，2025年实际完成慈善事业高质量发展综合试点4个，</w:t>
      </w:r>
      <w:r>
        <w:rPr>
          <w:rFonts w:hint="default" w:ascii="Times New Roman" w:hAnsi="Times New Roman" w:eastAsia="方正仿宋_GBK" w:cs="Times New Roman"/>
          <w:kern w:val="2"/>
          <w:sz w:val="32"/>
          <w:szCs w:val="32"/>
          <w:lang w:val="en-US" w:eastAsia="zh-CN" w:bidi="ar-SA"/>
        </w:rPr>
        <w:t>全面完成</w:t>
      </w:r>
      <w:r>
        <w:rPr>
          <w:rFonts w:hint="default" w:ascii="Times New Roman" w:hAnsi="Times New Roman" w:eastAsia="方正仿宋_GBK" w:cs="Times New Roman"/>
          <w:sz w:val="32"/>
          <w:szCs w:val="32"/>
          <w:lang w:eastAsia="zh-CN"/>
        </w:rPr>
        <w:t>完成预期目标。</w:t>
      </w:r>
      <w:r>
        <w:rPr>
          <w:rFonts w:hint="default" w:ascii="Times New Roman" w:hAnsi="Times New Roman" w:eastAsia="方正仿宋_GBK" w:cs="Times New Roman"/>
          <w:color w:val="000000"/>
          <w:kern w:val="0"/>
          <w:sz w:val="32"/>
          <w:szCs w:val="32"/>
          <w:highlight w:val="none"/>
          <w:u w:val="none"/>
          <w:shd w:val="clear" w:color="auto" w:fill="FFFFFF"/>
          <w:lang w:val="zh-CN" w:eastAsia="zh-CN" w:bidi="ar-SA"/>
        </w:rPr>
        <w:t>在</w:t>
      </w:r>
      <w:r>
        <w:rPr>
          <w:rFonts w:hint="default" w:ascii="Times New Roman" w:hAnsi="Times New Roman" w:eastAsia="方正仿宋_GBK" w:cs="Times New Roman"/>
          <w:kern w:val="2"/>
          <w:sz w:val="32"/>
          <w:szCs w:val="32"/>
          <w:lang w:val="en-US" w:eastAsia="zh-CN" w:bidi="ar-SA"/>
        </w:rPr>
        <w:t>社会效益方面，有效壮大了慈善主体力量，吸引了更多企业、社会组织与个人参与到慈善事业中来。经济效益方面，通过撬动社会资金设立社区慈善基金，实现了慈善资源的优化配置与有效整合，为慈善项目的开展提供了稳定的资金支持。</w:t>
      </w:r>
    </w:p>
    <w:p w14:paraId="0FA96C4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color w:val="000000"/>
          <w:kern w:val="0"/>
          <w:sz w:val="32"/>
          <w:szCs w:val="32"/>
          <w:highlight w:val="none"/>
          <w:u w:val="none"/>
          <w:shd w:val="clear" w:color="auto" w:fill="FFFFFF"/>
          <w:lang w:val="zh-CN" w:eastAsia="zh-CN" w:bidi="ar-SA"/>
        </w:rPr>
        <w:t>（</w:t>
      </w:r>
      <w:r>
        <w:rPr>
          <w:rFonts w:hint="default" w:ascii="Times New Roman" w:hAnsi="Times New Roman" w:eastAsia="方正仿宋_GBK" w:cs="Times New Roman"/>
          <w:color w:val="000000"/>
          <w:kern w:val="0"/>
          <w:sz w:val="32"/>
          <w:szCs w:val="32"/>
          <w:highlight w:val="none"/>
          <w:u w:val="none"/>
          <w:shd w:val="clear" w:color="auto" w:fill="FFFFFF"/>
          <w:lang w:val="en-US" w:eastAsia="zh-CN" w:bidi="ar-SA"/>
        </w:rPr>
        <w:t>3</w:t>
      </w:r>
      <w:r>
        <w:rPr>
          <w:rFonts w:hint="default" w:ascii="Times New Roman" w:hAnsi="Times New Roman" w:eastAsia="方正仿宋_GBK" w:cs="Times New Roman"/>
          <w:color w:val="000000"/>
          <w:kern w:val="0"/>
          <w:sz w:val="32"/>
          <w:szCs w:val="32"/>
          <w:highlight w:val="none"/>
          <w:u w:val="none"/>
          <w:shd w:val="clear" w:color="auto" w:fill="FFFFFF"/>
          <w:lang w:val="zh-CN" w:eastAsia="zh-CN" w:bidi="ar-SA"/>
        </w:rPr>
        <w:t>）环保火化炉购置、文明婚俗改革项目。</w:t>
      </w:r>
      <w:r>
        <w:rPr>
          <w:rFonts w:hint="default" w:ascii="Times New Roman" w:hAnsi="Times New Roman" w:eastAsia="方正仿宋_GBK" w:cs="Times New Roman"/>
          <w:sz w:val="32"/>
          <w:szCs w:val="32"/>
          <w:lang w:bidi="ar-SA"/>
        </w:rPr>
        <w:t>年初</w:t>
      </w:r>
      <w:r>
        <w:rPr>
          <w:rFonts w:hint="default" w:ascii="Times New Roman" w:hAnsi="Times New Roman" w:eastAsia="方正仿宋_GBK" w:cs="Times New Roman"/>
          <w:sz w:val="32"/>
          <w:szCs w:val="32"/>
          <w:lang w:eastAsia="zh-CN" w:bidi="ar-SA"/>
        </w:rPr>
        <w:t>设置</w:t>
      </w:r>
      <w:r>
        <w:rPr>
          <w:rFonts w:hint="default" w:ascii="Times New Roman" w:hAnsi="Times New Roman" w:eastAsia="方正仿宋_GBK" w:cs="Times New Roman"/>
          <w:sz w:val="32"/>
          <w:szCs w:val="32"/>
          <w:lang w:bidi="ar-SA"/>
        </w:rPr>
        <w:t>绩效目标为</w:t>
      </w:r>
      <w:r>
        <w:rPr>
          <w:rFonts w:hint="default" w:ascii="Times New Roman" w:hAnsi="Times New Roman" w:eastAsia="方正仿宋_GBK" w:cs="Times New Roman"/>
          <w:sz w:val="32"/>
          <w:szCs w:val="32"/>
          <w:lang w:eastAsia="zh-CN" w:bidi="ar-SA"/>
        </w:rPr>
        <w:t>环保火化炉购置</w:t>
      </w:r>
      <w:r>
        <w:rPr>
          <w:rFonts w:hint="default" w:ascii="Times New Roman" w:hAnsi="Times New Roman" w:eastAsia="东文宋体" w:cs="Times New Roman"/>
          <w:sz w:val="32"/>
          <w:szCs w:val="32"/>
          <w:lang w:eastAsia="zh-CN" w:bidi="ar-SA"/>
        </w:rPr>
        <w:t>≥</w:t>
      </w:r>
      <w:r>
        <w:rPr>
          <w:rFonts w:hint="default" w:ascii="Times New Roman" w:hAnsi="Times New Roman" w:eastAsia="方正仿宋_GBK" w:cs="Times New Roman"/>
          <w:sz w:val="32"/>
          <w:szCs w:val="32"/>
          <w:lang w:val="en-US" w:eastAsia="zh-CN"/>
        </w:rPr>
        <w:t>2台，</w:t>
      </w:r>
      <w:r>
        <w:rPr>
          <w:rFonts w:hint="default" w:ascii="Times New Roman" w:hAnsi="Times New Roman" w:eastAsia="方正仿宋_GBK" w:cs="Times New Roman"/>
          <w:sz w:val="32"/>
          <w:szCs w:val="32"/>
        </w:rPr>
        <w:t>开展文明婚俗活动</w:t>
      </w:r>
      <w:r>
        <w:rPr>
          <w:rFonts w:hint="default" w:ascii="Times New Roman" w:hAnsi="Times New Roman" w:eastAsia="东文宋体" w:cs="Times New Roman"/>
          <w:sz w:val="32"/>
          <w:szCs w:val="32"/>
        </w:rPr>
        <w:t>≥</w:t>
      </w:r>
      <w:r>
        <w:rPr>
          <w:rFonts w:hint="default" w:ascii="Times New Roman" w:hAnsi="Times New Roman" w:eastAsia="方正仿宋_GBK" w:cs="Times New Roman"/>
          <w:sz w:val="32"/>
          <w:szCs w:val="32"/>
        </w:rPr>
        <w:t>2场、</w:t>
      </w:r>
      <w:r>
        <w:rPr>
          <w:rFonts w:hint="default" w:ascii="Times New Roman" w:hAnsi="Times New Roman" w:eastAsia="方正仿宋_GBK" w:cs="Times New Roman"/>
          <w:sz w:val="32"/>
          <w:szCs w:val="32"/>
          <w:lang w:eastAsia="zh-CN"/>
        </w:rPr>
        <w:t>开展</w:t>
      </w:r>
      <w:r>
        <w:rPr>
          <w:rFonts w:hint="default" w:ascii="Times New Roman" w:hAnsi="Times New Roman" w:eastAsia="方正仿宋_GBK" w:cs="Times New Roman"/>
          <w:sz w:val="32"/>
          <w:szCs w:val="32"/>
        </w:rPr>
        <w:t>婚恋交友活动</w:t>
      </w:r>
      <w:r>
        <w:rPr>
          <w:rFonts w:hint="default" w:ascii="Times New Roman" w:hAnsi="Times New Roman" w:eastAsia="东文宋体" w:cs="Times New Roman"/>
          <w:sz w:val="32"/>
          <w:szCs w:val="32"/>
        </w:rPr>
        <w:t>≥</w:t>
      </w:r>
      <w:r>
        <w:rPr>
          <w:rFonts w:hint="default" w:ascii="Times New Roman" w:hAnsi="Times New Roman" w:eastAsia="方正仿宋_GBK" w:cs="Times New Roman"/>
          <w:sz w:val="32"/>
          <w:szCs w:val="32"/>
        </w:rPr>
        <w:t>1场</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2025年，</w:t>
      </w:r>
      <w:r>
        <w:rPr>
          <w:rFonts w:hint="default" w:ascii="Times New Roman" w:hAnsi="Times New Roman" w:eastAsia="方正仿宋_GBK" w:cs="Times New Roman"/>
          <w:sz w:val="32"/>
          <w:szCs w:val="32"/>
          <w:lang w:eastAsia="zh-CN"/>
        </w:rPr>
        <w:t>攀枝花市殡葬服务中心已完成</w:t>
      </w:r>
      <w:r>
        <w:rPr>
          <w:rFonts w:hint="default" w:ascii="Times New Roman" w:hAnsi="Times New Roman" w:eastAsia="方正仿宋_GBK" w:cs="Times New Roman"/>
          <w:sz w:val="32"/>
          <w:szCs w:val="32"/>
          <w:lang w:val="en-US" w:eastAsia="zh-CN"/>
        </w:rPr>
        <w:t>2台环保火化炉的购置和安装。攀枝花市西区已</w:t>
      </w:r>
      <w:r>
        <w:rPr>
          <w:rFonts w:hint="default" w:ascii="Times New Roman" w:hAnsi="Times New Roman" w:eastAsia="方正仿宋_GBK" w:cs="Times New Roman"/>
          <w:sz w:val="32"/>
          <w:szCs w:val="32"/>
        </w:rPr>
        <w:t>建设</w:t>
      </w:r>
      <w:r>
        <w:rPr>
          <w:rFonts w:hint="default" w:ascii="Times New Roman" w:hAnsi="Times New Roman" w:eastAsia="方正仿宋_GBK" w:cs="Times New Roman"/>
          <w:sz w:val="32"/>
          <w:szCs w:val="32"/>
          <w:lang w:val="en-US" w:eastAsia="zh-CN"/>
        </w:rPr>
        <w:t>1个</w:t>
      </w:r>
      <w:r>
        <w:rPr>
          <w:rFonts w:hint="default" w:ascii="Times New Roman" w:hAnsi="Times New Roman" w:eastAsia="方正仿宋_GBK" w:cs="Times New Roman"/>
          <w:sz w:val="32"/>
          <w:szCs w:val="32"/>
        </w:rPr>
        <w:t>公园式婚姻登记</w:t>
      </w:r>
      <w:r>
        <w:rPr>
          <w:rFonts w:hint="default" w:ascii="Times New Roman" w:hAnsi="Times New Roman" w:eastAsia="方正仿宋_GBK" w:cs="Times New Roman"/>
          <w:sz w:val="32"/>
          <w:szCs w:val="32"/>
          <w:lang w:eastAsia="zh-CN"/>
        </w:rPr>
        <w:t>机关</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全年</w:t>
      </w:r>
      <w:r>
        <w:rPr>
          <w:rFonts w:hint="default" w:ascii="Times New Roman" w:hAnsi="Times New Roman" w:eastAsia="方正仿宋_GBK" w:cs="Times New Roman"/>
          <w:sz w:val="32"/>
          <w:szCs w:val="32"/>
        </w:rPr>
        <w:t>开展2场文明婚俗活动、1场50人以上的婚恋交友活动</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kern w:val="2"/>
          <w:sz w:val="32"/>
          <w:szCs w:val="32"/>
          <w:lang w:val="en-US" w:eastAsia="zh-CN" w:bidi="ar-SA"/>
        </w:rPr>
        <w:t>全面完成</w:t>
      </w:r>
      <w:r>
        <w:rPr>
          <w:rFonts w:hint="default" w:ascii="Times New Roman" w:hAnsi="Times New Roman" w:eastAsia="方正仿宋_GBK" w:cs="Times New Roman"/>
          <w:sz w:val="32"/>
          <w:szCs w:val="32"/>
          <w:lang w:eastAsia="zh-CN"/>
        </w:rPr>
        <w:t>完成预期目标。</w:t>
      </w:r>
    </w:p>
    <w:p w14:paraId="5CA3BDBA">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outlineLvl w:val="9"/>
        <w:rPr>
          <w:rFonts w:hint="default" w:ascii="Times New Roman" w:hAnsi="Times New Roman" w:eastAsia="方正仿宋_GBK" w:cs="Times New Roman"/>
          <w:color w:val="auto"/>
          <w:sz w:val="32"/>
          <w:szCs w:val="32"/>
          <w:lang w:val="zh-CN" w:eastAsia="zh-CN"/>
        </w:rPr>
      </w:pPr>
      <w:r>
        <w:rPr>
          <w:rFonts w:hint="default" w:ascii="Times New Roman" w:hAnsi="Times New Roman" w:eastAsia="方正楷体_GBK" w:cs="Times New Roman"/>
          <w:b/>
          <w:color w:val="auto"/>
          <w:sz w:val="32"/>
          <w:szCs w:val="32"/>
          <w:highlight w:val="none"/>
          <w:u w:val="none"/>
          <w:lang w:val="zh-CN"/>
        </w:rPr>
        <w:t>（二）</w:t>
      </w:r>
      <w:r>
        <w:rPr>
          <w:rFonts w:hint="default" w:ascii="Times New Roman" w:hAnsi="Times New Roman" w:eastAsia="方正楷体_GBK" w:cs="Times New Roman"/>
          <w:b/>
          <w:color w:val="auto"/>
          <w:sz w:val="32"/>
          <w:szCs w:val="32"/>
          <w:highlight w:val="none"/>
          <w:u w:val="none"/>
          <w:lang w:val="en-US" w:eastAsia="zh-CN"/>
        </w:rPr>
        <w:t>专用指标</w:t>
      </w:r>
      <w:r>
        <w:rPr>
          <w:rFonts w:hint="default" w:ascii="Times New Roman" w:hAnsi="Times New Roman" w:eastAsia="方正楷体_GBK" w:cs="Times New Roman"/>
          <w:b/>
          <w:bCs/>
          <w:color w:val="000000"/>
          <w:kern w:val="0"/>
          <w:sz w:val="32"/>
          <w:szCs w:val="32"/>
          <w:highlight w:val="none"/>
          <w:shd w:val="clear" w:color="auto" w:fill="FFFFFF"/>
          <w:lang w:val="zh-CN"/>
        </w:rPr>
        <w:t>绩效分析。</w:t>
      </w:r>
    </w:p>
    <w:p w14:paraId="7F597D7F">
      <w:pPr>
        <w:keepNext w:val="0"/>
        <w:keepLines w:val="0"/>
        <w:pageBreakBefore w:val="0"/>
        <w:kinsoku/>
        <w:wordWrap/>
        <w:overflowPunct/>
        <w:topLinePunct w:val="0"/>
        <w:autoSpaceDE/>
        <w:bidi w:val="0"/>
        <w:adjustRightInd w:val="0"/>
        <w:snapToGrid w:val="0"/>
        <w:spacing w:line="560" w:lineRule="exact"/>
        <w:ind w:left="0" w:leftChars="0" w:firstLine="575" w:firstLineChars="200"/>
        <w:jc w:val="both"/>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b/>
          <w:bCs w:val="0"/>
          <w:spacing w:val="-17"/>
          <w:sz w:val="32"/>
          <w:szCs w:val="32"/>
          <w:lang w:val="en-US" w:eastAsia="zh-CN" w:bidi="ar-SA"/>
        </w:rPr>
        <w:t>1.</w:t>
      </w:r>
      <w:r>
        <w:rPr>
          <w:rFonts w:hint="default" w:ascii="Times New Roman" w:hAnsi="Times New Roman" w:eastAsia="方正仿宋_GBK" w:cs="Times New Roman"/>
          <w:b/>
          <w:bCs w:val="0"/>
          <w:spacing w:val="-17"/>
          <w:sz w:val="32"/>
          <w:szCs w:val="32"/>
          <w:lang w:bidi="ar-SA"/>
        </w:rPr>
        <w:t>区域均衡性</w:t>
      </w:r>
      <w:r>
        <w:rPr>
          <w:rFonts w:hint="default" w:ascii="Times New Roman" w:hAnsi="Times New Roman" w:eastAsia="方正仿宋_GBK" w:cs="Times New Roman"/>
          <w:b/>
          <w:bCs w:val="0"/>
          <w:spacing w:val="-17"/>
          <w:sz w:val="32"/>
          <w:szCs w:val="32"/>
          <w:lang w:eastAsia="zh-CN" w:bidi="ar-SA"/>
        </w:rPr>
        <w:t>。</w:t>
      </w:r>
      <w:r>
        <w:rPr>
          <w:rFonts w:hint="default" w:ascii="Times New Roman" w:hAnsi="Times New Roman" w:eastAsia="方正仿宋_GBK" w:cs="Times New Roman"/>
          <w:kern w:val="2"/>
          <w:sz w:val="32"/>
          <w:szCs w:val="32"/>
          <w:lang w:val="en-US" w:eastAsia="zh-CN" w:bidi="ar-SA"/>
        </w:rPr>
        <w:t>民生保障项目总体实现“市级统筹、县区落实”全域覆盖，通过统一政策口径、统一流程规范、统一数据管理，推动服务与资金向基层延伸。绩效自评中对5个县区点位开展实地核查，重点关注资金拨付进度、服务供给能力、承接机构分布与可及性等指标，</w:t>
      </w:r>
      <w:r>
        <w:rPr>
          <w:rFonts w:hint="default" w:ascii="Times New Roman" w:hAnsi="Times New Roman" w:eastAsia="方正仿宋_GBK" w:cs="Times New Roman"/>
          <w:kern w:val="2"/>
          <w:sz w:val="32"/>
          <w:szCs w:val="32"/>
          <w:lang w:val="zh-CN" w:eastAsia="zh-CN" w:bidi="ar-SA"/>
        </w:rPr>
        <w:t>充分考虑城乡差异，旨在推动慈善服务资源在县（区）域内实现相对均衡配置，从而促进慈善服务均等化。</w:t>
      </w:r>
    </w:p>
    <w:p w14:paraId="75C3287C">
      <w:pPr>
        <w:keepNext w:val="0"/>
        <w:keepLines w:val="0"/>
        <w:pageBreakBefore w:val="0"/>
        <w:kinsoku/>
        <w:wordWrap/>
        <w:overflowPunct/>
        <w:topLinePunct w:val="0"/>
        <w:autoSpaceDE/>
        <w:bidi w:val="0"/>
        <w:adjustRightInd w:val="0"/>
        <w:snapToGrid w:val="0"/>
        <w:spacing w:line="560" w:lineRule="exact"/>
        <w:ind w:left="0" w:leftChars="0" w:firstLine="643" w:firstLineChars="200"/>
        <w:jc w:val="both"/>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b/>
          <w:bCs/>
          <w:sz w:val="32"/>
          <w:szCs w:val="32"/>
          <w:lang w:val="en-US" w:eastAsia="zh-CN" w:bidi="ar-SA"/>
        </w:rPr>
        <w:t>2.</w:t>
      </w:r>
      <w:r>
        <w:rPr>
          <w:rFonts w:hint="default" w:ascii="Times New Roman" w:hAnsi="Times New Roman" w:eastAsia="方正仿宋_GBK" w:cs="Times New Roman"/>
          <w:b/>
          <w:bCs/>
          <w:sz w:val="32"/>
          <w:szCs w:val="32"/>
          <w:lang w:bidi="ar-SA"/>
        </w:rPr>
        <w:t>对象精准性</w:t>
      </w:r>
      <w:r>
        <w:rPr>
          <w:rFonts w:hint="default" w:ascii="Times New Roman" w:hAnsi="Times New Roman" w:eastAsia="方正仿宋_GBK" w:cs="Times New Roman"/>
          <w:b/>
          <w:bCs/>
          <w:sz w:val="32"/>
          <w:szCs w:val="32"/>
          <w:lang w:eastAsia="zh-CN" w:bidi="ar-SA"/>
        </w:rPr>
        <w:t>。</w:t>
      </w:r>
      <w:r>
        <w:rPr>
          <w:rFonts w:hint="default" w:ascii="Times New Roman" w:hAnsi="Times New Roman" w:eastAsia="方正仿宋_GBK" w:cs="Times New Roman"/>
          <w:sz w:val="32"/>
          <w:szCs w:val="32"/>
          <w:lang w:bidi="ar-SA"/>
        </w:rPr>
        <w:t>精神障碍社区康复服务以“心灵绿洲”攀枝花市精神障碍社区康复指导中心为牵引，构建“市级指导中心统筹—县（区）承接机构落实—乡镇（街道）/社区协同—家庭参与”的服务体系。指导中心依托专业团队与标准化工作机制，重点承担技术指导、人员培训、服务质控、疑难个案支持和转介协同等职能，统一服务规范与台账口径，推动服务流程标准化；康复辅助器具社区租赁服务，以评估适配为前置条件，做到“按需配具、适配使用、到期回收”，避免器具闲置和不适配造成的资源浪费；同时对短期需求、阶段性康复对象体现精准供给优势。福彩圆梦</w:t>
      </w:r>
      <w:r>
        <w:rPr>
          <w:rFonts w:hint="default" w:ascii="Times New Roman" w:hAnsi="Times New Roman" w:eastAsia="方正仿宋_GBK" w:cs="Times New Roman"/>
          <w:color w:val="000000"/>
          <w:spacing w:val="-16"/>
          <w:sz w:val="32"/>
          <w:szCs w:val="32"/>
          <w:lang w:bidi="ar-SA"/>
        </w:rPr>
        <w:t>·孤儿助学工程</w:t>
      </w:r>
      <w:r>
        <w:rPr>
          <w:rFonts w:hint="default" w:ascii="Times New Roman" w:hAnsi="Times New Roman" w:eastAsia="方正仿宋_GBK" w:cs="Times New Roman"/>
          <w:sz w:val="32"/>
          <w:szCs w:val="32"/>
          <w:lang w:bidi="ar-SA"/>
        </w:rPr>
        <w:t>以“全国儿童福利信息系统”孤儿身份库为基准，叠加“教育部学籍在线验证平台”全日制在校生数据，辅以公安部门户籍状态核验，形成“身份+学籍+户籍”三码合一比对模型。</w:t>
      </w:r>
      <w:r>
        <w:rPr>
          <w:rFonts w:hint="default" w:ascii="Times New Roman" w:hAnsi="Times New Roman" w:eastAsia="方正仿宋_GBK" w:cs="Times New Roman"/>
          <w:bCs/>
          <w:spacing w:val="-17"/>
          <w:sz w:val="32"/>
          <w:szCs w:val="32"/>
          <w:lang w:val="en" w:eastAsia="en" w:bidi="ar-SA"/>
        </w:rPr>
        <w:t>孤儿医疗康复明天计划</w:t>
      </w:r>
      <w:r>
        <w:rPr>
          <w:rFonts w:hint="default" w:ascii="Times New Roman" w:hAnsi="Times New Roman" w:eastAsia="方正仿宋_GBK" w:cs="Times New Roman"/>
          <w:sz w:val="32"/>
          <w:szCs w:val="32"/>
          <w:lang w:bidi="ar-SA"/>
        </w:rPr>
        <w:t>定点医院或社区卫生服务机构识别疑似救助对象并填写申请材料</w:t>
      </w:r>
      <w:r>
        <w:rPr>
          <w:rFonts w:hint="default" w:ascii="Times New Roman" w:hAnsi="Times New Roman" w:eastAsia="方正仿宋_GBK" w:cs="Times New Roman"/>
          <w:sz w:val="32"/>
          <w:szCs w:val="32"/>
          <w:lang w:val="en-US" w:eastAsia="en-US" w:bidi="ar-SA"/>
        </w:rPr>
        <w:t>，</w:t>
      </w:r>
      <w:r>
        <w:rPr>
          <w:rFonts w:hint="default" w:ascii="Times New Roman" w:hAnsi="Times New Roman" w:eastAsia="方正仿宋_GBK" w:cs="Times New Roman"/>
          <w:sz w:val="32"/>
          <w:szCs w:val="32"/>
          <w:lang w:bidi="ar-SA"/>
        </w:rPr>
        <w:t>提交至县/市民政与卫健部门联审。事实无人抚养儿童年满</w:t>
      </w:r>
      <w:r>
        <w:rPr>
          <w:rFonts w:hint="default" w:ascii="Times New Roman" w:hAnsi="Times New Roman" w:eastAsia="方正仿宋_GBK" w:cs="Times New Roman"/>
          <w:bCs/>
          <w:spacing w:val="-17"/>
          <w:sz w:val="32"/>
          <w:szCs w:val="32"/>
        </w:rPr>
        <w:t>18</w:t>
      </w:r>
      <w:r>
        <w:rPr>
          <w:rFonts w:hint="default" w:ascii="Times New Roman" w:hAnsi="Times New Roman" w:eastAsia="方正仿宋_GBK" w:cs="Times New Roman"/>
          <w:sz w:val="32"/>
          <w:szCs w:val="32"/>
          <w:lang w:bidi="ar-SA"/>
        </w:rPr>
        <w:t>周岁后助学项目通过省级“事实无人抚养儿童模块”与公安户籍系统联动。</w:t>
      </w:r>
    </w:p>
    <w:p w14:paraId="5AE2A1C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000000"/>
          <w:kern w:val="0"/>
          <w:sz w:val="32"/>
          <w:szCs w:val="32"/>
          <w:highlight w:val="none"/>
          <w:u w:val="none"/>
          <w:shd w:val="clear" w:color="auto" w:fill="FFFFFF"/>
          <w:lang w:val="zh-CN" w:eastAsia="zh-CN" w:bidi="ar-SA"/>
        </w:rPr>
        <w:t>慈善事业高质量发展试点</w:t>
      </w:r>
      <w:r>
        <w:rPr>
          <w:rFonts w:hint="default" w:ascii="Times New Roman" w:hAnsi="Times New Roman" w:eastAsia="方正仿宋_GBK" w:cs="Times New Roman"/>
          <w:sz w:val="32"/>
          <w:szCs w:val="32"/>
          <w:lang w:val="zh-CN" w:eastAsia="zh-CN"/>
        </w:rPr>
        <w:t>县（区）的</w:t>
      </w:r>
      <w:r>
        <w:rPr>
          <w:rFonts w:hint="default" w:ascii="Times New Roman" w:hAnsi="Times New Roman" w:eastAsia="方正仿宋_GBK" w:cs="Times New Roman"/>
          <w:b w:val="0"/>
          <w:bCs w:val="0"/>
          <w:color w:val="000000"/>
          <w:kern w:val="0"/>
          <w:sz w:val="32"/>
          <w:szCs w:val="32"/>
          <w:highlight w:val="none"/>
          <w:u w:val="none"/>
          <w:shd w:val="clear" w:color="auto" w:fill="FFFFFF"/>
          <w:lang w:val="zh-CN" w:eastAsia="zh-CN" w:bidi="ar-SA"/>
        </w:rPr>
        <w:t>项目</w:t>
      </w:r>
      <w:r>
        <w:rPr>
          <w:rFonts w:hint="default" w:ascii="Times New Roman" w:hAnsi="Times New Roman" w:eastAsia="方正仿宋_GBK" w:cs="Times New Roman"/>
          <w:color w:val="auto"/>
          <w:kern w:val="2"/>
          <w:sz w:val="32"/>
          <w:szCs w:val="32"/>
          <w:lang w:val="en-US" w:eastAsia="zh-CN" w:bidi="ar-SA"/>
        </w:rPr>
        <w:t>计划服务行动聚焦老年人、困境儿童、困难群众等特定群体，在整个项目的执行阶段进行持续的跟踪和优化，以确保服务能够切实满足这些特定群体的需求。</w:t>
      </w:r>
    </w:p>
    <w:p w14:paraId="20E1941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cs="Times New Roman"/>
        </w:rPr>
      </w:pPr>
      <w:r>
        <w:rPr>
          <w:rFonts w:hint="default" w:ascii="Times New Roman" w:hAnsi="Times New Roman" w:eastAsia="方正仿宋_GBK" w:cs="Times New Roman"/>
          <w:sz w:val="32"/>
          <w:szCs w:val="32"/>
          <w:lang w:eastAsia="zh-CN"/>
        </w:rPr>
        <w:t>项目规划论证符合中省关于殡葬改革、婚俗改革的重点要求，绩效目标设置科学合理，与公共服务提升需求高度契合。</w:t>
      </w:r>
    </w:p>
    <w:p w14:paraId="0069510C">
      <w:pPr>
        <w:keepNext w:val="0"/>
        <w:keepLines w:val="0"/>
        <w:pageBreakBefore w:val="0"/>
        <w:kinsoku/>
        <w:wordWrap/>
        <w:overflowPunct/>
        <w:topLinePunct w:val="0"/>
        <w:autoSpaceDE/>
        <w:bidi w:val="0"/>
        <w:adjustRightInd w:val="0"/>
        <w:snapToGrid w:val="0"/>
        <w:spacing w:line="560" w:lineRule="exact"/>
        <w:ind w:left="0" w:leftChars="0" w:firstLine="643"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bidi="ar-SA"/>
        </w:rPr>
        <w:t>3.</w:t>
      </w:r>
      <w:r>
        <w:rPr>
          <w:rFonts w:hint="default" w:ascii="Times New Roman" w:hAnsi="Times New Roman" w:eastAsia="方正仿宋_GBK" w:cs="Times New Roman"/>
          <w:b/>
          <w:bCs/>
          <w:sz w:val="32"/>
          <w:szCs w:val="32"/>
          <w:lang w:bidi="ar-SA"/>
        </w:rPr>
        <w:t>标准合理性</w:t>
      </w:r>
      <w:r>
        <w:rPr>
          <w:rFonts w:hint="default" w:ascii="Times New Roman" w:hAnsi="Times New Roman" w:eastAsia="方正仿宋_GBK" w:cs="Times New Roman"/>
          <w:b/>
          <w:bCs/>
          <w:sz w:val="32"/>
          <w:szCs w:val="32"/>
          <w:lang w:eastAsia="zh-CN" w:bidi="ar-SA"/>
        </w:rPr>
        <w:t>。</w:t>
      </w:r>
      <w:r>
        <w:rPr>
          <w:rFonts w:hint="default" w:ascii="Times New Roman" w:hAnsi="Times New Roman" w:eastAsia="方正仿宋_GBK" w:cs="Times New Roman"/>
          <w:sz w:val="32"/>
          <w:szCs w:val="32"/>
          <w:lang w:bidi="ar-SA"/>
        </w:rPr>
        <w:t>精神障碍社区康复服务在服务内容上包括服务频次、人员配置与质量要求方面逐步规范，能够覆盖康复训练、社会功能恢复、家属支持与转介等核心环节；康复辅助器具租赁服务坚持“适配优先、循序渐进、循环利用”，通过明确器具目录、租赁周期、消毒维护与收费公示等规则，保障服务可持续；</w:t>
      </w:r>
      <w:r>
        <w:rPr>
          <w:rFonts w:hint="default" w:ascii="Times New Roman" w:hAnsi="Times New Roman" w:eastAsia="方正仿宋_GBK" w:cs="Times New Roman"/>
          <w:sz w:val="32"/>
          <w:szCs w:val="32"/>
          <w:lang w:val="en-US" w:eastAsia="en-US" w:bidi="ar-SA"/>
        </w:rPr>
        <w:t>福彩</w:t>
      </w:r>
      <w:r>
        <w:rPr>
          <w:rFonts w:hint="default" w:ascii="Times New Roman" w:hAnsi="Times New Roman" w:eastAsia="方正仿宋_GBK" w:cs="Times New Roman"/>
          <w:sz w:val="32"/>
          <w:szCs w:val="32"/>
          <w:lang w:bidi="ar-SA"/>
        </w:rPr>
        <w:t>圆梦·孤儿助学工程</w:t>
      </w:r>
      <w:r>
        <w:rPr>
          <w:rFonts w:hint="default" w:ascii="Times New Roman" w:hAnsi="Times New Roman" w:eastAsia="方正仿宋_GBK" w:cs="Times New Roman"/>
          <w:sz w:val="32"/>
          <w:szCs w:val="32"/>
          <w:lang w:eastAsia="zh-CN" w:bidi="ar-SA"/>
        </w:rPr>
        <w:t>项目</w:t>
      </w:r>
      <w:r>
        <w:rPr>
          <w:rFonts w:hint="default" w:ascii="Times New Roman" w:hAnsi="Times New Roman" w:eastAsia="方正仿宋_GBK" w:cs="Times New Roman"/>
          <w:sz w:val="32"/>
          <w:szCs w:val="32"/>
          <w:lang w:bidi="ar-SA"/>
        </w:rPr>
        <w:t>资助标准依据国家及省级孤儿保障和助学政策要求，结合本地在校孤儿学费、住宿费等刚性支出水平测算确定，并参考历年资助数据动态调整，确保覆盖基本学习需求、标准适度合理；孤儿医疗康复明天计划救助标准以“基本医疗、必要康复”为导向，按照定点医疗机构诊疗规范和费用结算规则执行，重点保障必需项目支出，实行按实（或按规定限额）救助，确保资金使用与实际治疗需求相匹配；事实无人抚养儿童年满</w:t>
      </w:r>
      <w:r>
        <w:rPr>
          <w:rFonts w:hint="default" w:ascii="Times New Roman" w:hAnsi="Times New Roman" w:eastAsia="方正仿宋_GBK" w:cs="Times New Roman"/>
          <w:bCs/>
          <w:spacing w:val="-17"/>
          <w:sz w:val="32"/>
          <w:szCs w:val="32"/>
        </w:rPr>
        <w:t>18</w:t>
      </w:r>
      <w:r>
        <w:rPr>
          <w:rFonts w:hint="default" w:ascii="Times New Roman" w:hAnsi="Times New Roman" w:eastAsia="方正仿宋_GBK" w:cs="Times New Roman"/>
          <w:sz w:val="32"/>
          <w:szCs w:val="32"/>
          <w:lang w:bidi="ar-SA"/>
        </w:rPr>
        <w:t>周岁后助学资助标准对标同类困难群体助学政策，结合继续就学阶段的学费、住宿费及必要生活费用测算，并与当地财政承受能力相衔接，做到保障基本、梯度适当、公开透明。</w:t>
      </w:r>
      <w:r>
        <w:rPr>
          <w:rFonts w:hint="default" w:ascii="Times New Roman" w:hAnsi="Times New Roman" w:eastAsia="方正仿宋_GBK" w:cs="Times New Roman"/>
          <w:color w:val="000000"/>
          <w:kern w:val="0"/>
          <w:sz w:val="32"/>
          <w:szCs w:val="32"/>
          <w:highlight w:val="none"/>
          <w:u w:val="none"/>
          <w:shd w:val="clear" w:color="auto" w:fill="FFFFFF"/>
          <w:lang w:val="zh-CN" w:eastAsia="zh-CN" w:bidi="ar-SA"/>
        </w:rPr>
        <w:t>环保火化炉购置、文明婚俗改革项目</w:t>
      </w:r>
      <w:r>
        <w:rPr>
          <w:rFonts w:hint="default" w:ascii="Times New Roman" w:hAnsi="Times New Roman" w:eastAsia="方正仿宋_GBK" w:cs="Times New Roman"/>
          <w:sz w:val="32"/>
          <w:szCs w:val="32"/>
          <w:lang w:val="zh-CN" w:eastAsia="zh-CN"/>
        </w:rPr>
        <w:t>试点县（区）的</w:t>
      </w:r>
      <w:r>
        <w:rPr>
          <w:rFonts w:hint="default" w:ascii="Times New Roman" w:hAnsi="Times New Roman" w:eastAsia="方正仿宋_GBK" w:cs="Times New Roman"/>
          <w:b w:val="0"/>
          <w:bCs w:val="0"/>
          <w:color w:val="000000"/>
          <w:kern w:val="0"/>
          <w:sz w:val="32"/>
          <w:szCs w:val="32"/>
          <w:highlight w:val="none"/>
          <w:u w:val="none"/>
          <w:shd w:val="clear" w:color="auto" w:fill="FFFFFF"/>
          <w:lang w:val="zh-CN" w:eastAsia="zh-CN" w:bidi="ar-SA"/>
        </w:rPr>
        <w:t>项目资助标准、帮扶标准的制定参考了相关政策，已实施的项目均按既定标准执行，资金拨付符合规定，标准执行总体规范合理。</w:t>
      </w:r>
    </w:p>
    <w:p w14:paraId="71E4E474">
      <w:pPr>
        <w:keepNext w:val="0"/>
        <w:keepLines w:val="0"/>
        <w:pageBreakBefore w:val="0"/>
        <w:kinsoku/>
        <w:wordWrap/>
        <w:overflowPunct/>
        <w:topLinePunct w:val="0"/>
        <w:autoSpaceDE/>
        <w:bidi w:val="0"/>
        <w:adjustRightInd w:val="0"/>
        <w:snapToGrid w:val="0"/>
        <w:spacing w:line="560" w:lineRule="exact"/>
        <w:ind w:left="0" w:leftChars="0" w:firstLine="643" w:firstLineChars="200"/>
        <w:jc w:val="both"/>
        <w:textAlignment w:val="auto"/>
        <w:rPr>
          <w:rFonts w:hint="default" w:ascii="Times New Roman" w:hAnsi="Times New Roman" w:eastAsia="方正仿宋_GBK" w:cs="Times New Roman"/>
          <w:spacing w:val="-17"/>
          <w:sz w:val="32"/>
          <w:szCs w:val="32"/>
          <w:lang w:bidi="ar-SA"/>
        </w:rPr>
      </w:pPr>
      <w:r>
        <w:rPr>
          <w:rFonts w:hint="default" w:ascii="Times New Roman" w:hAnsi="Times New Roman" w:eastAsia="方正仿宋_GBK" w:cs="Times New Roman"/>
          <w:b/>
          <w:bCs/>
          <w:sz w:val="32"/>
          <w:szCs w:val="32"/>
          <w:lang w:val="en-US" w:eastAsia="zh-CN" w:bidi="ar-SA"/>
        </w:rPr>
        <w:t>4.</w:t>
      </w:r>
      <w:r>
        <w:rPr>
          <w:rFonts w:hint="default" w:ascii="Times New Roman" w:hAnsi="Times New Roman" w:eastAsia="方正仿宋_GBK" w:cs="Times New Roman"/>
          <w:b/>
          <w:bCs/>
          <w:sz w:val="32"/>
          <w:szCs w:val="32"/>
          <w:lang w:bidi="ar-SA"/>
        </w:rPr>
        <w:t>群众满意度</w:t>
      </w:r>
      <w:r>
        <w:rPr>
          <w:rFonts w:hint="default" w:ascii="Times New Roman" w:hAnsi="Times New Roman" w:eastAsia="方正仿宋_GBK" w:cs="Times New Roman"/>
          <w:b/>
          <w:bCs/>
          <w:sz w:val="32"/>
          <w:szCs w:val="32"/>
          <w:lang w:eastAsia="zh-CN" w:bidi="ar-SA"/>
        </w:rPr>
        <w:t>。</w:t>
      </w:r>
      <w:r>
        <w:rPr>
          <w:rFonts w:hint="default" w:ascii="Times New Roman" w:hAnsi="Times New Roman" w:eastAsia="方正仿宋_GBK" w:cs="Times New Roman"/>
          <w:sz w:val="32"/>
          <w:szCs w:val="32"/>
          <w:lang w:bidi="ar-SA"/>
        </w:rPr>
        <w:t>从民生获得感看，精神障碍社区康复服务覆盖面显著提升；康复辅助器具租赁服务在便利性、可负担性方面对家庭照护压力具有直接缓解作用。同时，福彩圆梦·孤儿助学工程、孤儿医疗康复明天计划、事实无人抚养儿童年满</w:t>
      </w:r>
      <w:r>
        <w:rPr>
          <w:rFonts w:hint="default" w:ascii="Times New Roman" w:hAnsi="Times New Roman" w:eastAsia="方正仿宋_GBK" w:cs="Times New Roman"/>
          <w:bCs/>
          <w:spacing w:val="-17"/>
          <w:sz w:val="32"/>
          <w:szCs w:val="32"/>
        </w:rPr>
        <w:t>18</w:t>
      </w:r>
      <w:r>
        <w:rPr>
          <w:rFonts w:hint="default" w:ascii="Times New Roman" w:hAnsi="Times New Roman" w:eastAsia="方正仿宋_GBK" w:cs="Times New Roman"/>
          <w:sz w:val="32"/>
          <w:szCs w:val="32"/>
          <w:lang w:bidi="ar-SA"/>
        </w:rPr>
        <w:t>周岁后助学等项目聚焦困难儿童教育与医疗康复需求，资助（救助）措施落实到位、流程规范，切实减轻了家庭负担，增强了受助对象及监护人的获得感与认可度</w:t>
      </w:r>
      <w:r>
        <w:rPr>
          <w:rFonts w:hint="default" w:ascii="Times New Roman" w:hAnsi="Times New Roman" w:eastAsia="方正仿宋_GBK" w:cs="Times New Roman"/>
          <w:sz w:val="32"/>
          <w:szCs w:val="32"/>
          <w:lang w:eastAsia="zh-CN" w:bidi="ar-SA"/>
        </w:rPr>
        <w:t>，</w:t>
      </w:r>
      <w:r>
        <w:rPr>
          <w:rFonts w:hint="default" w:ascii="Times New Roman" w:hAnsi="Times New Roman" w:eastAsia="方正仿宋_GBK" w:cs="Times New Roman"/>
          <w:spacing w:val="-17"/>
          <w:sz w:val="32"/>
          <w:szCs w:val="32"/>
          <w:lang w:bidi="ar-SA"/>
        </w:rPr>
        <w:t>项目总体获得了群众较高的满意度。</w:t>
      </w:r>
    </w:p>
    <w:p w14:paraId="4FE1D1CF">
      <w:pPr>
        <w:keepNext w:val="0"/>
        <w:keepLines w:val="0"/>
        <w:pageBreakBefore w:val="0"/>
        <w:kinsoku/>
        <w:wordWrap/>
        <w:overflowPunct/>
        <w:topLinePunct w:val="0"/>
        <w:autoSpaceDE/>
        <w:bidi w:val="0"/>
        <w:adjustRightInd w:val="0"/>
        <w:snapToGrid w:val="0"/>
        <w:spacing w:line="560" w:lineRule="exact"/>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val="0"/>
          <w:color w:val="000000"/>
          <w:kern w:val="0"/>
          <w:sz w:val="32"/>
          <w:szCs w:val="32"/>
          <w:highlight w:val="none"/>
          <w:u w:val="none"/>
          <w:shd w:val="clear" w:color="auto" w:fill="FFFFFF"/>
          <w:lang w:val="zh-CN" w:eastAsia="zh-CN" w:bidi="ar-SA"/>
        </w:rPr>
        <w:t>通过了解，已接受帮扶的困难群众对慈善项目解决实际困难的效果给予肯定；参与慈善活动的社区居民对活动形式与内容反馈积极。综合来看，服务对象满意度处于较高水平，但需通过更系统的评估来获取全面数据。</w:t>
      </w:r>
    </w:p>
    <w:p w14:paraId="755CDAA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楷体_GBK" w:cs="Times New Roman"/>
          <w:b/>
          <w:color w:val="auto"/>
          <w:sz w:val="32"/>
          <w:szCs w:val="32"/>
          <w:highlight w:val="none"/>
          <w:u w:val="none"/>
          <w:lang w:val="en-US" w:eastAsia="zh-CN"/>
        </w:rPr>
        <w:t>（三）个性指标</w:t>
      </w:r>
      <w:r>
        <w:rPr>
          <w:rFonts w:hint="default" w:ascii="Times New Roman" w:hAnsi="Times New Roman" w:eastAsia="方正楷体_GBK" w:cs="Times New Roman"/>
          <w:b/>
          <w:bCs/>
          <w:color w:val="000000"/>
          <w:kern w:val="0"/>
          <w:sz w:val="32"/>
          <w:szCs w:val="32"/>
          <w:highlight w:val="none"/>
          <w:shd w:val="clear" w:color="auto" w:fill="FFFFFF"/>
          <w:lang w:val="zh-CN"/>
        </w:rPr>
        <w:t>绩效分析</w:t>
      </w:r>
      <w:r>
        <w:rPr>
          <w:rFonts w:hint="default" w:ascii="Times New Roman" w:hAnsi="Times New Roman" w:eastAsia="方正仿宋_GBK" w:cs="Times New Roman"/>
          <w:b/>
          <w:bCs/>
          <w:color w:val="000000"/>
          <w:kern w:val="0"/>
          <w:sz w:val="32"/>
          <w:szCs w:val="32"/>
          <w:highlight w:val="none"/>
          <w:shd w:val="clear" w:color="auto" w:fill="FFFFFF"/>
          <w:lang w:val="en-US" w:eastAsia="zh-CN"/>
        </w:rPr>
        <w:t xml:space="preserve"> </w:t>
      </w:r>
    </w:p>
    <w:p w14:paraId="3D8E878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72" w:firstLineChars="200"/>
        <w:jc w:val="both"/>
        <w:textAlignment w:val="auto"/>
        <w:outlineLvl w:val="9"/>
        <w:rPr>
          <w:rFonts w:hint="default" w:ascii="Times New Roman" w:hAnsi="Times New Roman" w:eastAsia="方正仿宋_GBK" w:cs="Times New Roman"/>
          <w:spacing w:val="-17"/>
          <w:sz w:val="32"/>
          <w:szCs w:val="32"/>
          <w:lang w:bidi="ar-SA"/>
        </w:rPr>
      </w:pPr>
      <w:r>
        <w:rPr>
          <w:rFonts w:hint="default" w:ascii="Times New Roman" w:hAnsi="Times New Roman" w:eastAsia="方正仿宋_GBK" w:cs="Times New Roman"/>
          <w:spacing w:val="-17"/>
          <w:sz w:val="32"/>
          <w:szCs w:val="32"/>
          <w:lang w:bidi="ar-SA"/>
        </w:rPr>
        <w:t>已与人社、卫生健康委、残联、公安等部门建立数据比对机制，定期开展数据比对与动态复</w:t>
      </w:r>
      <w:r>
        <w:rPr>
          <w:rFonts w:hint="default" w:ascii="Times New Roman" w:hAnsi="Times New Roman" w:eastAsia="方正仿宋_GBK" w:cs="Times New Roman"/>
          <w:spacing w:val="-17"/>
          <w:sz w:val="32"/>
          <w:szCs w:val="32"/>
          <w:lang w:eastAsia="zh-CN" w:bidi="ar-SA"/>
        </w:rPr>
        <w:t>核</w:t>
      </w:r>
      <w:r>
        <w:rPr>
          <w:rFonts w:hint="default" w:ascii="Times New Roman" w:hAnsi="Times New Roman" w:eastAsia="方正仿宋_GBK" w:cs="Times New Roman"/>
          <w:spacing w:val="-17"/>
          <w:sz w:val="32"/>
          <w:szCs w:val="32"/>
          <w:lang w:bidi="ar-SA"/>
        </w:rPr>
        <w:t>，每月由县区民政部门定时向一卡通数据平台推送信息。</w:t>
      </w:r>
    </w:p>
    <w:p w14:paraId="54F275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default" w:ascii="Times New Roman" w:hAnsi="Times New Roman" w:eastAsia="方正仿宋_GBK" w:cs="Times New Roman"/>
          <w:color w:val="auto"/>
          <w:kern w:val="2"/>
          <w:sz w:val="32"/>
          <w:szCs w:val="32"/>
          <w:lang w:val="zh-CN" w:eastAsia="zh-CN" w:bidi="ar-SA"/>
        </w:rPr>
      </w:pPr>
      <w:r>
        <w:rPr>
          <w:rFonts w:hint="default" w:ascii="Times New Roman" w:hAnsi="Times New Roman" w:eastAsia="方正仿宋_GBK" w:cs="Times New Roman"/>
          <w:b w:val="0"/>
          <w:bCs w:val="0"/>
          <w:color w:val="auto"/>
          <w:sz w:val="32"/>
          <w:szCs w:val="32"/>
          <w:highlight w:val="none"/>
          <w:lang w:val="zh-CN"/>
        </w:rPr>
        <w:t>项目从</w:t>
      </w:r>
      <w:r>
        <w:rPr>
          <w:rFonts w:hint="default" w:ascii="Times New Roman" w:hAnsi="Times New Roman" w:eastAsia="方正仿宋_GBK" w:cs="Times New Roman"/>
          <w:b w:val="0"/>
          <w:bCs w:val="0"/>
          <w:color w:val="auto"/>
          <w:sz w:val="32"/>
          <w:szCs w:val="32"/>
          <w:highlight w:val="none"/>
          <w:lang w:val="zh-CN" w:eastAsia="zh-CN"/>
        </w:rPr>
        <w:t>慈善队伍培育成效、公益创投项目质量、慈善氛围营造效果</w:t>
      </w:r>
      <w:r>
        <w:rPr>
          <w:rFonts w:hint="default" w:ascii="Times New Roman" w:hAnsi="Times New Roman" w:eastAsia="方正仿宋_GBK" w:cs="Times New Roman"/>
          <w:color w:val="auto"/>
          <w:kern w:val="2"/>
          <w:sz w:val="32"/>
          <w:szCs w:val="32"/>
          <w:lang w:val="en-US" w:eastAsia="zh-CN" w:bidi="ar-SA"/>
        </w:rPr>
        <w:t>等设置个性指标绩效分析</w:t>
      </w:r>
      <w:r>
        <w:rPr>
          <w:rFonts w:hint="default" w:ascii="Times New Roman" w:hAnsi="Times New Roman" w:eastAsia="方正仿宋_GBK" w:cs="Times New Roman"/>
          <w:color w:val="auto"/>
          <w:kern w:val="2"/>
          <w:sz w:val="32"/>
          <w:szCs w:val="32"/>
          <w:lang w:val="zh-CN" w:eastAsia="zh-CN" w:bidi="ar-SA"/>
        </w:rPr>
        <w:t>。</w:t>
      </w:r>
    </w:p>
    <w:p w14:paraId="061AC912">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lang w:eastAsia="zh-CN"/>
        </w:rPr>
        <w:t>四</w:t>
      </w:r>
      <w:r>
        <w:rPr>
          <w:rFonts w:hint="default" w:ascii="Times New Roman" w:hAnsi="Times New Roman" w:eastAsia="方正黑体_GBK" w:cs="Times New Roman"/>
          <w:sz w:val="32"/>
          <w:szCs w:val="32"/>
          <w:highlight w:val="none"/>
        </w:rPr>
        <w:t>、评价结论</w:t>
      </w:r>
    </w:p>
    <w:p w14:paraId="3B036EF5">
      <w:pPr>
        <w:keepNext w:val="0"/>
        <w:keepLines w:val="0"/>
        <w:pageBreakBefore w:val="0"/>
        <w:kinsoku/>
        <w:wordWrap/>
        <w:overflowPunct/>
        <w:topLinePunct w:val="0"/>
        <w:autoSpaceDE/>
        <w:bidi w:val="0"/>
        <w:adjustRightInd w:val="0"/>
        <w:snapToGrid w:val="0"/>
        <w:spacing w:line="560" w:lineRule="exact"/>
        <w:ind w:left="0" w:leftChars="0" w:firstLine="643" w:firstLineChars="200"/>
        <w:jc w:val="both"/>
        <w:textAlignment w:val="auto"/>
        <w:rPr>
          <w:rFonts w:hint="default" w:ascii="Times New Roman" w:hAnsi="Times New Roman" w:eastAsia="方正仿宋_GBK" w:cs="Times New Roman"/>
          <w:bCs/>
          <w:spacing w:val="-28"/>
          <w:sz w:val="32"/>
          <w:szCs w:val="32"/>
          <w:lang w:val="zh-CN" w:eastAsia="zh-CN" w:bidi="ar-SA"/>
        </w:rPr>
      </w:pPr>
      <w:r>
        <w:rPr>
          <w:rFonts w:hint="default" w:ascii="Times New Roman" w:hAnsi="Times New Roman" w:eastAsia="方正楷体_GBK" w:cs="Times New Roman"/>
          <w:b/>
          <w:bCs/>
          <w:sz w:val="32"/>
          <w:szCs w:val="32"/>
          <w:lang w:eastAsia="zh-CN" w:bidi="ar-SA"/>
        </w:rPr>
        <w:t>（一）儿童保障、</w:t>
      </w:r>
      <w:r>
        <w:rPr>
          <w:rFonts w:hint="default" w:ascii="Times New Roman" w:hAnsi="Times New Roman" w:eastAsia="方正楷体_GBK" w:cs="Times New Roman"/>
          <w:b/>
          <w:bCs/>
          <w:sz w:val="32"/>
          <w:szCs w:val="32"/>
          <w:lang w:bidi="ar-SA"/>
        </w:rPr>
        <w:t>精神障碍社区康复服务</w:t>
      </w:r>
      <w:r>
        <w:rPr>
          <w:rFonts w:hint="default" w:ascii="Times New Roman" w:hAnsi="Times New Roman" w:eastAsia="方正楷体_GBK" w:cs="Times New Roman"/>
          <w:b/>
          <w:bCs/>
          <w:sz w:val="32"/>
          <w:szCs w:val="32"/>
          <w:lang w:eastAsia="zh-CN" w:bidi="ar-SA"/>
        </w:rPr>
        <w:t>、</w:t>
      </w:r>
      <w:r>
        <w:rPr>
          <w:rFonts w:hint="default" w:ascii="Times New Roman" w:hAnsi="Times New Roman" w:eastAsia="方正楷体_GBK" w:cs="Times New Roman"/>
          <w:b/>
          <w:bCs/>
          <w:sz w:val="32"/>
          <w:szCs w:val="32"/>
          <w:lang w:bidi="ar-SA"/>
        </w:rPr>
        <w:t>康复辅助器具租赁服务</w:t>
      </w:r>
      <w:r>
        <w:rPr>
          <w:rFonts w:hint="default" w:ascii="Times New Roman" w:hAnsi="Times New Roman" w:eastAsia="方正楷体_GBK" w:cs="Times New Roman"/>
          <w:b/>
          <w:bCs/>
          <w:sz w:val="32"/>
          <w:szCs w:val="32"/>
          <w:lang w:val="zh-CN" w:eastAsia="zh-CN" w:bidi="ar-SA"/>
        </w:rPr>
        <w:t>项目。</w:t>
      </w:r>
      <w:r>
        <w:rPr>
          <w:rFonts w:hint="default" w:ascii="Times New Roman" w:hAnsi="Times New Roman" w:eastAsia="方正仿宋_GBK" w:cs="Times New Roman"/>
          <w:bCs/>
          <w:sz w:val="32"/>
          <w:szCs w:val="32"/>
          <w:lang w:val="zh-CN" w:eastAsia="zh-CN" w:bidi="ar-SA"/>
        </w:rPr>
        <w:t>整体绩效优秀，民生保障导向突出，管理较为规范，实施成效明显，资金使用合规有效，达到预期目标。精神障碍社区康复服务依托“心灵绿洲”攀枝花市精神障碍社区康复指导中心统筹推进，服务供给能力显著提升，超额完成绩效目标，社会效益与群众获得感较为明显；辅具社区租赁服务运行总体平稳，适配、使用指导与周转管理逐步规范，有效降低群众辅具使用门槛，提升资源利用效率；福彩圆梦·孤儿助学工程、孤儿医疗康复明天计划、事实无人抚养儿童年满</w:t>
      </w:r>
      <w:r>
        <w:rPr>
          <w:rFonts w:hint="default" w:ascii="Times New Roman" w:hAnsi="Times New Roman" w:eastAsia="方正仿宋_GBK" w:cs="Times New Roman"/>
          <w:bCs/>
          <w:spacing w:val="-17"/>
          <w:sz w:val="32"/>
          <w:szCs w:val="32"/>
        </w:rPr>
        <w:t>18</w:t>
      </w:r>
      <w:r>
        <w:rPr>
          <w:rFonts w:hint="default" w:ascii="Times New Roman" w:hAnsi="Times New Roman" w:eastAsia="方正仿宋_GBK" w:cs="Times New Roman"/>
          <w:bCs/>
          <w:sz w:val="32"/>
          <w:szCs w:val="32"/>
          <w:lang w:val="zh-CN" w:eastAsia="zh-CN" w:bidi="ar-SA"/>
        </w:rPr>
        <w:t>周岁后助学等项目聚焦困难儿童教育与医疗康复需求，资助救助政策落实到位、流程规范，切实减轻家庭负担，保障作用较为明显。</w:t>
      </w:r>
    </w:p>
    <w:p w14:paraId="281F59B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default" w:ascii="Times New Roman" w:hAnsi="Times New Roman" w:eastAsia="方正仿宋_GBK" w:cs="Times New Roman"/>
          <w:b w:val="0"/>
          <w:bCs w:val="0"/>
          <w:color w:val="000000"/>
          <w:kern w:val="0"/>
          <w:sz w:val="32"/>
          <w:szCs w:val="32"/>
          <w:highlight w:val="none"/>
          <w:u w:val="none"/>
          <w:shd w:val="clear" w:color="auto" w:fill="FFFFFF"/>
          <w:lang w:val="zh-CN" w:eastAsia="zh-CN" w:bidi="ar-SA"/>
        </w:rPr>
      </w:pPr>
      <w:r>
        <w:rPr>
          <w:rFonts w:hint="default" w:ascii="Times New Roman" w:hAnsi="Times New Roman" w:eastAsia="方正仿宋_GBK" w:cs="Times New Roman"/>
          <w:b w:val="0"/>
          <w:bCs w:val="0"/>
          <w:color w:val="000000"/>
          <w:kern w:val="0"/>
          <w:position w:val="0"/>
          <w:sz w:val="32"/>
          <w:szCs w:val="32"/>
          <w:highlight w:val="none"/>
          <w:u w:val="none"/>
          <w:shd w:val="clear" w:color="auto" w:fill="FFFFFF"/>
          <w:lang w:val="en-US" w:eastAsia="zh-CN" w:bidi="ar-SA"/>
        </w:rPr>
        <w:t xml:space="preserve"> </w:t>
      </w:r>
      <w:r>
        <w:rPr>
          <w:rFonts w:hint="default" w:ascii="Times New Roman" w:hAnsi="Times New Roman" w:eastAsia="方正楷体_GBK" w:cs="Times New Roman"/>
          <w:b/>
          <w:bCs/>
          <w:color w:val="000000"/>
          <w:kern w:val="0"/>
          <w:position w:val="0"/>
          <w:sz w:val="32"/>
          <w:szCs w:val="32"/>
          <w:highlight w:val="none"/>
          <w:u w:val="none"/>
          <w:shd w:val="clear" w:color="auto" w:fill="FFFFFF"/>
          <w:lang w:val="en-US" w:eastAsia="zh-CN" w:bidi="ar-SA"/>
        </w:rPr>
        <w:t>（二）慈善事业高质量发展</w:t>
      </w:r>
      <w:r>
        <w:rPr>
          <w:rFonts w:hint="default" w:ascii="Times New Roman" w:hAnsi="Times New Roman" w:eastAsia="方正楷体_GBK" w:cs="Times New Roman"/>
          <w:b/>
          <w:bCs/>
          <w:color w:val="auto"/>
          <w:kern w:val="2"/>
          <w:sz w:val="32"/>
          <w:szCs w:val="32"/>
          <w:lang w:val="en-US" w:eastAsia="zh-CN" w:bidi="ar-SA"/>
        </w:rPr>
        <w:t>项目。</w:t>
      </w:r>
      <w:r>
        <w:rPr>
          <w:rFonts w:hint="default" w:ascii="Times New Roman" w:hAnsi="Times New Roman" w:eastAsia="方正仿宋_GBK" w:cs="Times New Roman"/>
          <w:color w:val="auto"/>
          <w:kern w:val="2"/>
          <w:sz w:val="32"/>
          <w:szCs w:val="32"/>
          <w:lang w:val="en-US" w:eastAsia="zh-CN" w:bidi="ar-SA"/>
        </w:rPr>
        <w:t>立项精准，符合政策导向与区域需求，管理机制逐步健全，运作规范。</w:t>
      </w:r>
      <w:r>
        <w:rPr>
          <w:rFonts w:hint="default" w:ascii="Times New Roman" w:hAnsi="Times New Roman" w:eastAsia="方正仿宋_GBK" w:cs="Times New Roman"/>
          <w:b w:val="0"/>
          <w:bCs w:val="0"/>
          <w:color w:val="auto"/>
          <w:kern w:val="2"/>
          <w:sz w:val="32"/>
          <w:szCs w:val="32"/>
          <w:lang w:val="zh-CN" w:eastAsia="zh-CN" w:bidi="ar-SA"/>
        </w:rPr>
        <w:t>通过开展慈善事业高质量发展试点，西区探索</w:t>
      </w:r>
      <w:r>
        <w:rPr>
          <w:rFonts w:hint="default" w:ascii="Times New Roman" w:hAnsi="Times New Roman" w:eastAsia="方正仿宋_GBK" w:cs="Times New Roman"/>
          <w:kern w:val="0"/>
          <w:sz w:val="32"/>
          <w:szCs w:val="32"/>
          <w:lang w:val="en-US" w:eastAsia="zh-CN" w:bidi="ar-SA"/>
        </w:rPr>
        <w:t>“慈善+社区+基金”“慈善+项目”“慈善+活动”等创新举措，形成资源整合、供需对接、“慈善+就业”等机制亮点；</w:t>
      </w:r>
      <w:r>
        <w:rPr>
          <w:rFonts w:hint="default" w:ascii="Times New Roman" w:hAnsi="Times New Roman" w:eastAsia="方正仿宋_GBK" w:cs="Times New Roman"/>
          <w:b w:val="0"/>
          <w:bCs w:val="0"/>
          <w:snapToGrid/>
          <w:sz w:val="32"/>
          <w:szCs w:val="32"/>
          <w:highlight w:val="none"/>
          <w:lang w:val="en-US" w:eastAsia="zh-CN" w:bidi="ar-SA"/>
        </w:rPr>
        <w:t>仁和区</w:t>
      </w:r>
      <w:r>
        <w:rPr>
          <w:rFonts w:hint="default" w:ascii="Times New Roman" w:hAnsi="Times New Roman" w:eastAsia="方正仿宋_GBK" w:cs="Times New Roman"/>
          <w:b w:val="0"/>
          <w:bCs w:val="0"/>
          <w:color w:val="auto"/>
          <w:kern w:val="2"/>
          <w:sz w:val="32"/>
          <w:szCs w:val="32"/>
          <w:highlight w:val="none"/>
          <w:lang w:val="en-US" w:eastAsia="zh-CN" w:bidi="ar-SA"/>
        </w:rPr>
        <w:t>“仁慈和善”品牌，“社区慈善+”模式，其中有普达社区慈善+共富+助农集市开市，渡口社区慈善+共富+产业广场的打造；米易县</w:t>
      </w:r>
      <w:r>
        <w:rPr>
          <w:rFonts w:hint="default" w:ascii="Times New Roman" w:hAnsi="Times New Roman" w:eastAsia="方正仿宋_GBK" w:cs="Times New Roman"/>
          <w:sz w:val="32"/>
          <w:szCs w:val="32"/>
        </w:rPr>
        <w:t>初步建成“1+1+2+N”慈善服务体系</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b w:val="0"/>
          <w:bCs w:val="0"/>
          <w:color w:val="auto"/>
          <w:kern w:val="2"/>
          <w:sz w:val="32"/>
          <w:szCs w:val="32"/>
          <w:highlight w:val="none"/>
          <w:lang w:val="en-US" w:eastAsia="zh-CN" w:bidi="ar-SA"/>
        </w:rPr>
        <w:t>盐边县</w:t>
      </w:r>
      <w:r>
        <w:rPr>
          <w:rFonts w:hint="default" w:ascii="Times New Roman" w:hAnsi="Times New Roman" w:eastAsia="方正仿宋_GBK" w:cs="Times New Roman"/>
          <w:b w:val="0"/>
          <w:bCs w:val="0"/>
          <w:color w:val="auto"/>
          <w:sz w:val="32"/>
          <w:szCs w:val="32"/>
          <w:highlight w:val="none"/>
          <w:lang w:val="en-US" w:eastAsia="en-US" w:bidi="ar-SA"/>
        </w:rPr>
        <w:t>常态化开展“纳税一元、奉献一分”爱心慈善活动</w:t>
      </w:r>
      <w:r>
        <w:rPr>
          <w:rFonts w:hint="default" w:ascii="Times New Roman" w:hAnsi="Times New Roman" w:eastAsia="方正仿宋_GBK" w:cs="Times New Roman"/>
          <w:b w:val="0"/>
          <w:bCs w:val="0"/>
          <w:color w:val="auto"/>
          <w:sz w:val="32"/>
          <w:szCs w:val="32"/>
          <w:highlight w:val="none"/>
          <w:lang w:val="en-US" w:eastAsia="zh-CN" w:bidi="ar-SA"/>
        </w:rPr>
        <w:t>，</w:t>
      </w:r>
      <w:r>
        <w:rPr>
          <w:rFonts w:hint="default" w:ascii="Times New Roman" w:hAnsi="Times New Roman" w:eastAsia="方正仿宋_GBK" w:cs="Times New Roman"/>
          <w:b w:val="0"/>
          <w:bCs w:val="0"/>
          <w:color w:val="auto"/>
          <w:kern w:val="2"/>
          <w:sz w:val="32"/>
          <w:szCs w:val="32"/>
          <w:lang w:val="zh-CN" w:eastAsia="zh-CN" w:bidi="ar-SA"/>
        </w:rPr>
        <w:t>辐射带动了全市慈善事业发展。总</w:t>
      </w:r>
      <w:r>
        <w:rPr>
          <w:rFonts w:hint="default" w:ascii="Times New Roman" w:hAnsi="Times New Roman" w:eastAsia="方正仿宋_GBK" w:cs="Times New Roman"/>
          <w:color w:val="auto"/>
          <w:kern w:val="2"/>
          <w:sz w:val="32"/>
          <w:szCs w:val="32"/>
          <w:lang w:val="zh-CN" w:eastAsia="zh-CN" w:bidi="ar-SA"/>
        </w:rPr>
        <w:t>体来说，项目基础工作扎实稳固，推进方向清晰明确，为达成全年绩效目标筑牢了坚实根基。</w:t>
      </w:r>
    </w:p>
    <w:p w14:paraId="09DF4CD1">
      <w:pPr>
        <w:pStyle w:val="5"/>
        <w:keepNext w:val="0"/>
        <w:keepLines w:val="0"/>
        <w:pageBreakBefore w:val="0"/>
        <w:numPr>
          <w:ilvl w:val="0"/>
          <w:numId w:val="0"/>
        </w:numPr>
        <w:tabs>
          <w:tab w:val="left" w:pos="2160"/>
        </w:tabs>
        <w:kinsoku/>
        <w:wordWrap/>
        <w:overflowPunct/>
        <w:topLinePunct w:val="0"/>
        <w:autoSpaceDE/>
        <w:autoSpaceDN/>
        <w:bidi w:val="0"/>
        <w:adjustRightInd/>
        <w:spacing w:line="560" w:lineRule="exact"/>
        <w:ind w:left="0" w:leftChars="0" w:firstLine="643" w:firstLineChars="200"/>
        <w:jc w:val="both"/>
        <w:textAlignment w:val="auto"/>
        <w:rPr>
          <w:rFonts w:hint="default" w:ascii="Times New Roman" w:hAnsi="Times New Roman" w:eastAsia="方正仿宋_GBK" w:cs="Times New Roman"/>
          <w:b w:val="0"/>
          <w:bCs w:val="0"/>
          <w:sz w:val="32"/>
          <w:szCs w:val="32"/>
          <w:highlight w:val="none"/>
          <w:lang w:val="en-US" w:eastAsia="zh-CN"/>
        </w:rPr>
      </w:pPr>
      <w:r>
        <w:rPr>
          <w:rFonts w:hint="default" w:ascii="Times New Roman" w:hAnsi="Times New Roman" w:eastAsia="方正楷体_GBK" w:cs="Times New Roman"/>
          <w:b/>
          <w:bCs/>
          <w:color w:val="000000"/>
          <w:kern w:val="0"/>
          <w:sz w:val="32"/>
          <w:szCs w:val="32"/>
          <w:highlight w:val="none"/>
          <w:u w:val="none"/>
          <w:shd w:val="clear" w:color="auto" w:fill="FFFFFF"/>
          <w:lang w:val="zh-CN" w:eastAsia="zh-CN" w:bidi="ar-SA"/>
        </w:rPr>
        <w:t>（三）环保火化炉购置、文明婚俗改革项目。</w:t>
      </w:r>
      <w:r>
        <w:rPr>
          <w:rFonts w:hint="default" w:ascii="Times New Roman" w:hAnsi="Times New Roman" w:eastAsia="方正仿宋_GBK" w:cs="Times New Roman"/>
          <w:sz w:val="32"/>
          <w:szCs w:val="32"/>
        </w:rPr>
        <w:t>环保火化炉购置项目</w:t>
      </w:r>
      <w:r>
        <w:rPr>
          <w:rFonts w:hint="default" w:ascii="Times New Roman" w:hAnsi="Times New Roman" w:eastAsia="方正仿宋_GBK" w:cs="Times New Roman"/>
          <w:sz w:val="32"/>
          <w:szCs w:val="32"/>
          <w:lang w:eastAsia="zh-CN"/>
        </w:rPr>
        <w:t>正在组织</w:t>
      </w:r>
      <w:r>
        <w:rPr>
          <w:rFonts w:hint="default" w:ascii="Times New Roman" w:hAnsi="Times New Roman" w:eastAsia="方正仿宋_GBK" w:cs="Times New Roman"/>
          <w:sz w:val="32"/>
          <w:szCs w:val="32"/>
        </w:rPr>
        <w:t>验收</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“文明婚俗”提升行动项目</w:t>
      </w:r>
      <w:r>
        <w:rPr>
          <w:rFonts w:hint="default" w:ascii="Times New Roman" w:hAnsi="Times New Roman" w:eastAsia="方正仿宋_GBK" w:cs="Times New Roman"/>
          <w:sz w:val="32"/>
          <w:szCs w:val="32"/>
          <w:lang w:eastAsia="zh-CN"/>
        </w:rPr>
        <w:t>有序</w:t>
      </w:r>
      <w:r>
        <w:rPr>
          <w:rFonts w:hint="default" w:ascii="Times New Roman" w:hAnsi="Times New Roman" w:eastAsia="方正仿宋_GBK" w:cs="Times New Roman"/>
          <w:sz w:val="32"/>
          <w:szCs w:val="32"/>
        </w:rPr>
        <w:t>推进。项目总体实施情况良好，资金使用规范，目标达成，群众满意度较高，社会效益明显。</w:t>
      </w:r>
    </w:p>
    <w:p w14:paraId="7C23B016">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黑体_GBK" w:cs="Times New Roman"/>
          <w:sz w:val="32"/>
          <w:szCs w:val="32"/>
          <w:highlight w:val="none"/>
          <w:lang w:val="en-US" w:eastAsia="zh-CN"/>
        </w:rPr>
      </w:pPr>
      <w:r>
        <w:rPr>
          <w:rFonts w:hint="default" w:ascii="Times New Roman" w:hAnsi="Times New Roman" w:eastAsia="方正黑体_GBK" w:cs="Times New Roman"/>
          <w:sz w:val="32"/>
          <w:szCs w:val="32"/>
          <w:highlight w:val="none"/>
          <w:lang w:eastAsia="zh-CN"/>
        </w:rPr>
        <w:t>五、存在主要问题</w:t>
      </w:r>
    </w:p>
    <w:p w14:paraId="192FC709">
      <w:pPr>
        <w:pStyle w:val="5"/>
        <w:keepNext w:val="0"/>
        <w:keepLines w:val="0"/>
        <w:pageBreakBefore w:val="0"/>
        <w:numPr>
          <w:ilvl w:val="0"/>
          <w:numId w:val="0"/>
        </w:numPr>
        <w:tabs>
          <w:tab w:val="left" w:pos="2160"/>
        </w:tabs>
        <w:kinsoku/>
        <w:wordWrap/>
        <w:overflowPunct/>
        <w:topLinePunct w:val="0"/>
        <w:autoSpaceDE/>
        <w:autoSpaceDN/>
        <w:bidi w:val="0"/>
        <w:adjustRightInd/>
        <w:spacing w:line="560" w:lineRule="exact"/>
        <w:ind w:left="0" w:leftChars="0" w:firstLine="640" w:firstLineChars="200"/>
        <w:jc w:val="both"/>
        <w:textAlignment w:val="auto"/>
        <w:rPr>
          <w:rFonts w:hint="default" w:ascii="Times New Roman" w:hAnsi="Times New Roman" w:eastAsia="方正仿宋_GBK" w:cs="Times New Roman"/>
          <w:b w:val="0"/>
          <w:bCs w:val="0"/>
          <w:color w:val="000000"/>
          <w:kern w:val="0"/>
          <w:position w:val="0"/>
          <w:sz w:val="32"/>
          <w:szCs w:val="32"/>
          <w:highlight w:val="none"/>
          <w:u w:val="none"/>
          <w:shd w:val="clear" w:color="auto" w:fill="FFFFFF"/>
          <w:lang w:val="en-US" w:eastAsia="zh-CN" w:bidi="ar-SA"/>
        </w:rPr>
      </w:pPr>
      <w:r>
        <w:rPr>
          <w:rFonts w:hint="default" w:ascii="Times New Roman" w:hAnsi="Times New Roman" w:eastAsia="方正仿宋_GBK" w:cs="Times New Roman"/>
          <w:b w:val="0"/>
          <w:bCs w:val="0"/>
          <w:color w:val="000000"/>
          <w:kern w:val="0"/>
          <w:position w:val="0"/>
          <w:sz w:val="32"/>
          <w:szCs w:val="32"/>
          <w:highlight w:val="none"/>
          <w:u w:val="none"/>
          <w:shd w:val="clear" w:color="auto" w:fill="FFFFFF"/>
          <w:lang w:val="en-US" w:eastAsia="zh-CN" w:bidi="ar-SA"/>
        </w:rPr>
        <w:t>无。</w:t>
      </w:r>
    </w:p>
    <w:p w14:paraId="77B3E720">
      <w:pPr>
        <w:pStyle w:val="5"/>
        <w:keepNext w:val="0"/>
        <w:keepLines w:val="0"/>
        <w:pageBreakBefore w:val="0"/>
        <w:numPr>
          <w:ilvl w:val="0"/>
          <w:numId w:val="0"/>
        </w:numPr>
        <w:tabs>
          <w:tab w:val="left" w:pos="2160"/>
        </w:tabs>
        <w:kinsoku/>
        <w:wordWrap/>
        <w:overflowPunct/>
        <w:topLinePunct w:val="0"/>
        <w:autoSpaceDE/>
        <w:autoSpaceDN/>
        <w:bidi w:val="0"/>
        <w:adjustRightInd/>
        <w:spacing w:line="560" w:lineRule="exact"/>
        <w:ind w:left="0" w:leftChars="0" w:firstLine="640" w:firstLineChars="200"/>
        <w:jc w:val="both"/>
        <w:textAlignment w:val="auto"/>
        <w:rPr>
          <w:rFonts w:hint="default" w:ascii="Times New Roman" w:hAnsi="Times New Roman" w:eastAsia="方正黑体_GBK" w:cs="Times New Roman"/>
          <w:color w:val="auto"/>
          <w:kern w:val="0"/>
          <w:position w:val="3"/>
          <w:sz w:val="32"/>
          <w:szCs w:val="32"/>
          <w:highlight w:val="none"/>
          <w:u w:val="none"/>
          <w:lang w:val="zh-CN" w:eastAsia="zh-CN" w:bidi="ar-SA"/>
        </w:rPr>
      </w:pPr>
      <w:r>
        <w:rPr>
          <w:rFonts w:hint="default" w:ascii="Times New Roman" w:hAnsi="Times New Roman" w:eastAsia="方正黑体_GBK" w:cs="Times New Roman"/>
          <w:color w:val="auto"/>
          <w:kern w:val="0"/>
          <w:position w:val="3"/>
          <w:sz w:val="32"/>
          <w:szCs w:val="32"/>
          <w:highlight w:val="none"/>
          <w:u w:val="none"/>
          <w:lang w:val="zh-CN" w:eastAsia="zh-CN" w:bidi="ar-SA"/>
        </w:rPr>
        <w:t>六、改进建议</w:t>
      </w:r>
    </w:p>
    <w:p w14:paraId="44E31191">
      <w:pPr>
        <w:pStyle w:val="5"/>
        <w:keepNext w:val="0"/>
        <w:keepLines w:val="0"/>
        <w:pageBreakBefore w:val="0"/>
        <w:numPr>
          <w:ilvl w:val="0"/>
          <w:numId w:val="0"/>
        </w:numPr>
        <w:tabs>
          <w:tab w:val="left" w:pos="2160"/>
        </w:tabs>
        <w:kinsoku/>
        <w:wordWrap/>
        <w:overflowPunct/>
        <w:topLinePunct w:val="0"/>
        <w:autoSpaceDE/>
        <w:autoSpaceDN/>
        <w:bidi w:val="0"/>
        <w:adjustRightInd/>
        <w:spacing w:line="560" w:lineRule="exact"/>
        <w:ind w:left="0" w:leftChars="0" w:firstLine="640" w:firstLineChars="200"/>
        <w:jc w:val="both"/>
        <w:textAlignment w:val="auto"/>
        <w:rPr>
          <w:rFonts w:hint="default" w:ascii="Times New Roman" w:hAnsi="Times New Roman" w:eastAsia="方正仿宋_GBK" w:cs="Times New Roman"/>
          <w:b/>
          <w:bCs/>
          <w:color w:val="auto"/>
          <w:kern w:val="2"/>
          <w:position w:val="0"/>
          <w:sz w:val="32"/>
          <w:szCs w:val="32"/>
          <w:lang w:val="en-US" w:eastAsia="zh-CN" w:bidi="ar-SA"/>
        </w:rPr>
      </w:pPr>
      <w:r>
        <w:rPr>
          <w:rFonts w:hint="default" w:ascii="Times New Roman" w:hAnsi="Times New Roman" w:eastAsia="方正仿宋_GBK" w:cs="Times New Roman"/>
          <w:color w:val="auto"/>
          <w:kern w:val="0"/>
          <w:sz w:val="32"/>
          <w:szCs w:val="32"/>
          <w:highlight w:val="none"/>
          <w:u w:val="none"/>
          <w:shd w:val="clear" w:color="auto" w:fill="FFFFFF"/>
          <w:lang w:val="zh-CN" w:eastAsia="zh-CN"/>
        </w:rPr>
        <w:t>无</w:t>
      </w:r>
      <w:r>
        <w:rPr>
          <w:rFonts w:hint="default" w:ascii="Times New Roman" w:hAnsi="Times New Roman" w:eastAsia="方正仿宋_GBK" w:cs="Times New Roman"/>
          <w:color w:val="auto"/>
          <w:kern w:val="2"/>
          <w:position w:val="0"/>
          <w:sz w:val="32"/>
          <w:szCs w:val="32"/>
          <w:lang w:val="en" w:eastAsia="zh-CN" w:bidi="ar-SA"/>
        </w:rPr>
        <w:t>。</w:t>
      </w:r>
    </w:p>
    <w:p w14:paraId="77E8F052">
      <w:pPr>
        <w:keepNext w:val="0"/>
        <w:keepLines w:val="0"/>
        <w:pageBreakBefore w:val="0"/>
        <w:kinsoku/>
        <w:wordWrap/>
        <w:overflowPunct/>
        <w:topLinePunct w:val="0"/>
        <w:autoSpaceDE/>
        <w:autoSpaceDN/>
        <w:bidi w:val="0"/>
        <w:adjustRightInd/>
        <w:snapToGrid w:val="0"/>
        <w:spacing w:line="560" w:lineRule="exact"/>
        <w:ind w:left="0" w:leftChars="0" w:firstLine="640" w:firstLineChars="200"/>
        <w:jc w:val="both"/>
        <w:textAlignment w:val="auto"/>
        <w:outlineLvl w:val="9"/>
        <w:rPr>
          <w:rFonts w:hint="default" w:ascii="Times New Roman" w:hAnsi="Times New Roman" w:eastAsia="方正仿宋_GBK" w:cs="Times New Roman"/>
          <w:color w:val="000000"/>
          <w:kern w:val="0"/>
          <w:sz w:val="32"/>
          <w:szCs w:val="32"/>
          <w:highlight w:val="none"/>
          <w:shd w:val="clear" w:color="auto" w:fill="FFFFFF"/>
          <w:lang w:val="zh-CN" w:eastAsia="zh-CN"/>
        </w:rPr>
      </w:pPr>
    </w:p>
    <w:p w14:paraId="65B47119">
      <w:pPr>
        <w:keepNext w:val="0"/>
        <w:keepLines w:val="0"/>
        <w:pageBreakBefore w:val="0"/>
        <w:kinsoku/>
        <w:wordWrap/>
        <w:overflowPunct/>
        <w:topLinePunct w:val="0"/>
        <w:autoSpaceDE/>
        <w:autoSpaceDN/>
        <w:bidi w:val="0"/>
        <w:adjustRightInd/>
        <w:snapToGrid w:val="0"/>
        <w:spacing w:line="560" w:lineRule="exact"/>
        <w:ind w:left="0" w:leftChars="0" w:firstLine="640" w:firstLineChars="200"/>
        <w:jc w:val="both"/>
        <w:textAlignment w:val="auto"/>
        <w:outlineLvl w:val="9"/>
        <w:rPr>
          <w:rFonts w:hint="default" w:ascii="Times New Roman" w:hAnsi="Times New Roman" w:eastAsia="方正仿宋_GBK" w:cs="Times New Roman"/>
          <w:color w:val="000000"/>
          <w:kern w:val="0"/>
          <w:sz w:val="32"/>
          <w:szCs w:val="32"/>
          <w:highlight w:val="none"/>
          <w:shd w:val="clear" w:color="auto" w:fill="FFFFFF"/>
          <w:lang w:val="en-US" w:eastAsia="zh-CN"/>
        </w:rPr>
      </w:pPr>
      <w:r>
        <w:rPr>
          <w:rFonts w:hint="default" w:ascii="Times New Roman" w:hAnsi="Times New Roman" w:eastAsia="方正仿宋_GBK" w:cs="Times New Roman"/>
          <w:color w:val="000000"/>
          <w:kern w:val="0"/>
          <w:sz w:val="32"/>
          <w:szCs w:val="32"/>
          <w:highlight w:val="none"/>
          <w:shd w:val="clear" w:color="auto" w:fill="FFFFFF"/>
          <w:lang w:val="en-US" w:eastAsia="zh-CN"/>
        </w:rPr>
        <w:t>附表：1.专项预算绩效自评打分表</w:t>
      </w:r>
    </w:p>
    <w:p w14:paraId="6F4D8268">
      <w:pPr>
        <w:keepNext w:val="0"/>
        <w:keepLines w:val="0"/>
        <w:pageBreakBefore w:val="0"/>
        <w:kinsoku/>
        <w:wordWrap/>
        <w:overflowPunct/>
        <w:topLinePunct w:val="0"/>
        <w:autoSpaceDE/>
        <w:autoSpaceDN/>
        <w:bidi w:val="0"/>
        <w:adjustRightInd/>
        <w:snapToGrid w:val="0"/>
        <w:spacing w:line="560" w:lineRule="exact"/>
        <w:ind w:left="0" w:leftChars="0" w:firstLine="1600" w:firstLineChars="500"/>
        <w:jc w:val="both"/>
        <w:textAlignment w:val="auto"/>
        <w:outlineLvl w:val="9"/>
        <w:rPr>
          <w:rFonts w:hint="default" w:ascii="Times New Roman" w:hAnsi="Times New Roman" w:eastAsia="方正仿宋_GBK" w:cs="Times New Roman"/>
          <w:color w:val="000000"/>
          <w:kern w:val="0"/>
          <w:sz w:val="32"/>
          <w:szCs w:val="32"/>
          <w:highlight w:val="none"/>
          <w:shd w:val="clear" w:color="auto" w:fill="FFFFFF"/>
          <w:lang w:val="en-US" w:eastAsia="zh-CN"/>
        </w:rPr>
      </w:pPr>
      <w:r>
        <w:rPr>
          <w:rFonts w:hint="default" w:ascii="Times New Roman" w:hAnsi="Times New Roman" w:eastAsia="方正仿宋_GBK" w:cs="Times New Roman"/>
          <w:color w:val="000000"/>
          <w:kern w:val="0"/>
          <w:sz w:val="32"/>
          <w:szCs w:val="32"/>
          <w:highlight w:val="none"/>
          <w:shd w:val="clear" w:color="auto" w:fill="FFFFFF"/>
          <w:lang w:val="en-US" w:eastAsia="zh-CN"/>
        </w:rPr>
        <w:t>2.专项预算绩效自评实地踏勘点位清单表</w:t>
      </w:r>
    </w:p>
    <w:p w14:paraId="0AC61F43">
      <w:pPr>
        <w:keepNext w:val="0"/>
        <w:keepLines w:val="0"/>
        <w:pageBreakBefore w:val="0"/>
        <w:kinsoku/>
        <w:wordWrap/>
        <w:overflowPunct/>
        <w:topLinePunct w:val="0"/>
        <w:autoSpaceDE/>
        <w:autoSpaceDN/>
        <w:bidi w:val="0"/>
        <w:adjustRightInd/>
        <w:snapToGrid w:val="0"/>
        <w:spacing w:line="560" w:lineRule="exact"/>
        <w:ind w:left="0" w:leftChars="0" w:firstLine="1600" w:firstLineChars="500"/>
        <w:jc w:val="both"/>
        <w:textAlignment w:val="auto"/>
        <w:outlineLvl w:val="9"/>
        <w:rPr>
          <w:rFonts w:hint="default" w:ascii="Times New Roman" w:hAnsi="Times New Roman" w:eastAsia="方正仿宋_GBK" w:cs="Times New Roman"/>
          <w:color w:val="000000"/>
          <w:kern w:val="0"/>
          <w:sz w:val="32"/>
          <w:szCs w:val="32"/>
          <w:highlight w:val="none"/>
          <w:shd w:val="clear" w:color="auto" w:fill="FFFFFF"/>
          <w:lang w:val="en-US" w:eastAsia="zh-CN"/>
        </w:rPr>
      </w:pPr>
      <w:r>
        <w:rPr>
          <w:rFonts w:hint="default" w:ascii="Times New Roman" w:hAnsi="Times New Roman" w:eastAsia="方正仿宋_GBK" w:cs="Times New Roman"/>
          <w:color w:val="000000"/>
          <w:kern w:val="0"/>
          <w:sz w:val="32"/>
          <w:szCs w:val="32"/>
          <w:highlight w:val="none"/>
          <w:shd w:val="clear" w:color="auto" w:fill="FFFFFF"/>
          <w:lang w:val="en-US" w:eastAsia="zh-CN"/>
        </w:rPr>
        <w:t>3.专项预算项目绩效目标完成情况自评表</w:t>
      </w:r>
    </w:p>
    <w:p w14:paraId="354635A1">
      <w:pPr>
        <w:keepNext w:val="0"/>
        <w:keepLines w:val="0"/>
        <w:pageBreakBefore w:val="0"/>
        <w:kinsoku/>
        <w:wordWrap/>
        <w:overflowPunct/>
        <w:topLinePunct w:val="0"/>
        <w:autoSpaceDE/>
        <w:bidi w:val="0"/>
        <w:snapToGrid w:val="0"/>
        <w:spacing w:line="560" w:lineRule="exact"/>
        <w:rPr>
          <w:rFonts w:hint="default" w:ascii="Times New Roman" w:hAnsi="Times New Roman" w:eastAsia="黑体" w:cs="Times New Roman"/>
          <w:kern w:val="0"/>
          <w:shd w:val="clear" w:color="auto" w:fill="FFFFFF"/>
          <w:lang w:val="zh-CN" w:eastAsia="zh-CN"/>
        </w:rPr>
      </w:pPr>
    </w:p>
    <w:p w14:paraId="78C9BD65">
      <w:pPr>
        <w:keepNext w:val="0"/>
        <w:keepLines w:val="0"/>
        <w:pageBreakBefore w:val="0"/>
        <w:kinsoku/>
        <w:wordWrap/>
        <w:overflowPunct/>
        <w:topLinePunct w:val="0"/>
        <w:autoSpaceDE/>
        <w:bidi w:val="0"/>
        <w:snapToGrid w:val="0"/>
        <w:spacing w:line="560" w:lineRule="exact"/>
        <w:rPr>
          <w:rFonts w:hint="default" w:ascii="Times New Roman" w:hAnsi="Times New Roman" w:eastAsia="黑体" w:cs="Times New Roman"/>
          <w:kern w:val="0"/>
          <w:shd w:val="clear" w:color="auto" w:fill="FFFFFF"/>
          <w:lang w:val="zh-CN" w:eastAsia="zh-CN"/>
        </w:rPr>
      </w:pPr>
    </w:p>
    <w:p w14:paraId="23A466F8">
      <w:pPr>
        <w:keepNext w:val="0"/>
        <w:keepLines w:val="0"/>
        <w:pageBreakBefore w:val="0"/>
        <w:kinsoku/>
        <w:wordWrap/>
        <w:overflowPunct/>
        <w:topLinePunct w:val="0"/>
        <w:autoSpaceDE/>
        <w:bidi w:val="0"/>
        <w:snapToGrid w:val="0"/>
        <w:spacing w:line="560" w:lineRule="exact"/>
        <w:rPr>
          <w:rFonts w:hint="default" w:ascii="Times New Roman" w:hAnsi="Times New Roman" w:cs="Times New Roman"/>
          <w:color w:val="000000"/>
          <w:kern w:val="0"/>
          <w:szCs w:val="32"/>
          <w:highlight w:val="none"/>
          <w:shd w:val="clear" w:color="auto" w:fill="FFFFFF"/>
          <w:lang w:val="zh-CN" w:eastAsia="zh-CN"/>
        </w:rPr>
      </w:pPr>
      <w:r>
        <w:rPr>
          <w:rFonts w:hint="default" w:ascii="Times New Roman" w:hAnsi="Times New Roman" w:eastAsia="黑体" w:cs="Times New Roman"/>
          <w:kern w:val="0"/>
          <w:shd w:val="clear" w:color="auto" w:fill="FFFFFF"/>
          <w:lang w:val="zh-CN" w:eastAsia="zh-CN"/>
        </w:rPr>
        <w:t>附表</w:t>
      </w:r>
      <w:r>
        <w:rPr>
          <w:rFonts w:hint="default" w:ascii="Times New Roman" w:hAnsi="Times New Roman" w:eastAsia="黑体" w:cs="Times New Roman"/>
          <w:kern w:val="0"/>
          <w:shd w:val="clear" w:color="auto" w:fill="FFFFFF"/>
        </w:rPr>
        <w:t>1</w:t>
      </w:r>
    </w:p>
    <w:p w14:paraId="66A5DA30">
      <w:pPr>
        <w:keepNext w:val="0"/>
        <w:keepLines w:val="0"/>
        <w:pageBreakBefore w:val="0"/>
        <w:kinsoku/>
        <w:wordWrap/>
        <w:overflowPunct/>
        <w:topLinePunct w:val="0"/>
        <w:autoSpaceDE/>
        <w:bidi w:val="0"/>
        <w:spacing w:line="560" w:lineRule="exact"/>
        <w:jc w:val="center"/>
        <w:rPr>
          <w:rFonts w:hint="default" w:ascii="Times New Roman" w:hAnsi="Times New Roman" w:eastAsia="方正小标宋_GBK" w:cs="Times New Roman"/>
          <w:sz w:val="40"/>
          <w:szCs w:val="40"/>
        </w:rPr>
      </w:pPr>
      <w:r>
        <w:rPr>
          <w:rFonts w:hint="default" w:ascii="Times New Roman" w:hAnsi="Times New Roman" w:eastAsia="方正小标宋_GBK" w:cs="Times New Roman"/>
          <w:sz w:val="40"/>
          <w:szCs w:val="40"/>
        </w:rPr>
        <w:t>专项预算绩效自评打分表</w:t>
      </w:r>
    </w:p>
    <w:tbl>
      <w:tblPr>
        <w:tblStyle w:val="17"/>
        <w:tblW w:w="10899" w:type="dxa"/>
        <w:jc w:val="center"/>
        <w:tblLayout w:type="fixed"/>
        <w:tblCellMar>
          <w:top w:w="0" w:type="dxa"/>
          <w:left w:w="108" w:type="dxa"/>
          <w:bottom w:w="0" w:type="dxa"/>
          <w:right w:w="108" w:type="dxa"/>
        </w:tblCellMar>
      </w:tblPr>
      <w:tblGrid>
        <w:gridCol w:w="1074"/>
        <w:gridCol w:w="1235"/>
        <w:gridCol w:w="1435"/>
        <w:gridCol w:w="616"/>
        <w:gridCol w:w="5339"/>
        <w:gridCol w:w="732"/>
        <w:gridCol w:w="468"/>
      </w:tblGrid>
      <w:tr w14:paraId="54C6A3AA">
        <w:tblPrEx>
          <w:tblCellMar>
            <w:top w:w="0" w:type="dxa"/>
            <w:left w:w="108" w:type="dxa"/>
            <w:bottom w:w="0" w:type="dxa"/>
            <w:right w:w="108" w:type="dxa"/>
          </w:tblCellMar>
        </w:tblPrEx>
        <w:trPr>
          <w:trHeight w:val="23" w:hRule="atLeast"/>
          <w:jc w:val="center"/>
        </w:trPr>
        <w:tc>
          <w:tcPr>
            <w:tcW w:w="4360" w:type="dxa"/>
            <w:gridSpan w:val="4"/>
            <w:tcBorders>
              <w:top w:val="single" w:color="000000" w:sz="4" w:space="0"/>
              <w:left w:val="single" w:color="000000" w:sz="4" w:space="0"/>
              <w:bottom w:val="nil"/>
              <w:right w:val="nil"/>
            </w:tcBorders>
            <w:noWrap w:val="0"/>
            <w:vAlign w:val="center"/>
          </w:tcPr>
          <w:p w14:paraId="4C3FE720">
            <w:pPr>
              <w:keepNext w:val="0"/>
              <w:keepLines w:val="0"/>
              <w:pageBreakBefore w:val="0"/>
              <w:widowControl/>
              <w:kinsoku/>
              <w:wordWrap/>
              <w:overflowPunct/>
              <w:topLinePunct w:val="0"/>
              <w:autoSpaceDE/>
              <w:bidi w:val="0"/>
              <w:spacing w:line="560" w:lineRule="exact"/>
              <w:jc w:val="center"/>
              <w:textAlignment w:val="center"/>
              <w:rPr>
                <w:rFonts w:hint="default" w:ascii="Times New Roman" w:hAnsi="Times New Roman" w:eastAsia="黑体" w:cs="Times New Roman"/>
                <w:color w:val="000000"/>
                <w:sz w:val="24"/>
                <w:szCs w:val="24"/>
                <w:lang w:bidi="ar-SA"/>
              </w:rPr>
            </w:pPr>
            <w:r>
              <w:rPr>
                <w:rFonts w:hint="default" w:ascii="Times New Roman" w:hAnsi="Times New Roman" w:eastAsia="黑体" w:cs="Times New Roman"/>
                <w:color w:val="000000"/>
                <w:kern w:val="0"/>
                <w:sz w:val="24"/>
                <w:szCs w:val="24"/>
                <w:lang w:bidi="ar"/>
              </w:rPr>
              <w:t>绩效评价指标</w:t>
            </w:r>
          </w:p>
        </w:tc>
        <w:tc>
          <w:tcPr>
            <w:tcW w:w="5339" w:type="dxa"/>
            <w:vMerge w:val="restart"/>
            <w:tcBorders>
              <w:top w:val="single" w:color="000000" w:sz="4" w:space="0"/>
              <w:left w:val="single" w:color="000000" w:sz="4" w:space="0"/>
              <w:bottom w:val="single" w:color="000000" w:sz="4" w:space="0"/>
              <w:right w:val="single" w:color="000000" w:sz="4" w:space="0"/>
            </w:tcBorders>
            <w:noWrap w:val="0"/>
            <w:vAlign w:val="center"/>
          </w:tcPr>
          <w:p w14:paraId="06D00F80">
            <w:pPr>
              <w:keepNext w:val="0"/>
              <w:keepLines w:val="0"/>
              <w:pageBreakBefore w:val="0"/>
              <w:widowControl/>
              <w:kinsoku/>
              <w:wordWrap/>
              <w:overflowPunct/>
              <w:topLinePunct w:val="0"/>
              <w:autoSpaceDE/>
              <w:bidi w:val="0"/>
              <w:spacing w:line="560" w:lineRule="exact"/>
              <w:jc w:val="center"/>
              <w:textAlignment w:val="center"/>
              <w:rPr>
                <w:rFonts w:hint="default" w:ascii="Times New Roman" w:hAnsi="Times New Roman" w:eastAsia="黑体" w:cs="Times New Roman"/>
                <w:color w:val="000000"/>
                <w:sz w:val="24"/>
                <w:szCs w:val="24"/>
                <w:lang w:bidi="ar-SA"/>
              </w:rPr>
            </w:pPr>
            <w:r>
              <w:rPr>
                <w:rFonts w:hint="default" w:ascii="Times New Roman" w:hAnsi="Times New Roman" w:eastAsia="黑体" w:cs="Times New Roman"/>
                <w:color w:val="000000"/>
                <w:kern w:val="0"/>
                <w:sz w:val="24"/>
                <w:szCs w:val="24"/>
                <w:lang w:bidi="ar"/>
              </w:rPr>
              <w:t>指标解释</w:t>
            </w:r>
          </w:p>
        </w:tc>
        <w:tc>
          <w:tcPr>
            <w:tcW w:w="732" w:type="dxa"/>
            <w:vMerge w:val="restart"/>
            <w:tcBorders>
              <w:top w:val="single" w:color="000000" w:sz="4" w:space="0"/>
              <w:left w:val="single" w:color="000000" w:sz="4" w:space="0"/>
              <w:bottom w:val="nil"/>
              <w:right w:val="single" w:color="000000" w:sz="4" w:space="0"/>
            </w:tcBorders>
            <w:noWrap w:val="0"/>
            <w:vAlign w:val="center"/>
          </w:tcPr>
          <w:p w14:paraId="57EC731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color w:val="000000"/>
                <w:kern w:val="0"/>
                <w:sz w:val="24"/>
                <w:szCs w:val="24"/>
                <w:lang w:bidi="ar"/>
              </w:rPr>
            </w:pPr>
            <w:r>
              <w:rPr>
                <w:rFonts w:hint="default" w:ascii="Times New Roman" w:hAnsi="Times New Roman" w:eastAsia="方正仿宋_GBK" w:cs="Times New Roman"/>
                <w:color w:val="000000"/>
                <w:kern w:val="0"/>
                <w:sz w:val="24"/>
                <w:szCs w:val="24"/>
                <w:lang w:val="en-US" w:eastAsia="zh-CN" w:bidi="ar"/>
              </w:rPr>
              <w:t>自评得分</w:t>
            </w:r>
          </w:p>
        </w:tc>
        <w:tc>
          <w:tcPr>
            <w:tcW w:w="468" w:type="dxa"/>
            <w:vMerge w:val="restart"/>
            <w:tcBorders>
              <w:top w:val="single" w:color="000000" w:sz="4" w:space="0"/>
              <w:left w:val="single" w:color="000000" w:sz="4" w:space="0"/>
              <w:bottom w:val="nil"/>
              <w:right w:val="single" w:color="000000" w:sz="4" w:space="0"/>
            </w:tcBorders>
            <w:noWrap w:val="0"/>
            <w:vAlign w:val="center"/>
          </w:tcPr>
          <w:p w14:paraId="28B7CBBE">
            <w:pPr>
              <w:keepNext w:val="0"/>
              <w:keepLines w:val="0"/>
              <w:pageBreakBefore w:val="0"/>
              <w:widowControl/>
              <w:kinsoku/>
              <w:wordWrap/>
              <w:overflowPunct/>
              <w:topLinePunct w:val="0"/>
              <w:autoSpaceDE/>
              <w:bidi w:val="0"/>
              <w:spacing w:line="560" w:lineRule="exact"/>
              <w:jc w:val="center"/>
              <w:textAlignment w:val="center"/>
              <w:rPr>
                <w:rFonts w:hint="default" w:ascii="Times New Roman" w:hAnsi="Times New Roman" w:eastAsia="黑体" w:cs="Times New Roman"/>
                <w:color w:val="000000"/>
                <w:kern w:val="0"/>
                <w:sz w:val="24"/>
                <w:szCs w:val="24"/>
                <w:lang w:bidi="ar"/>
              </w:rPr>
            </w:pPr>
            <w:r>
              <w:rPr>
                <w:rFonts w:hint="default" w:ascii="Times New Roman" w:hAnsi="Times New Roman" w:eastAsia="黑体" w:cs="Times New Roman"/>
                <w:color w:val="000000"/>
                <w:kern w:val="0"/>
                <w:sz w:val="24"/>
                <w:szCs w:val="24"/>
                <w:lang w:bidi="ar"/>
              </w:rPr>
              <w:t>备注</w:t>
            </w:r>
          </w:p>
        </w:tc>
      </w:tr>
      <w:tr w14:paraId="4AC937B5">
        <w:tblPrEx>
          <w:tblCellMar>
            <w:top w:w="0" w:type="dxa"/>
            <w:left w:w="108" w:type="dxa"/>
            <w:bottom w:w="0" w:type="dxa"/>
            <w:right w:w="108" w:type="dxa"/>
          </w:tblCellMar>
        </w:tblPrEx>
        <w:trPr>
          <w:trHeight w:val="1014" w:hRule="atLeast"/>
          <w:jc w:val="center"/>
        </w:trPr>
        <w:tc>
          <w:tcPr>
            <w:tcW w:w="1074" w:type="dxa"/>
            <w:tcBorders>
              <w:top w:val="single" w:color="000000" w:sz="4" w:space="0"/>
              <w:left w:val="single" w:color="000000" w:sz="4" w:space="0"/>
              <w:bottom w:val="single" w:color="000000" w:sz="4" w:space="0"/>
              <w:right w:val="single" w:color="000000" w:sz="4" w:space="0"/>
            </w:tcBorders>
            <w:noWrap w:val="0"/>
            <w:vAlign w:val="center"/>
          </w:tcPr>
          <w:p w14:paraId="31500ED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一级指标</w:t>
            </w:r>
          </w:p>
        </w:tc>
        <w:tc>
          <w:tcPr>
            <w:tcW w:w="1235" w:type="dxa"/>
            <w:tcBorders>
              <w:top w:val="single" w:color="000000" w:sz="4" w:space="0"/>
              <w:left w:val="single" w:color="000000" w:sz="4" w:space="0"/>
              <w:bottom w:val="single" w:color="000000" w:sz="4" w:space="0"/>
              <w:right w:val="single" w:color="000000" w:sz="4" w:space="0"/>
            </w:tcBorders>
            <w:noWrap w:val="0"/>
            <w:vAlign w:val="center"/>
          </w:tcPr>
          <w:p w14:paraId="3E0C822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二级指标</w:t>
            </w: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0C750B5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三级指标</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28C3509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r>
              <w:rPr>
                <w:rFonts w:hint="default" w:ascii="Times New Roman" w:hAnsi="Times New Roman" w:eastAsia="方正仿宋_GBK" w:cs="Times New Roman"/>
                <w:color w:val="000000"/>
                <w:kern w:val="0"/>
                <w:sz w:val="24"/>
                <w:szCs w:val="24"/>
                <w:lang w:val="en-US" w:eastAsia="zh-CN" w:bidi="ar"/>
              </w:rPr>
              <w:t>指标</w:t>
            </w:r>
            <w:r>
              <w:rPr>
                <w:rFonts w:hint="default" w:ascii="Times New Roman" w:hAnsi="Times New Roman" w:eastAsia="方正仿宋_GBK" w:cs="Times New Roman"/>
                <w:color w:val="000000"/>
                <w:kern w:val="0"/>
                <w:sz w:val="24"/>
                <w:szCs w:val="24"/>
                <w:lang w:val="en-US" w:eastAsia="zh-CN" w:bidi="ar"/>
              </w:rPr>
              <w:br w:type="textWrapping"/>
            </w:r>
            <w:r>
              <w:rPr>
                <w:rFonts w:hint="default" w:ascii="Times New Roman" w:hAnsi="Times New Roman" w:eastAsia="方正仿宋_GBK" w:cs="Times New Roman"/>
                <w:color w:val="000000"/>
                <w:kern w:val="0"/>
                <w:sz w:val="24"/>
                <w:szCs w:val="24"/>
                <w:lang w:val="en-US" w:eastAsia="zh-CN" w:bidi="ar"/>
              </w:rPr>
              <w:t>分值</w:t>
            </w:r>
          </w:p>
        </w:tc>
        <w:tc>
          <w:tcPr>
            <w:tcW w:w="53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E9980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4"/>
                <w:szCs w:val="24"/>
                <w:lang w:val="en-US" w:eastAsia="zh-CN" w:bidi="ar"/>
              </w:rPr>
            </w:pPr>
          </w:p>
        </w:tc>
        <w:tc>
          <w:tcPr>
            <w:tcW w:w="732" w:type="dxa"/>
            <w:vMerge w:val="continue"/>
            <w:tcBorders>
              <w:top w:val="nil"/>
              <w:left w:val="single" w:color="000000" w:sz="4" w:space="0"/>
              <w:bottom w:val="single" w:color="000000" w:sz="4" w:space="0"/>
              <w:right w:val="single" w:color="000000" w:sz="4" w:space="0"/>
            </w:tcBorders>
            <w:noWrap w:val="0"/>
            <w:vAlign w:val="center"/>
          </w:tcPr>
          <w:p w14:paraId="5F5F892E">
            <w:pPr>
              <w:keepNext w:val="0"/>
              <w:keepLines w:val="0"/>
              <w:pageBreakBefore w:val="0"/>
              <w:kinsoku/>
              <w:wordWrap/>
              <w:overflowPunct/>
              <w:topLinePunct w:val="0"/>
              <w:autoSpaceDE/>
              <w:bidi w:val="0"/>
              <w:spacing w:line="560" w:lineRule="exact"/>
              <w:rPr>
                <w:rFonts w:hint="default" w:ascii="Times New Roman" w:hAnsi="Times New Roman" w:cs="Times New Roman"/>
              </w:rPr>
            </w:pPr>
          </w:p>
        </w:tc>
        <w:tc>
          <w:tcPr>
            <w:tcW w:w="468" w:type="dxa"/>
            <w:vMerge w:val="continue"/>
            <w:tcBorders>
              <w:top w:val="nil"/>
              <w:left w:val="single" w:color="000000" w:sz="4" w:space="0"/>
              <w:bottom w:val="single" w:color="000000" w:sz="4" w:space="0"/>
              <w:right w:val="single" w:color="000000" w:sz="4" w:space="0"/>
            </w:tcBorders>
            <w:noWrap w:val="0"/>
            <w:vAlign w:val="center"/>
          </w:tcPr>
          <w:p w14:paraId="7230EF58">
            <w:pPr>
              <w:keepNext w:val="0"/>
              <w:keepLines w:val="0"/>
              <w:pageBreakBefore w:val="0"/>
              <w:kinsoku/>
              <w:wordWrap/>
              <w:overflowPunct/>
              <w:topLinePunct w:val="0"/>
              <w:autoSpaceDE/>
              <w:bidi w:val="0"/>
              <w:spacing w:line="560" w:lineRule="exact"/>
              <w:rPr>
                <w:rFonts w:hint="default" w:ascii="Times New Roman" w:hAnsi="Times New Roman" w:cs="Times New Roman"/>
              </w:rPr>
            </w:pPr>
          </w:p>
        </w:tc>
      </w:tr>
      <w:tr w14:paraId="7C4E03E3">
        <w:tblPrEx>
          <w:tblCellMar>
            <w:top w:w="0" w:type="dxa"/>
            <w:left w:w="108" w:type="dxa"/>
            <w:bottom w:w="0" w:type="dxa"/>
            <w:right w:w="108" w:type="dxa"/>
          </w:tblCellMar>
        </w:tblPrEx>
        <w:trPr>
          <w:trHeight w:val="23" w:hRule="atLeast"/>
          <w:jc w:val="center"/>
        </w:trPr>
        <w:tc>
          <w:tcPr>
            <w:tcW w:w="1074" w:type="dxa"/>
            <w:vMerge w:val="restart"/>
            <w:tcBorders>
              <w:top w:val="single" w:color="000000" w:sz="4" w:space="0"/>
              <w:left w:val="single" w:color="000000" w:sz="4" w:space="0"/>
              <w:bottom w:val="single" w:color="000000" w:sz="4" w:space="0"/>
              <w:right w:val="single" w:color="000000" w:sz="4" w:space="0"/>
            </w:tcBorders>
            <w:noWrap w:val="0"/>
            <w:vAlign w:val="center"/>
          </w:tcPr>
          <w:p w14:paraId="4224181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通用指标</w:t>
            </w:r>
            <w:r>
              <w:rPr>
                <w:rFonts w:hint="default" w:ascii="Times New Roman" w:hAnsi="Times New Roman" w:eastAsia="方正仿宋_GBK" w:cs="Times New Roman"/>
                <w:color w:val="000000"/>
                <w:kern w:val="0"/>
                <w:sz w:val="21"/>
                <w:szCs w:val="21"/>
                <w:lang w:val="en-US" w:eastAsia="zh-CN" w:bidi="ar"/>
              </w:rPr>
              <w:br w:type="textWrapping"/>
            </w:r>
            <w:r>
              <w:rPr>
                <w:rFonts w:hint="default" w:ascii="Times New Roman" w:hAnsi="Times New Roman" w:eastAsia="方正仿宋_GBK" w:cs="Times New Roman"/>
                <w:color w:val="000000"/>
                <w:kern w:val="0"/>
                <w:sz w:val="21"/>
                <w:szCs w:val="21"/>
                <w:lang w:val="en-US" w:eastAsia="zh-CN" w:bidi="ar"/>
              </w:rPr>
              <w:t>（54分）</w:t>
            </w:r>
          </w:p>
        </w:tc>
        <w:tc>
          <w:tcPr>
            <w:tcW w:w="1235" w:type="dxa"/>
            <w:vMerge w:val="restart"/>
            <w:tcBorders>
              <w:top w:val="single" w:color="000000" w:sz="4" w:space="0"/>
              <w:left w:val="single" w:color="000000" w:sz="4" w:space="0"/>
              <w:bottom w:val="single" w:color="000000" w:sz="4" w:space="0"/>
              <w:right w:val="single" w:color="000000" w:sz="4" w:space="0"/>
            </w:tcBorders>
            <w:noWrap w:val="0"/>
            <w:vAlign w:val="center"/>
          </w:tcPr>
          <w:p w14:paraId="02745A4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项目决策</w:t>
            </w:r>
            <w:r>
              <w:rPr>
                <w:rFonts w:hint="default" w:ascii="Times New Roman" w:hAnsi="Times New Roman" w:eastAsia="方正仿宋_GBK" w:cs="Times New Roman"/>
                <w:color w:val="000000"/>
                <w:kern w:val="0"/>
                <w:sz w:val="21"/>
                <w:szCs w:val="21"/>
                <w:lang w:val="en-US" w:eastAsia="zh-CN" w:bidi="ar"/>
              </w:rPr>
              <w:br w:type="textWrapping"/>
            </w:r>
            <w:r>
              <w:rPr>
                <w:rFonts w:hint="default" w:ascii="Times New Roman" w:hAnsi="Times New Roman" w:eastAsia="方正仿宋_GBK" w:cs="Times New Roman"/>
                <w:color w:val="000000"/>
                <w:kern w:val="0"/>
                <w:sz w:val="21"/>
                <w:szCs w:val="21"/>
                <w:lang w:val="en-US" w:eastAsia="zh-CN" w:bidi="ar"/>
              </w:rPr>
              <w:t>（18分）</w:t>
            </w: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7211389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决策程序</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3F9EFDE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6</w:t>
            </w:r>
          </w:p>
        </w:tc>
        <w:tc>
          <w:tcPr>
            <w:tcW w:w="5339" w:type="dxa"/>
            <w:tcBorders>
              <w:top w:val="single" w:color="000000" w:sz="4" w:space="0"/>
              <w:left w:val="single" w:color="000000" w:sz="4" w:space="0"/>
              <w:bottom w:val="single" w:color="000000" w:sz="4" w:space="0"/>
              <w:right w:val="single" w:color="000000" w:sz="4" w:space="0"/>
            </w:tcBorders>
            <w:noWrap w:val="0"/>
            <w:vAlign w:val="center"/>
          </w:tcPr>
          <w:p w14:paraId="10695BE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E20DCDC">
            <w:pPr>
              <w:keepNext w:val="0"/>
              <w:keepLines w:val="0"/>
              <w:pageBreakBefore w:val="0"/>
              <w:widowControl/>
              <w:kinsoku/>
              <w:wordWrap/>
              <w:overflowPunct/>
              <w:topLinePunct w:val="0"/>
              <w:autoSpaceDE/>
              <w:bidi w:val="0"/>
              <w:spacing w:line="560" w:lineRule="exact"/>
              <w:ind w:firstLine="88" w:firstLineChars="50"/>
              <w:jc w:val="left"/>
              <w:textAlignment w:val="center"/>
              <w:rPr>
                <w:rFonts w:hint="default" w:ascii="Times New Roman" w:hAnsi="Times New Roman" w:eastAsia="宋体" w:cs="Times New Roman"/>
                <w:color w:val="000000"/>
                <w:kern w:val="0"/>
                <w:sz w:val="21"/>
                <w:szCs w:val="21"/>
                <w:lang w:bidi="ar"/>
              </w:rPr>
            </w:pPr>
            <w:r>
              <w:rPr>
                <w:rFonts w:hint="default" w:ascii="Times New Roman" w:hAnsi="Times New Roman" w:eastAsia="方正仿宋简体" w:cs="Times New Roman"/>
                <w:b/>
                <w:bCs/>
                <w:spacing w:val="-17"/>
                <w:sz w:val="21"/>
                <w:szCs w:val="21"/>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2E188BB">
            <w:pPr>
              <w:keepNext w:val="0"/>
              <w:keepLines w:val="0"/>
              <w:pageBreakBefore w:val="0"/>
              <w:widowControl/>
              <w:kinsoku/>
              <w:wordWrap/>
              <w:overflowPunct/>
              <w:topLinePunct w:val="0"/>
              <w:autoSpaceDE/>
              <w:bidi w:val="0"/>
              <w:spacing w:line="560" w:lineRule="exact"/>
              <w:jc w:val="left"/>
              <w:textAlignment w:val="center"/>
              <w:rPr>
                <w:rFonts w:hint="default" w:ascii="Times New Roman" w:hAnsi="Times New Roman" w:eastAsia="宋体" w:cs="Times New Roman"/>
                <w:color w:val="000000"/>
                <w:kern w:val="0"/>
                <w:sz w:val="21"/>
                <w:szCs w:val="21"/>
                <w:lang w:bidi="ar"/>
              </w:rPr>
            </w:pPr>
          </w:p>
        </w:tc>
      </w:tr>
      <w:tr w14:paraId="56B24723">
        <w:tblPrEx>
          <w:tblCellMar>
            <w:top w:w="0" w:type="dxa"/>
            <w:left w:w="108" w:type="dxa"/>
            <w:bottom w:w="0" w:type="dxa"/>
            <w:right w:w="108" w:type="dxa"/>
          </w:tblCellMar>
        </w:tblPrEx>
        <w:trPr>
          <w:trHeight w:val="23" w:hRule="atLeast"/>
          <w:jc w:val="center"/>
        </w:trPr>
        <w:tc>
          <w:tcPr>
            <w:tcW w:w="10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2553E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2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D6FF8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24387EE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规划论证</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451FB21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6</w:t>
            </w:r>
          </w:p>
        </w:tc>
        <w:tc>
          <w:tcPr>
            <w:tcW w:w="5339" w:type="dxa"/>
            <w:tcBorders>
              <w:top w:val="single" w:color="000000" w:sz="4" w:space="0"/>
              <w:left w:val="single" w:color="000000" w:sz="4" w:space="0"/>
              <w:bottom w:val="single" w:color="000000" w:sz="4" w:space="0"/>
              <w:right w:val="single" w:color="000000" w:sz="4" w:space="0"/>
            </w:tcBorders>
            <w:noWrap w:val="0"/>
            <w:vAlign w:val="center"/>
          </w:tcPr>
          <w:p w14:paraId="4B00477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7F0CCAE">
            <w:pPr>
              <w:keepNext w:val="0"/>
              <w:keepLines w:val="0"/>
              <w:pageBreakBefore w:val="0"/>
              <w:widowControl/>
              <w:kinsoku/>
              <w:wordWrap/>
              <w:overflowPunct/>
              <w:topLinePunct w:val="0"/>
              <w:autoSpaceDE/>
              <w:bidi w:val="0"/>
              <w:spacing w:line="560" w:lineRule="exact"/>
              <w:ind w:firstLine="88" w:firstLineChars="50"/>
              <w:jc w:val="left"/>
              <w:textAlignment w:val="center"/>
              <w:rPr>
                <w:rFonts w:hint="default" w:ascii="Times New Roman" w:hAnsi="Times New Roman" w:eastAsia="宋体" w:cs="Times New Roman"/>
                <w:color w:val="000000"/>
                <w:kern w:val="0"/>
                <w:sz w:val="21"/>
                <w:szCs w:val="21"/>
                <w:lang w:bidi="ar"/>
              </w:rPr>
            </w:pPr>
            <w:r>
              <w:rPr>
                <w:rFonts w:hint="default" w:ascii="Times New Roman" w:hAnsi="Times New Roman" w:eastAsia="方正仿宋简体" w:cs="Times New Roman"/>
                <w:b/>
                <w:bCs/>
                <w:spacing w:val="-17"/>
                <w:sz w:val="21"/>
                <w:szCs w:val="21"/>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5A5E712">
            <w:pPr>
              <w:keepNext w:val="0"/>
              <w:keepLines w:val="0"/>
              <w:pageBreakBefore w:val="0"/>
              <w:widowControl/>
              <w:kinsoku/>
              <w:wordWrap/>
              <w:overflowPunct/>
              <w:topLinePunct w:val="0"/>
              <w:autoSpaceDE/>
              <w:bidi w:val="0"/>
              <w:spacing w:line="560" w:lineRule="exact"/>
              <w:jc w:val="left"/>
              <w:textAlignment w:val="center"/>
              <w:rPr>
                <w:rFonts w:hint="default" w:ascii="Times New Roman" w:hAnsi="Times New Roman" w:eastAsia="宋体" w:cs="Times New Roman"/>
                <w:color w:val="000000"/>
                <w:kern w:val="0"/>
                <w:sz w:val="21"/>
                <w:szCs w:val="21"/>
                <w:lang w:bidi="ar"/>
              </w:rPr>
            </w:pPr>
          </w:p>
        </w:tc>
      </w:tr>
      <w:tr w14:paraId="4A276B23">
        <w:tblPrEx>
          <w:tblCellMar>
            <w:top w:w="0" w:type="dxa"/>
            <w:left w:w="108" w:type="dxa"/>
            <w:bottom w:w="0" w:type="dxa"/>
            <w:right w:w="108" w:type="dxa"/>
          </w:tblCellMar>
        </w:tblPrEx>
        <w:trPr>
          <w:trHeight w:val="734" w:hRule="atLeast"/>
          <w:jc w:val="center"/>
        </w:trPr>
        <w:tc>
          <w:tcPr>
            <w:tcW w:w="10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04434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2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EF8CE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25008C8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资金投向</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4D9929C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6</w:t>
            </w:r>
          </w:p>
        </w:tc>
        <w:tc>
          <w:tcPr>
            <w:tcW w:w="5339" w:type="dxa"/>
            <w:tcBorders>
              <w:top w:val="single" w:color="000000" w:sz="4" w:space="0"/>
              <w:left w:val="single" w:color="000000" w:sz="4" w:space="0"/>
              <w:bottom w:val="single" w:color="000000" w:sz="4" w:space="0"/>
              <w:right w:val="single" w:color="000000" w:sz="4" w:space="0"/>
            </w:tcBorders>
            <w:noWrap w:val="0"/>
            <w:vAlign w:val="center"/>
          </w:tcPr>
          <w:p w14:paraId="3F09C71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13A3CC0">
            <w:pPr>
              <w:keepNext w:val="0"/>
              <w:keepLines w:val="0"/>
              <w:pageBreakBefore w:val="0"/>
              <w:widowControl/>
              <w:kinsoku/>
              <w:wordWrap/>
              <w:overflowPunct/>
              <w:topLinePunct w:val="0"/>
              <w:autoSpaceDE/>
              <w:bidi w:val="0"/>
              <w:spacing w:line="560" w:lineRule="exact"/>
              <w:ind w:firstLine="88" w:firstLineChars="50"/>
              <w:jc w:val="left"/>
              <w:textAlignment w:val="center"/>
              <w:rPr>
                <w:rFonts w:hint="default" w:ascii="Times New Roman" w:hAnsi="Times New Roman" w:eastAsia="宋体" w:cs="Times New Roman"/>
                <w:color w:val="000000"/>
                <w:kern w:val="0"/>
                <w:sz w:val="21"/>
                <w:szCs w:val="21"/>
                <w:lang w:bidi="ar"/>
              </w:rPr>
            </w:pPr>
            <w:r>
              <w:rPr>
                <w:rFonts w:hint="default" w:ascii="Times New Roman" w:hAnsi="Times New Roman" w:eastAsia="方正仿宋简体" w:cs="Times New Roman"/>
                <w:b/>
                <w:bCs/>
                <w:spacing w:val="-17"/>
                <w:sz w:val="21"/>
                <w:szCs w:val="21"/>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7703070">
            <w:pPr>
              <w:keepNext w:val="0"/>
              <w:keepLines w:val="0"/>
              <w:pageBreakBefore w:val="0"/>
              <w:widowControl/>
              <w:kinsoku/>
              <w:wordWrap/>
              <w:overflowPunct/>
              <w:topLinePunct w:val="0"/>
              <w:autoSpaceDE/>
              <w:bidi w:val="0"/>
              <w:spacing w:line="560" w:lineRule="exact"/>
              <w:jc w:val="left"/>
              <w:textAlignment w:val="center"/>
              <w:rPr>
                <w:rFonts w:hint="default" w:ascii="Times New Roman" w:hAnsi="Times New Roman" w:eastAsia="宋体" w:cs="Times New Roman"/>
                <w:color w:val="000000"/>
                <w:kern w:val="0"/>
                <w:sz w:val="21"/>
                <w:szCs w:val="21"/>
                <w:lang w:bidi="ar"/>
              </w:rPr>
            </w:pPr>
          </w:p>
        </w:tc>
      </w:tr>
      <w:tr w14:paraId="5B8FEFD9">
        <w:tblPrEx>
          <w:tblCellMar>
            <w:top w:w="0" w:type="dxa"/>
            <w:left w:w="108" w:type="dxa"/>
            <w:bottom w:w="0" w:type="dxa"/>
            <w:right w:w="108" w:type="dxa"/>
          </w:tblCellMar>
        </w:tblPrEx>
        <w:trPr>
          <w:trHeight w:val="23" w:hRule="atLeast"/>
          <w:jc w:val="center"/>
        </w:trPr>
        <w:tc>
          <w:tcPr>
            <w:tcW w:w="10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88F75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235" w:type="dxa"/>
            <w:vMerge w:val="restart"/>
            <w:tcBorders>
              <w:top w:val="single" w:color="000000" w:sz="4" w:space="0"/>
              <w:left w:val="single" w:color="000000" w:sz="4" w:space="0"/>
              <w:bottom w:val="single" w:color="000000" w:sz="4" w:space="0"/>
              <w:right w:val="single" w:color="000000" w:sz="4" w:space="0"/>
            </w:tcBorders>
            <w:noWrap w:val="0"/>
            <w:vAlign w:val="center"/>
          </w:tcPr>
          <w:p w14:paraId="762185C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项目管理</w:t>
            </w:r>
            <w:r>
              <w:rPr>
                <w:rFonts w:hint="default" w:ascii="Times New Roman" w:hAnsi="Times New Roman" w:eastAsia="方正仿宋_GBK" w:cs="Times New Roman"/>
                <w:color w:val="000000"/>
                <w:kern w:val="0"/>
                <w:sz w:val="21"/>
                <w:szCs w:val="21"/>
                <w:lang w:val="en-US" w:eastAsia="zh-CN" w:bidi="ar"/>
              </w:rPr>
              <w:br w:type="textWrapping"/>
            </w:r>
            <w:r>
              <w:rPr>
                <w:rFonts w:hint="default" w:ascii="Times New Roman" w:hAnsi="Times New Roman" w:eastAsia="方正仿宋_GBK" w:cs="Times New Roman"/>
                <w:color w:val="000000"/>
                <w:kern w:val="0"/>
                <w:sz w:val="21"/>
                <w:szCs w:val="21"/>
                <w:lang w:val="en-US" w:eastAsia="zh-CN" w:bidi="ar"/>
              </w:rPr>
              <w:t>（18分）</w:t>
            </w: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7BCA4C3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制度办法</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6DF5311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2</w:t>
            </w:r>
          </w:p>
        </w:tc>
        <w:tc>
          <w:tcPr>
            <w:tcW w:w="5339" w:type="dxa"/>
            <w:tcBorders>
              <w:top w:val="single" w:color="000000" w:sz="4" w:space="0"/>
              <w:left w:val="single" w:color="000000" w:sz="4" w:space="0"/>
              <w:bottom w:val="single" w:color="000000" w:sz="4" w:space="0"/>
              <w:right w:val="single" w:color="000000" w:sz="4" w:space="0"/>
            </w:tcBorders>
            <w:noWrap w:val="0"/>
            <w:vAlign w:val="center"/>
          </w:tcPr>
          <w:p w14:paraId="54DC03C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B9E2F6D">
            <w:pPr>
              <w:keepNext w:val="0"/>
              <w:keepLines w:val="0"/>
              <w:pageBreakBefore w:val="0"/>
              <w:widowControl/>
              <w:kinsoku/>
              <w:wordWrap/>
              <w:overflowPunct/>
              <w:topLinePunct w:val="0"/>
              <w:autoSpaceDE/>
              <w:bidi w:val="0"/>
              <w:spacing w:line="560" w:lineRule="exact"/>
              <w:ind w:firstLine="88" w:firstLineChars="50"/>
              <w:jc w:val="left"/>
              <w:textAlignment w:val="center"/>
              <w:rPr>
                <w:rFonts w:hint="default" w:ascii="Times New Roman" w:hAnsi="Times New Roman" w:eastAsia="宋体" w:cs="Times New Roman"/>
                <w:color w:val="000000"/>
                <w:kern w:val="0"/>
                <w:sz w:val="21"/>
                <w:szCs w:val="21"/>
                <w:lang w:bidi="ar"/>
              </w:rPr>
            </w:pPr>
            <w:r>
              <w:rPr>
                <w:rFonts w:hint="default" w:ascii="Times New Roman" w:hAnsi="Times New Roman" w:eastAsia="方正仿宋简体" w:cs="Times New Roman"/>
                <w:b/>
                <w:bCs/>
                <w:spacing w:val="-17"/>
                <w:sz w:val="21"/>
                <w:szCs w:val="21"/>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6AFC9EE">
            <w:pPr>
              <w:keepNext w:val="0"/>
              <w:keepLines w:val="0"/>
              <w:pageBreakBefore w:val="0"/>
              <w:widowControl/>
              <w:kinsoku/>
              <w:wordWrap/>
              <w:overflowPunct/>
              <w:topLinePunct w:val="0"/>
              <w:autoSpaceDE/>
              <w:bidi w:val="0"/>
              <w:spacing w:line="560" w:lineRule="exact"/>
              <w:jc w:val="left"/>
              <w:textAlignment w:val="center"/>
              <w:rPr>
                <w:rFonts w:hint="default" w:ascii="Times New Roman" w:hAnsi="Times New Roman" w:eastAsia="宋体" w:cs="Times New Roman"/>
                <w:color w:val="000000"/>
                <w:kern w:val="0"/>
                <w:sz w:val="21"/>
                <w:szCs w:val="21"/>
                <w:lang w:bidi="ar"/>
              </w:rPr>
            </w:pPr>
          </w:p>
        </w:tc>
      </w:tr>
      <w:tr w14:paraId="754957A5">
        <w:tblPrEx>
          <w:tblCellMar>
            <w:top w:w="0" w:type="dxa"/>
            <w:left w:w="108" w:type="dxa"/>
            <w:bottom w:w="0" w:type="dxa"/>
            <w:right w:w="108" w:type="dxa"/>
          </w:tblCellMar>
        </w:tblPrEx>
        <w:trPr>
          <w:trHeight w:val="23" w:hRule="atLeast"/>
          <w:jc w:val="center"/>
        </w:trPr>
        <w:tc>
          <w:tcPr>
            <w:tcW w:w="10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E9D41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2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B3B58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316EDCF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分配管理</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3CC50D4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10</w:t>
            </w:r>
          </w:p>
        </w:tc>
        <w:tc>
          <w:tcPr>
            <w:tcW w:w="5339" w:type="dxa"/>
            <w:tcBorders>
              <w:top w:val="single" w:color="000000" w:sz="4" w:space="0"/>
              <w:left w:val="single" w:color="000000" w:sz="4" w:space="0"/>
              <w:bottom w:val="single" w:color="000000" w:sz="4" w:space="0"/>
              <w:right w:val="single" w:color="000000" w:sz="4" w:space="0"/>
            </w:tcBorders>
            <w:noWrap w:val="0"/>
            <w:vAlign w:val="center"/>
          </w:tcPr>
          <w:p w14:paraId="35FD9FF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5566117">
            <w:pPr>
              <w:keepNext w:val="0"/>
              <w:keepLines w:val="0"/>
              <w:pageBreakBefore w:val="0"/>
              <w:widowControl/>
              <w:kinsoku/>
              <w:wordWrap/>
              <w:overflowPunct/>
              <w:topLinePunct w:val="0"/>
              <w:autoSpaceDE/>
              <w:bidi w:val="0"/>
              <w:spacing w:line="560" w:lineRule="exact"/>
              <w:jc w:val="left"/>
              <w:textAlignment w:val="center"/>
              <w:rPr>
                <w:rFonts w:hint="default" w:ascii="Times New Roman" w:hAnsi="Times New Roman" w:eastAsia="宋体" w:cs="Times New Roman"/>
                <w:color w:val="000000"/>
                <w:kern w:val="0"/>
                <w:sz w:val="21"/>
                <w:szCs w:val="21"/>
                <w:lang w:bidi="ar"/>
              </w:rPr>
            </w:pPr>
            <w:r>
              <w:rPr>
                <w:rFonts w:hint="default" w:ascii="Times New Roman" w:hAnsi="Times New Roman" w:eastAsia="方正仿宋简体" w:cs="Times New Roman"/>
                <w:b/>
                <w:bCs/>
                <w:spacing w:val="-17"/>
                <w:sz w:val="21"/>
                <w:szCs w:val="21"/>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B2E35B4">
            <w:pPr>
              <w:keepNext w:val="0"/>
              <w:keepLines w:val="0"/>
              <w:pageBreakBefore w:val="0"/>
              <w:widowControl/>
              <w:kinsoku/>
              <w:wordWrap/>
              <w:overflowPunct/>
              <w:topLinePunct w:val="0"/>
              <w:autoSpaceDE/>
              <w:bidi w:val="0"/>
              <w:spacing w:line="560" w:lineRule="exact"/>
              <w:jc w:val="left"/>
              <w:textAlignment w:val="center"/>
              <w:rPr>
                <w:rFonts w:hint="default" w:ascii="Times New Roman" w:hAnsi="Times New Roman" w:eastAsia="宋体" w:cs="Times New Roman"/>
                <w:color w:val="000000"/>
                <w:kern w:val="0"/>
                <w:sz w:val="21"/>
                <w:szCs w:val="21"/>
                <w:lang w:bidi="ar"/>
              </w:rPr>
            </w:pPr>
          </w:p>
        </w:tc>
      </w:tr>
      <w:tr w14:paraId="5944C2F8">
        <w:tblPrEx>
          <w:tblCellMar>
            <w:top w:w="0" w:type="dxa"/>
            <w:left w:w="108" w:type="dxa"/>
            <w:bottom w:w="0" w:type="dxa"/>
            <w:right w:w="108" w:type="dxa"/>
          </w:tblCellMar>
        </w:tblPrEx>
        <w:trPr>
          <w:trHeight w:val="23" w:hRule="atLeast"/>
          <w:jc w:val="center"/>
        </w:trPr>
        <w:tc>
          <w:tcPr>
            <w:tcW w:w="10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3AD90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2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ADEF8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1F3B9FA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绩效监管</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38B34BA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6</w:t>
            </w:r>
          </w:p>
        </w:tc>
        <w:tc>
          <w:tcPr>
            <w:tcW w:w="5339" w:type="dxa"/>
            <w:tcBorders>
              <w:top w:val="single" w:color="000000" w:sz="4" w:space="0"/>
              <w:left w:val="single" w:color="000000" w:sz="4" w:space="0"/>
              <w:bottom w:val="single" w:color="000000" w:sz="4" w:space="0"/>
              <w:right w:val="single" w:color="000000" w:sz="4" w:space="0"/>
            </w:tcBorders>
            <w:noWrap w:val="0"/>
            <w:vAlign w:val="center"/>
          </w:tcPr>
          <w:p w14:paraId="14A1F2D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731D1B7">
            <w:pPr>
              <w:keepNext w:val="0"/>
              <w:keepLines w:val="0"/>
              <w:pageBreakBefore w:val="0"/>
              <w:widowControl/>
              <w:kinsoku/>
              <w:wordWrap/>
              <w:overflowPunct/>
              <w:topLinePunct w:val="0"/>
              <w:autoSpaceDE/>
              <w:bidi w:val="0"/>
              <w:spacing w:line="560" w:lineRule="exact"/>
              <w:ind w:firstLine="88" w:firstLineChars="50"/>
              <w:jc w:val="left"/>
              <w:textAlignment w:val="center"/>
              <w:rPr>
                <w:rFonts w:hint="default" w:ascii="Times New Roman" w:hAnsi="Times New Roman" w:eastAsia="宋体" w:cs="Times New Roman"/>
                <w:color w:val="000000"/>
                <w:kern w:val="0"/>
                <w:sz w:val="21"/>
                <w:szCs w:val="21"/>
                <w:lang w:bidi="ar"/>
              </w:rPr>
            </w:pPr>
            <w:r>
              <w:rPr>
                <w:rFonts w:hint="default" w:ascii="Times New Roman" w:hAnsi="Times New Roman" w:eastAsia="方正仿宋简体" w:cs="Times New Roman"/>
                <w:b/>
                <w:bCs/>
                <w:spacing w:val="-17"/>
                <w:sz w:val="21"/>
                <w:szCs w:val="21"/>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FD82BAE">
            <w:pPr>
              <w:keepNext w:val="0"/>
              <w:keepLines w:val="0"/>
              <w:pageBreakBefore w:val="0"/>
              <w:widowControl/>
              <w:kinsoku/>
              <w:wordWrap/>
              <w:overflowPunct/>
              <w:topLinePunct w:val="0"/>
              <w:autoSpaceDE/>
              <w:bidi w:val="0"/>
              <w:spacing w:line="560" w:lineRule="exact"/>
              <w:jc w:val="left"/>
              <w:textAlignment w:val="center"/>
              <w:rPr>
                <w:rFonts w:hint="default" w:ascii="Times New Roman" w:hAnsi="Times New Roman" w:eastAsia="宋体" w:cs="Times New Roman"/>
                <w:color w:val="000000"/>
                <w:kern w:val="0"/>
                <w:sz w:val="21"/>
                <w:szCs w:val="21"/>
                <w:lang w:bidi="ar"/>
              </w:rPr>
            </w:pPr>
          </w:p>
        </w:tc>
      </w:tr>
      <w:tr w14:paraId="5D667F48">
        <w:tblPrEx>
          <w:tblCellMar>
            <w:top w:w="0" w:type="dxa"/>
            <w:left w:w="108" w:type="dxa"/>
            <w:bottom w:w="0" w:type="dxa"/>
            <w:right w:w="108" w:type="dxa"/>
          </w:tblCellMar>
        </w:tblPrEx>
        <w:trPr>
          <w:trHeight w:val="23" w:hRule="atLeast"/>
          <w:jc w:val="center"/>
        </w:trPr>
        <w:tc>
          <w:tcPr>
            <w:tcW w:w="10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AEED9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235" w:type="dxa"/>
            <w:vMerge w:val="restart"/>
            <w:tcBorders>
              <w:top w:val="single" w:color="000000" w:sz="4" w:space="0"/>
              <w:left w:val="single" w:color="000000" w:sz="4" w:space="0"/>
              <w:bottom w:val="single" w:color="000000" w:sz="4" w:space="0"/>
              <w:right w:val="single" w:color="000000" w:sz="4" w:space="0"/>
            </w:tcBorders>
            <w:noWrap w:val="0"/>
            <w:vAlign w:val="center"/>
          </w:tcPr>
          <w:p w14:paraId="53A2426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项目实施</w:t>
            </w:r>
            <w:r>
              <w:rPr>
                <w:rFonts w:hint="default" w:ascii="Times New Roman" w:hAnsi="Times New Roman" w:eastAsia="方正仿宋_GBK" w:cs="Times New Roman"/>
                <w:color w:val="000000"/>
                <w:kern w:val="0"/>
                <w:sz w:val="21"/>
                <w:szCs w:val="21"/>
                <w:lang w:val="en-US" w:eastAsia="zh-CN" w:bidi="ar"/>
              </w:rPr>
              <w:br w:type="textWrapping"/>
            </w:r>
            <w:r>
              <w:rPr>
                <w:rFonts w:hint="default" w:ascii="Times New Roman" w:hAnsi="Times New Roman" w:eastAsia="方正仿宋_GBK" w:cs="Times New Roman"/>
                <w:color w:val="000000"/>
                <w:kern w:val="0"/>
                <w:sz w:val="21"/>
                <w:szCs w:val="21"/>
                <w:lang w:val="en-US" w:eastAsia="zh-CN" w:bidi="ar"/>
              </w:rPr>
              <w:t>（9分）</w:t>
            </w: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2652844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预算执行</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4767CA1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6</w:t>
            </w:r>
          </w:p>
        </w:tc>
        <w:tc>
          <w:tcPr>
            <w:tcW w:w="5339" w:type="dxa"/>
            <w:tcBorders>
              <w:top w:val="single" w:color="000000" w:sz="4" w:space="0"/>
              <w:left w:val="single" w:color="000000" w:sz="4" w:space="0"/>
              <w:bottom w:val="single" w:color="000000" w:sz="4" w:space="0"/>
              <w:right w:val="single" w:color="000000" w:sz="4" w:space="0"/>
            </w:tcBorders>
            <w:noWrap w:val="0"/>
            <w:vAlign w:val="center"/>
          </w:tcPr>
          <w:p w14:paraId="38B3DF0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17CFECB">
            <w:pPr>
              <w:keepNext w:val="0"/>
              <w:keepLines w:val="0"/>
              <w:pageBreakBefore w:val="0"/>
              <w:widowControl/>
              <w:kinsoku/>
              <w:wordWrap/>
              <w:overflowPunct/>
              <w:topLinePunct w:val="0"/>
              <w:autoSpaceDE/>
              <w:bidi w:val="0"/>
              <w:spacing w:line="560" w:lineRule="exact"/>
              <w:ind w:firstLine="88" w:firstLineChars="50"/>
              <w:jc w:val="left"/>
              <w:textAlignment w:val="center"/>
              <w:rPr>
                <w:rFonts w:hint="default" w:ascii="Times New Roman" w:hAnsi="Times New Roman" w:eastAsia="宋体" w:cs="Times New Roman"/>
                <w:color w:val="000000"/>
                <w:kern w:val="0"/>
                <w:sz w:val="21"/>
                <w:szCs w:val="21"/>
                <w:lang w:bidi="ar"/>
              </w:rPr>
            </w:pPr>
            <w:r>
              <w:rPr>
                <w:rFonts w:hint="default" w:ascii="Times New Roman" w:hAnsi="Times New Roman" w:eastAsia="方正仿宋简体" w:cs="Times New Roman"/>
                <w:b/>
                <w:bCs/>
                <w:spacing w:val="-17"/>
                <w:sz w:val="21"/>
                <w:szCs w:val="21"/>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D845D1D">
            <w:pPr>
              <w:keepNext w:val="0"/>
              <w:keepLines w:val="0"/>
              <w:pageBreakBefore w:val="0"/>
              <w:widowControl/>
              <w:kinsoku/>
              <w:wordWrap/>
              <w:overflowPunct/>
              <w:topLinePunct w:val="0"/>
              <w:autoSpaceDE/>
              <w:bidi w:val="0"/>
              <w:spacing w:line="560" w:lineRule="exact"/>
              <w:jc w:val="left"/>
              <w:textAlignment w:val="center"/>
              <w:rPr>
                <w:rFonts w:hint="default" w:ascii="Times New Roman" w:hAnsi="Times New Roman" w:eastAsia="宋体" w:cs="Times New Roman"/>
                <w:color w:val="000000"/>
                <w:kern w:val="0"/>
                <w:sz w:val="21"/>
                <w:szCs w:val="21"/>
                <w:lang w:bidi="ar"/>
              </w:rPr>
            </w:pPr>
          </w:p>
        </w:tc>
      </w:tr>
      <w:tr w14:paraId="2979F427">
        <w:tblPrEx>
          <w:tblCellMar>
            <w:top w:w="0" w:type="dxa"/>
            <w:left w:w="108" w:type="dxa"/>
            <w:bottom w:w="0" w:type="dxa"/>
            <w:right w:w="108" w:type="dxa"/>
          </w:tblCellMar>
        </w:tblPrEx>
        <w:trPr>
          <w:trHeight w:val="23" w:hRule="atLeast"/>
          <w:jc w:val="center"/>
        </w:trPr>
        <w:tc>
          <w:tcPr>
            <w:tcW w:w="10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715BF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2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37C42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0C2B35D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资金使用</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25DFDD8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3</w:t>
            </w:r>
          </w:p>
        </w:tc>
        <w:tc>
          <w:tcPr>
            <w:tcW w:w="5339" w:type="dxa"/>
            <w:tcBorders>
              <w:top w:val="single" w:color="000000" w:sz="4" w:space="0"/>
              <w:left w:val="single" w:color="000000" w:sz="4" w:space="0"/>
              <w:bottom w:val="single" w:color="000000" w:sz="4" w:space="0"/>
              <w:right w:val="single" w:color="000000" w:sz="4" w:space="0"/>
            </w:tcBorders>
            <w:noWrap w:val="0"/>
            <w:vAlign w:val="center"/>
          </w:tcPr>
          <w:p w14:paraId="215E62E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EE554F9">
            <w:pPr>
              <w:keepNext w:val="0"/>
              <w:keepLines w:val="0"/>
              <w:pageBreakBefore w:val="0"/>
              <w:widowControl/>
              <w:kinsoku/>
              <w:wordWrap/>
              <w:overflowPunct/>
              <w:topLinePunct w:val="0"/>
              <w:autoSpaceDE/>
              <w:bidi w:val="0"/>
              <w:spacing w:line="560" w:lineRule="exact"/>
              <w:jc w:val="center"/>
              <w:textAlignment w:val="center"/>
              <w:rPr>
                <w:rFonts w:hint="default" w:ascii="Times New Roman" w:hAnsi="Times New Roman" w:eastAsia="宋体" w:cs="Times New Roman"/>
                <w:color w:val="000000"/>
                <w:sz w:val="21"/>
                <w:szCs w:val="21"/>
                <w:lang w:bidi="ar-SA"/>
              </w:rPr>
            </w:pPr>
            <w:r>
              <w:rPr>
                <w:rFonts w:hint="default" w:ascii="Times New Roman" w:hAnsi="Times New Roman" w:eastAsia="方正仿宋简体" w:cs="Times New Roman"/>
                <w:b/>
                <w:bCs/>
                <w:spacing w:val="-17"/>
                <w:sz w:val="21"/>
                <w:szCs w:val="21"/>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771DE9D">
            <w:pPr>
              <w:keepNext w:val="0"/>
              <w:keepLines w:val="0"/>
              <w:pageBreakBefore w:val="0"/>
              <w:widowControl/>
              <w:kinsoku/>
              <w:wordWrap/>
              <w:overflowPunct/>
              <w:topLinePunct w:val="0"/>
              <w:autoSpaceDE/>
              <w:bidi w:val="0"/>
              <w:spacing w:line="560" w:lineRule="exact"/>
              <w:jc w:val="left"/>
              <w:textAlignment w:val="center"/>
              <w:rPr>
                <w:rFonts w:hint="default" w:ascii="Times New Roman" w:hAnsi="Times New Roman" w:eastAsia="宋体" w:cs="Times New Roman"/>
                <w:color w:val="000000"/>
                <w:kern w:val="0"/>
                <w:sz w:val="21"/>
                <w:szCs w:val="21"/>
                <w:lang w:bidi="ar"/>
              </w:rPr>
            </w:pPr>
          </w:p>
        </w:tc>
      </w:tr>
      <w:tr w14:paraId="49B77D12">
        <w:tblPrEx>
          <w:tblCellMar>
            <w:top w:w="0" w:type="dxa"/>
            <w:left w:w="108" w:type="dxa"/>
            <w:bottom w:w="0" w:type="dxa"/>
            <w:right w:w="108" w:type="dxa"/>
          </w:tblCellMar>
        </w:tblPrEx>
        <w:trPr>
          <w:trHeight w:val="23" w:hRule="atLeast"/>
          <w:jc w:val="center"/>
        </w:trPr>
        <w:tc>
          <w:tcPr>
            <w:tcW w:w="10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59D83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235" w:type="dxa"/>
            <w:vMerge w:val="restart"/>
            <w:tcBorders>
              <w:top w:val="single" w:color="000000" w:sz="4" w:space="0"/>
              <w:left w:val="single" w:color="000000" w:sz="4" w:space="0"/>
              <w:bottom w:val="single" w:color="000000" w:sz="4" w:space="0"/>
              <w:right w:val="single" w:color="000000" w:sz="4" w:space="0"/>
            </w:tcBorders>
            <w:noWrap w:val="0"/>
            <w:vAlign w:val="center"/>
          </w:tcPr>
          <w:p w14:paraId="6011A7B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项目结果</w:t>
            </w:r>
            <w:r>
              <w:rPr>
                <w:rFonts w:hint="default" w:ascii="Times New Roman" w:hAnsi="Times New Roman" w:eastAsia="方正仿宋_GBK" w:cs="Times New Roman"/>
                <w:color w:val="000000"/>
                <w:kern w:val="0"/>
                <w:sz w:val="21"/>
                <w:szCs w:val="21"/>
                <w:lang w:val="en-US" w:eastAsia="zh-CN" w:bidi="ar"/>
              </w:rPr>
              <w:br w:type="textWrapping"/>
            </w:r>
            <w:r>
              <w:rPr>
                <w:rFonts w:hint="default" w:ascii="Times New Roman" w:hAnsi="Times New Roman" w:eastAsia="方正仿宋_GBK" w:cs="Times New Roman"/>
                <w:color w:val="000000"/>
                <w:kern w:val="0"/>
                <w:sz w:val="21"/>
                <w:szCs w:val="21"/>
                <w:lang w:val="en-US" w:eastAsia="zh-CN" w:bidi="ar"/>
              </w:rPr>
              <w:t>（9分）</w:t>
            </w: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039F824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目标完成</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2197448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6</w:t>
            </w:r>
          </w:p>
        </w:tc>
        <w:tc>
          <w:tcPr>
            <w:tcW w:w="5339" w:type="dxa"/>
            <w:tcBorders>
              <w:top w:val="single" w:color="000000" w:sz="4" w:space="0"/>
              <w:left w:val="single" w:color="000000" w:sz="4" w:space="0"/>
              <w:bottom w:val="single" w:color="000000" w:sz="4" w:space="0"/>
              <w:right w:val="single" w:color="000000" w:sz="4" w:space="0"/>
            </w:tcBorders>
            <w:noWrap w:val="0"/>
            <w:vAlign w:val="center"/>
          </w:tcPr>
          <w:p w14:paraId="3C3B24F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41AD972">
            <w:pPr>
              <w:keepNext w:val="0"/>
              <w:keepLines w:val="0"/>
              <w:pageBreakBefore w:val="0"/>
              <w:widowControl/>
              <w:kinsoku/>
              <w:wordWrap/>
              <w:overflowPunct/>
              <w:topLinePunct w:val="0"/>
              <w:autoSpaceDE/>
              <w:bidi w:val="0"/>
              <w:spacing w:line="560" w:lineRule="exact"/>
              <w:jc w:val="center"/>
              <w:textAlignment w:val="center"/>
              <w:rPr>
                <w:rFonts w:hint="default" w:ascii="Times New Roman" w:hAnsi="Times New Roman" w:eastAsia="宋体" w:cs="Times New Roman"/>
                <w:color w:val="000000"/>
                <w:sz w:val="21"/>
                <w:szCs w:val="21"/>
                <w:lang w:eastAsia="zh-CN" w:bidi="ar-SA"/>
              </w:rPr>
            </w:pPr>
            <w:r>
              <w:rPr>
                <w:rFonts w:hint="default" w:ascii="Times New Roman" w:hAnsi="Times New Roman" w:eastAsia="方正仿宋简体" w:cs="Times New Roman"/>
                <w:b/>
                <w:bCs/>
                <w:spacing w:val="-17"/>
                <w:sz w:val="21"/>
                <w:szCs w:val="21"/>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CE0514B">
            <w:pPr>
              <w:keepNext w:val="0"/>
              <w:keepLines w:val="0"/>
              <w:pageBreakBefore w:val="0"/>
              <w:widowControl/>
              <w:kinsoku/>
              <w:wordWrap/>
              <w:overflowPunct/>
              <w:topLinePunct w:val="0"/>
              <w:autoSpaceDE/>
              <w:bidi w:val="0"/>
              <w:spacing w:line="560" w:lineRule="exact"/>
              <w:jc w:val="left"/>
              <w:textAlignment w:val="center"/>
              <w:rPr>
                <w:rFonts w:hint="default" w:ascii="Times New Roman" w:hAnsi="Times New Roman" w:eastAsia="宋体" w:cs="Times New Roman"/>
                <w:color w:val="000000"/>
                <w:kern w:val="0"/>
                <w:sz w:val="21"/>
                <w:szCs w:val="21"/>
                <w:lang w:bidi="ar"/>
              </w:rPr>
            </w:pPr>
          </w:p>
        </w:tc>
      </w:tr>
      <w:tr w14:paraId="3C9CE903">
        <w:tblPrEx>
          <w:tblCellMar>
            <w:top w:w="0" w:type="dxa"/>
            <w:left w:w="108" w:type="dxa"/>
            <w:bottom w:w="0" w:type="dxa"/>
            <w:right w:w="108" w:type="dxa"/>
          </w:tblCellMar>
        </w:tblPrEx>
        <w:trPr>
          <w:trHeight w:val="498" w:hRule="atLeast"/>
          <w:jc w:val="center"/>
        </w:trPr>
        <w:tc>
          <w:tcPr>
            <w:tcW w:w="10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DB65D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2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293A1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351444C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完成时效</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5479C1A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3</w:t>
            </w:r>
          </w:p>
        </w:tc>
        <w:tc>
          <w:tcPr>
            <w:tcW w:w="5339" w:type="dxa"/>
            <w:tcBorders>
              <w:top w:val="single" w:color="000000" w:sz="4" w:space="0"/>
              <w:left w:val="single" w:color="000000" w:sz="4" w:space="0"/>
              <w:bottom w:val="single" w:color="000000" w:sz="4" w:space="0"/>
              <w:right w:val="single" w:color="000000" w:sz="4" w:space="0"/>
            </w:tcBorders>
            <w:noWrap w:val="0"/>
            <w:vAlign w:val="center"/>
          </w:tcPr>
          <w:p w14:paraId="21DC878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36A23B6">
            <w:pPr>
              <w:keepNext w:val="0"/>
              <w:keepLines w:val="0"/>
              <w:pageBreakBefore w:val="0"/>
              <w:widowControl/>
              <w:kinsoku/>
              <w:wordWrap/>
              <w:overflowPunct/>
              <w:topLinePunct w:val="0"/>
              <w:autoSpaceDE/>
              <w:bidi w:val="0"/>
              <w:spacing w:line="560" w:lineRule="exact"/>
              <w:jc w:val="center"/>
              <w:textAlignment w:val="center"/>
              <w:rPr>
                <w:rFonts w:hint="default" w:ascii="Times New Roman" w:hAnsi="Times New Roman" w:eastAsia="宋体" w:cs="Times New Roman"/>
                <w:color w:val="000000"/>
                <w:sz w:val="21"/>
                <w:szCs w:val="21"/>
                <w:lang w:eastAsia="zh-CN" w:bidi="ar-SA"/>
              </w:rPr>
            </w:pPr>
            <w:r>
              <w:rPr>
                <w:rFonts w:hint="default" w:ascii="Times New Roman" w:hAnsi="Times New Roman" w:eastAsia="方正仿宋简体" w:cs="Times New Roman"/>
                <w:b/>
                <w:bCs/>
                <w:spacing w:val="-17"/>
                <w:sz w:val="21"/>
                <w:szCs w:val="21"/>
                <w:lang w:val="en-US" w:eastAsia="zh-CN"/>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3B3947A">
            <w:pPr>
              <w:keepNext w:val="0"/>
              <w:keepLines w:val="0"/>
              <w:pageBreakBefore w:val="0"/>
              <w:widowControl/>
              <w:kinsoku/>
              <w:wordWrap/>
              <w:overflowPunct/>
              <w:topLinePunct w:val="0"/>
              <w:autoSpaceDE/>
              <w:bidi w:val="0"/>
              <w:spacing w:line="560" w:lineRule="exact"/>
              <w:jc w:val="left"/>
              <w:textAlignment w:val="center"/>
              <w:rPr>
                <w:rFonts w:hint="default" w:ascii="Times New Roman" w:hAnsi="Times New Roman" w:eastAsia="宋体" w:cs="Times New Roman"/>
                <w:color w:val="000000"/>
                <w:kern w:val="0"/>
                <w:sz w:val="21"/>
                <w:szCs w:val="21"/>
                <w:lang w:bidi="ar"/>
              </w:rPr>
            </w:pPr>
          </w:p>
        </w:tc>
      </w:tr>
      <w:tr w14:paraId="4C393322">
        <w:tblPrEx>
          <w:tblCellMar>
            <w:top w:w="0" w:type="dxa"/>
            <w:left w:w="108" w:type="dxa"/>
            <w:bottom w:w="0" w:type="dxa"/>
            <w:right w:w="108" w:type="dxa"/>
          </w:tblCellMar>
        </w:tblPrEx>
        <w:trPr>
          <w:trHeight w:val="23" w:hRule="atLeast"/>
          <w:jc w:val="center"/>
        </w:trPr>
        <w:tc>
          <w:tcPr>
            <w:tcW w:w="1074" w:type="dxa"/>
            <w:vMerge w:val="restart"/>
            <w:tcBorders>
              <w:top w:val="single" w:color="000000" w:sz="4" w:space="0"/>
              <w:left w:val="single" w:color="000000" w:sz="4" w:space="0"/>
              <w:bottom w:val="single" w:color="000000" w:sz="4" w:space="0"/>
              <w:right w:val="single" w:color="000000" w:sz="4" w:space="0"/>
            </w:tcBorders>
            <w:noWrap w:val="0"/>
            <w:vAlign w:val="center"/>
          </w:tcPr>
          <w:p w14:paraId="0400BDF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专用指标（30分）</w:t>
            </w:r>
          </w:p>
        </w:tc>
        <w:tc>
          <w:tcPr>
            <w:tcW w:w="1235" w:type="dxa"/>
            <w:vMerge w:val="restart"/>
            <w:tcBorders>
              <w:top w:val="single" w:color="000000" w:sz="4" w:space="0"/>
              <w:left w:val="single" w:color="000000" w:sz="4" w:space="0"/>
              <w:bottom w:val="single" w:color="000000" w:sz="4" w:space="0"/>
              <w:right w:val="single" w:color="000000" w:sz="4" w:space="0"/>
            </w:tcBorders>
            <w:noWrap w:val="0"/>
            <w:vAlign w:val="center"/>
          </w:tcPr>
          <w:p w14:paraId="0052019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民生保障</w:t>
            </w:r>
            <w:r>
              <w:rPr>
                <w:rFonts w:hint="default" w:ascii="Times New Roman" w:hAnsi="Times New Roman" w:eastAsia="方正仿宋_GBK" w:cs="Times New Roman"/>
                <w:color w:val="000000"/>
                <w:kern w:val="0"/>
                <w:sz w:val="21"/>
                <w:szCs w:val="21"/>
                <w:lang w:val="en-US" w:eastAsia="zh-CN" w:bidi="ar"/>
              </w:rPr>
              <w:br w:type="textWrapping"/>
            </w:r>
            <w:r>
              <w:rPr>
                <w:rFonts w:hint="default" w:ascii="Times New Roman" w:hAnsi="Times New Roman" w:eastAsia="方正仿宋_GBK" w:cs="Times New Roman"/>
                <w:color w:val="000000"/>
                <w:kern w:val="0"/>
                <w:sz w:val="21"/>
                <w:szCs w:val="21"/>
                <w:lang w:val="en-US" w:eastAsia="zh-CN" w:bidi="ar"/>
              </w:rPr>
              <w:t>（30分）</w:t>
            </w: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41F55B3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区域均衡性</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75FC63D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10</w:t>
            </w:r>
          </w:p>
        </w:tc>
        <w:tc>
          <w:tcPr>
            <w:tcW w:w="5339" w:type="dxa"/>
            <w:tcBorders>
              <w:top w:val="single" w:color="000000" w:sz="4" w:space="0"/>
              <w:left w:val="single" w:color="000000" w:sz="4" w:space="0"/>
              <w:bottom w:val="single" w:color="000000" w:sz="4" w:space="0"/>
              <w:right w:val="single" w:color="000000" w:sz="4" w:space="0"/>
            </w:tcBorders>
            <w:noWrap w:val="0"/>
            <w:vAlign w:val="center"/>
          </w:tcPr>
          <w:p w14:paraId="0D58069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0DECA05">
            <w:pPr>
              <w:keepNext w:val="0"/>
              <w:keepLines w:val="0"/>
              <w:pageBreakBefore w:val="0"/>
              <w:widowControl/>
              <w:kinsoku/>
              <w:wordWrap/>
              <w:overflowPunct/>
              <w:topLinePunct w:val="0"/>
              <w:autoSpaceDE/>
              <w:bidi w:val="0"/>
              <w:spacing w:line="560" w:lineRule="exact"/>
              <w:jc w:val="center"/>
              <w:textAlignment w:val="center"/>
              <w:rPr>
                <w:rFonts w:hint="default" w:ascii="Times New Roman" w:hAnsi="Times New Roman" w:eastAsia="宋体" w:cs="Times New Roman"/>
                <w:color w:val="000000"/>
                <w:sz w:val="21"/>
                <w:szCs w:val="21"/>
                <w:lang w:bidi="ar-SA"/>
              </w:rPr>
            </w:pPr>
            <w:r>
              <w:rPr>
                <w:rFonts w:hint="default" w:ascii="Times New Roman" w:hAnsi="Times New Roman" w:eastAsia="方正仿宋简体" w:cs="Times New Roman"/>
                <w:b/>
                <w:bCs/>
                <w:spacing w:val="-17"/>
                <w:sz w:val="21"/>
                <w:szCs w:val="21"/>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6D53268">
            <w:pPr>
              <w:keepNext w:val="0"/>
              <w:keepLines w:val="0"/>
              <w:pageBreakBefore w:val="0"/>
              <w:widowControl/>
              <w:kinsoku/>
              <w:wordWrap/>
              <w:overflowPunct/>
              <w:topLinePunct w:val="0"/>
              <w:autoSpaceDE/>
              <w:bidi w:val="0"/>
              <w:spacing w:line="560" w:lineRule="exact"/>
              <w:jc w:val="left"/>
              <w:textAlignment w:val="center"/>
              <w:rPr>
                <w:rFonts w:hint="default" w:ascii="Times New Roman" w:hAnsi="Times New Roman" w:eastAsia="宋体" w:cs="Times New Roman"/>
                <w:color w:val="000000"/>
                <w:kern w:val="0"/>
                <w:sz w:val="21"/>
                <w:szCs w:val="21"/>
                <w:lang w:bidi="ar"/>
              </w:rPr>
            </w:pPr>
          </w:p>
        </w:tc>
      </w:tr>
      <w:tr w14:paraId="7DE95741">
        <w:tblPrEx>
          <w:tblCellMar>
            <w:top w:w="0" w:type="dxa"/>
            <w:left w:w="108" w:type="dxa"/>
            <w:bottom w:w="0" w:type="dxa"/>
            <w:right w:w="108" w:type="dxa"/>
          </w:tblCellMar>
        </w:tblPrEx>
        <w:trPr>
          <w:trHeight w:val="23" w:hRule="atLeast"/>
          <w:jc w:val="center"/>
        </w:trPr>
        <w:tc>
          <w:tcPr>
            <w:tcW w:w="10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A1004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2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89F19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23C12CC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对象精准性</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7F05652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10</w:t>
            </w:r>
          </w:p>
        </w:tc>
        <w:tc>
          <w:tcPr>
            <w:tcW w:w="5339" w:type="dxa"/>
            <w:tcBorders>
              <w:top w:val="single" w:color="000000" w:sz="4" w:space="0"/>
              <w:left w:val="single" w:color="000000" w:sz="4" w:space="0"/>
              <w:bottom w:val="single" w:color="000000" w:sz="4" w:space="0"/>
              <w:right w:val="single" w:color="000000" w:sz="4" w:space="0"/>
            </w:tcBorders>
            <w:noWrap w:val="0"/>
            <w:vAlign w:val="center"/>
          </w:tcPr>
          <w:p w14:paraId="13A2F66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3EF219F">
            <w:pPr>
              <w:keepNext w:val="0"/>
              <w:keepLines w:val="0"/>
              <w:pageBreakBefore w:val="0"/>
              <w:widowControl/>
              <w:kinsoku/>
              <w:wordWrap/>
              <w:overflowPunct/>
              <w:topLinePunct w:val="0"/>
              <w:autoSpaceDE/>
              <w:bidi w:val="0"/>
              <w:spacing w:line="560" w:lineRule="exact"/>
              <w:jc w:val="center"/>
              <w:textAlignment w:val="center"/>
              <w:rPr>
                <w:rFonts w:hint="default" w:ascii="Times New Roman" w:hAnsi="Times New Roman" w:eastAsia="宋体" w:cs="Times New Roman"/>
                <w:color w:val="000000"/>
                <w:sz w:val="21"/>
                <w:szCs w:val="21"/>
                <w:lang w:bidi="ar-SA"/>
              </w:rPr>
            </w:pPr>
            <w:r>
              <w:rPr>
                <w:rFonts w:hint="default" w:ascii="Times New Roman" w:hAnsi="Times New Roman" w:eastAsia="方正仿宋简体" w:cs="Times New Roman"/>
                <w:b/>
                <w:bCs/>
                <w:spacing w:val="-17"/>
                <w:sz w:val="21"/>
                <w:szCs w:val="21"/>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6EC6A91">
            <w:pPr>
              <w:keepNext w:val="0"/>
              <w:keepLines w:val="0"/>
              <w:pageBreakBefore w:val="0"/>
              <w:widowControl/>
              <w:kinsoku/>
              <w:wordWrap/>
              <w:overflowPunct/>
              <w:topLinePunct w:val="0"/>
              <w:autoSpaceDE/>
              <w:bidi w:val="0"/>
              <w:spacing w:line="560" w:lineRule="exact"/>
              <w:jc w:val="left"/>
              <w:textAlignment w:val="center"/>
              <w:rPr>
                <w:rFonts w:hint="default" w:ascii="Times New Roman" w:hAnsi="Times New Roman" w:eastAsia="宋体" w:cs="Times New Roman"/>
                <w:color w:val="000000"/>
                <w:kern w:val="0"/>
                <w:sz w:val="21"/>
                <w:szCs w:val="21"/>
                <w:lang w:bidi="ar"/>
              </w:rPr>
            </w:pPr>
          </w:p>
        </w:tc>
      </w:tr>
      <w:tr w14:paraId="4D06B173">
        <w:tblPrEx>
          <w:tblCellMar>
            <w:top w:w="0" w:type="dxa"/>
            <w:left w:w="108" w:type="dxa"/>
            <w:bottom w:w="0" w:type="dxa"/>
            <w:right w:w="108" w:type="dxa"/>
          </w:tblCellMar>
        </w:tblPrEx>
        <w:trPr>
          <w:trHeight w:val="23" w:hRule="atLeast"/>
          <w:jc w:val="center"/>
        </w:trPr>
        <w:tc>
          <w:tcPr>
            <w:tcW w:w="10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2CA2F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2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02645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01D1153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标准合理性</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625CD1A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5</w:t>
            </w:r>
          </w:p>
        </w:tc>
        <w:tc>
          <w:tcPr>
            <w:tcW w:w="5339" w:type="dxa"/>
            <w:tcBorders>
              <w:top w:val="single" w:color="000000" w:sz="4" w:space="0"/>
              <w:left w:val="single" w:color="000000" w:sz="4" w:space="0"/>
              <w:bottom w:val="single" w:color="000000" w:sz="4" w:space="0"/>
              <w:right w:val="single" w:color="000000" w:sz="4" w:space="0"/>
            </w:tcBorders>
            <w:noWrap w:val="0"/>
            <w:vAlign w:val="center"/>
          </w:tcPr>
          <w:p w14:paraId="6549A30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6D9CECE">
            <w:pPr>
              <w:keepNext w:val="0"/>
              <w:keepLines w:val="0"/>
              <w:pageBreakBefore w:val="0"/>
              <w:widowControl/>
              <w:kinsoku/>
              <w:wordWrap/>
              <w:overflowPunct/>
              <w:topLinePunct w:val="0"/>
              <w:autoSpaceDE/>
              <w:bidi w:val="0"/>
              <w:spacing w:line="560" w:lineRule="exact"/>
              <w:jc w:val="center"/>
              <w:textAlignment w:val="center"/>
              <w:rPr>
                <w:rFonts w:hint="default" w:ascii="Times New Roman" w:hAnsi="Times New Roman" w:eastAsia="宋体" w:cs="Times New Roman"/>
                <w:color w:val="000000"/>
                <w:sz w:val="21"/>
                <w:szCs w:val="21"/>
                <w:lang w:bidi="ar-SA"/>
              </w:rPr>
            </w:pPr>
            <w:r>
              <w:rPr>
                <w:rFonts w:hint="default" w:ascii="Times New Roman" w:hAnsi="Times New Roman" w:eastAsia="方正仿宋简体" w:cs="Times New Roman"/>
                <w:b/>
                <w:bCs/>
                <w:spacing w:val="-17"/>
                <w:sz w:val="21"/>
                <w:szCs w:val="21"/>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D11267E">
            <w:pPr>
              <w:keepNext w:val="0"/>
              <w:keepLines w:val="0"/>
              <w:pageBreakBefore w:val="0"/>
              <w:widowControl/>
              <w:kinsoku/>
              <w:wordWrap/>
              <w:overflowPunct/>
              <w:topLinePunct w:val="0"/>
              <w:autoSpaceDE/>
              <w:bidi w:val="0"/>
              <w:spacing w:line="560" w:lineRule="exact"/>
              <w:jc w:val="left"/>
              <w:textAlignment w:val="center"/>
              <w:rPr>
                <w:rFonts w:hint="default" w:ascii="Times New Roman" w:hAnsi="Times New Roman" w:eastAsia="宋体" w:cs="Times New Roman"/>
                <w:color w:val="000000"/>
                <w:kern w:val="0"/>
                <w:sz w:val="21"/>
                <w:szCs w:val="21"/>
                <w:lang w:bidi="ar"/>
              </w:rPr>
            </w:pPr>
          </w:p>
        </w:tc>
      </w:tr>
      <w:tr w14:paraId="45059A81">
        <w:tblPrEx>
          <w:tblCellMar>
            <w:top w:w="0" w:type="dxa"/>
            <w:left w:w="108" w:type="dxa"/>
            <w:bottom w:w="0" w:type="dxa"/>
            <w:right w:w="108" w:type="dxa"/>
          </w:tblCellMar>
        </w:tblPrEx>
        <w:trPr>
          <w:trHeight w:val="23" w:hRule="atLeast"/>
          <w:jc w:val="center"/>
        </w:trPr>
        <w:tc>
          <w:tcPr>
            <w:tcW w:w="10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8F0C5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2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77DFA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0DD2AB4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群众满意度</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411F2CF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5</w:t>
            </w:r>
          </w:p>
        </w:tc>
        <w:tc>
          <w:tcPr>
            <w:tcW w:w="5339" w:type="dxa"/>
            <w:tcBorders>
              <w:top w:val="single" w:color="000000" w:sz="4" w:space="0"/>
              <w:left w:val="single" w:color="000000" w:sz="4" w:space="0"/>
              <w:bottom w:val="single" w:color="000000" w:sz="4" w:space="0"/>
              <w:right w:val="single" w:color="000000" w:sz="4" w:space="0"/>
            </w:tcBorders>
            <w:noWrap w:val="0"/>
            <w:vAlign w:val="center"/>
          </w:tcPr>
          <w:p w14:paraId="146F726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80CA9BD">
            <w:pPr>
              <w:keepNext w:val="0"/>
              <w:keepLines w:val="0"/>
              <w:pageBreakBefore w:val="0"/>
              <w:widowControl/>
              <w:kinsoku/>
              <w:wordWrap/>
              <w:overflowPunct/>
              <w:topLinePunct w:val="0"/>
              <w:autoSpaceDE/>
              <w:bidi w:val="0"/>
              <w:spacing w:line="560" w:lineRule="exact"/>
              <w:jc w:val="center"/>
              <w:textAlignment w:val="center"/>
              <w:rPr>
                <w:rFonts w:hint="default" w:ascii="Times New Roman" w:hAnsi="Times New Roman" w:eastAsia="宋体" w:cs="Times New Roman"/>
                <w:color w:val="000000"/>
                <w:sz w:val="21"/>
                <w:szCs w:val="21"/>
                <w:lang w:bidi="ar-SA"/>
              </w:rPr>
            </w:pPr>
            <w:r>
              <w:rPr>
                <w:rFonts w:hint="default" w:ascii="Times New Roman" w:hAnsi="Times New Roman" w:eastAsia="方正仿宋简体" w:cs="Times New Roman"/>
                <w:b/>
                <w:bCs/>
                <w:spacing w:val="-17"/>
                <w:sz w:val="21"/>
                <w:szCs w:val="21"/>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8CD4A84">
            <w:pPr>
              <w:keepNext w:val="0"/>
              <w:keepLines w:val="0"/>
              <w:pageBreakBefore w:val="0"/>
              <w:widowControl/>
              <w:kinsoku/>
              <w:wordWrap/>
              <w:overflowPunct/>
              <w:topLinePunct w:val="0"/>
              <w:autoSpaceDE/>
              <w:bidi w:val="0"/>
              <w:spacing w:line="560" w:lineRule="exact"/>
              <w:jc w:val="left"/>
              <w:textAlignment w:val="center"/>
              <w:rPr>
                <w:rFonts w:hint="default" w:ascii="Times New Roman" w:hAnsi="Times New Roman" w:eastAsia="宋体" w:cs="Times New Roman"/>
                <w:color w:val="000000"/>
                <w:kern w:val="0"/>
                <w:sz w:val="21"/>
                <w:szCs w:val="21"/>
                <w:lang w:bidi="ar"/>
              </w:rPr>
            </w:pPr>
          </w:p>
        </w:tc>
      </w:tr>
      <w:tr w14:paraId="01482A62">
        <w:tblPrEx>
          <w:tblCellMar>
            <w:top w:w="0" w:type="dxa"/>
            <w:left w:w="108" w:type="dxa"/>
            <w:bottom w:w="0" w:type="dxa"/>
            <w:right w:w="108" w:type="dxa"/>
          </w:tblCellMar>
        </w:tblPrEx>
        <w:trPr>
          <w:trHeight w:val="689" w:hRule="atLeast"/>
          <w:jc w:val="center"/>
        </w:trPr>
        <w:tc>
          <w:tcPr>
            <w:tcW w:w="230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73C552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个性指标（16分）</w:t>
            </w: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0424C96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殡葬设施投用效果</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00E85CD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7</w:t>
            </w:r>
          </w:p>
        </w:tc>
        <w:tc>
          <w:tcPr>
            <w:tcW w:w="5339" w:type="dxa"/>
            <w:tcBorders>
              <w:top w:val="single" w:color="000000" w:sz="4" w:space="0"/>
              <w:left w:val="single" w:color="000000" w:sz="4" w:space="0"/>
              <w:bottom w:val="single" w:color="000000" w:sz="4" w:space="0"/>
              <w:right w:val="single" w:color="000000" w:sz="4" w:space="0"/>
            </w:tcBorders>
            <w:noWrap w:val="0"/>
            <w:vAlign w:val="center"/>
          </w:tcPr>
          <w:p w14:paraId="7C29166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绿色环保殡葬项目实施地区散埋乱葬现象是否得到有效遏制</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4124A1A">
            <w:pPr>
              <w:keepNext w:val="0"/>
              <w:keepLines w:val="0"/>
              <w:pageBreakBefore w:val="0"/>
              <w:widowControl/>
              <w:kinsoku/>
              <w:wordWrap/>
              <w:overflowPunct/>
              <w:topLinePunct w:val="0"/>
              <w:autoSpaceDE/>
              <w:bidi w:val="0"/>
              <w:spacing w:line="560" w:lineRule="exact"/>
              <w:jc w:val="center"/>
              <w:textAlignment w:val="center"/>
              <w:rPr>
                <w:rFonts w:hint="default" w:ascii="Times New Roman" w:hAnsi="Times New Roman" w:eastAsia="方正仿宋简体" w:cs="Times New Roman"/>
                <w:b/>
                <w:bCs/>
                <w:spacing w:val="-17"/>
                <w:sz w:val="21"/>
                <w:szCs w:val="21"/>
                <w:lang w:val="en-US" w:eastAsia="zh-CN"/>
              </w:rPr>
            </w:pPr>
            <w:r>
              <w:rPr>
                <w:rFonts w:hint="default" w:ascii="Times New Roman" w:hAnsi="Times New Roman" w:eastAsia="方正仿宋简体" w:cs="Times New Roman"/>
                <w:b/>
                <w:bCs/>
                <w:spacing w:val="-17"/>
                <w:sz w:val="21"/>
                <w:szCs w:val="21"/>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3BA6E82">
            <w:pPr>
              <w:keepNext w:val="0"/>
              <w:keepLines w:val="0"/>
              <w:pageBreakBefore w:val="0"/>
              <w:kinsoku/>
              <w:wordWrap/>
              <w:overflowPunct/>
              <w:topLinePunct w:val="0"/>
              <w:autoSpaceDE/>
              <w:bidi w:val="0"/>
              <w:spacing w:line="560" w:lineRule="exact"/>
              <w:jc w:val="left"/>
              <w:rPr>
                <w:rFonts w:hint="default" w:ascii="Times New Roman" w:hAnsi="Times New Roman" w:eastAsia="宋体" w:cs="Times New Roman"/>
                <w:color w:val="000000"/>
                <w:sz w:val="21"/>
                <w:szCs w:val="21"/>
                <w:lang w:bidi="ar-SA"/>
              </w:rPr>
            </w:pPr>
          </w:p>
        </w:tc>
      </w:tr>
      <w:tr w14:paraId="468E7B88">
        <w:tblPrEx>
          <w:tblCellMar>
            <w:top w:w="0" w:type="dxa"/>
            <w:left w:w="108" w:type="dxa"/>
            <w:bottom w:w="0" w:type="dxa"/>
            <w:right w:w="108" w:type="dxa"/>
          </w:tblCellMar>
        </w:tblPrEx>
        <w:trPr>
          <w:trHeight w:val="470" w:hRule="atLeast"/>
          <w:jc w:val="center"/>
        </w:trPr>
        <w:tc>
          <w:tcPr>
            <w:tcW w:w="230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F2E20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2A3CAC2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未保阵地投用效果</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449784D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5</w:t>
            </w:r>
          </w:p>
        </w:tc>
        <w:tc>
          <w:tcPr>
            <w:tcW w:w="5339" w:type="dxa"/>
            <w:tcBorders>
              <w:top w:val="single" w:color="000000" w:sz="4" w:space="0"/>
              <w:left w:val="single" w:color="000000" w:sz="4" w:space="0"/>
              <w:bottom w:val="single" w:color="000000" w:sz="4" w:space="0"/>
              <w:right w:val="single" w:color="000000" w:sz="4" w:space="0"/>
            </w:tcBorders>
            <w:noWrap w:val="0"/>
            <w:vAlign w:val="center"/>
          </w:tcPr>
          <w:p w14:paraId="0329890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是否随意改变建设方案，项目建成后是否已投用</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4256D91">
            <w:pPr>
              <w:keepNext w:val="0"/>
              <w:keepLines w:val="0"/>
              <w:pageBreakBefore w:val="0"/>
              <w:widowControl/>
              <w:kinsoku/>
              <w:wordWrap/>
              <w:overflowPunct/>
              <w:topLinePunct w:val="0"/>
              <w:autoSpaceDE/>
              <w:bidi w:val="0"/>
              <w:spacing w:line="560" w:lineRule="exact"/>
              <w:jc w:val="center"/>
              <w:textAlignment w:val="center"/>
              <w:rPr>
                <w:rFonts w:hint="default" w:ascii="Times New Roman" w:hAnsi="Times New Roman" w:eastAsia="方正仿宋简体" w:cs="Times New Roman"/>
                <w:b/>
                <w:bCs/>
                <w:spacing w:val="-17"/>
                <w:sz w:val="21"/>
                <w:szCs w:val="21"/>
                <w:lang w:val="en-US" w:eastAsia="zh-CN"/>
              </w:rPr>
            </w:pPr>
            <w:r>
              <w:rPr>
                <w:rFonts w:hint="default" w:ascii="Times New Roman" w:hAnsi="Times New Roman" w:eastAsia="方正仿宋简体" w:cs="Times New Roman"/>
                <w:b/>
                <w:bCs/>
                <w:spacing w:val="-17"/>
                <w:sz w:val="21"/>
                <w:szCs w:val="21"/>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934E6A9">
            <w:pPr>
              <w:keepNext w:val="0"/>
              <w:keepLines w:val="0"/>
              <w:pageBreakBefore w:val="0"/>
              <w:kinsoku/>
              <w:wordWrap/>
              <w:overflowPunct/>
              <w:topLinePunct w:val="0"/>
              <w:autoSpaceDE/>
              <w:bidi w:val="0"/>
              <w:spacing w:line="560" w:lineRule="exact"/>
              <w:jc w:val="left"/>
              <w:rPr>
                <w:rFonts w:hint="default" w:ascii="Times New Roman" w:hAnsi="Times New Roman" w:eastAsia="宋体" w:cs="Times New Roman"/>
                <w:color w:val="000000"/>
                <w:sz w:val="21"/>
                <w:szCs w:val="21"/>
                <w:lang w:bidi="ar-SA"/>
              </w:rPr>
            </w:pPr>
          </w:p>
        </w:tc>
      </w:tr>
      <w:tr w14:paraId="0B83D718">
        <w:tblPrEx>
          <w:tblCellMar>
            <w:top w:w="0" w:type="dxa"/>
            <w:left w:w="108" w:type="dxa"/>
            <w:bottom w:w="0" w:type="dxa"/>
            <w:right w:w="108" w:type="dxa"/>
          </w:tblCellMar>
        </w:tblPrEx>
        <w:trPr>
          <w:trHeight w:val="470" w:hRule="atLeast"/>
          <w:jc w:val="center"/>
        </w:trPr>
        <w:tc>
          <w:tcPr>
            <w:tcW w:w="230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0A8EC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041AF8C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文明婚俗培育效果</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25473F9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4</w:t>
            </w:r>
          </w:p>
        </w:tc>
        <w:tc>
          <w:tcPr>
            <w:tcW w:w="5339" w:type="dxa"/>
            <w:tcBorders>
              <w:top w:val="single" w:color="000000" w:sz="4" w:space="0"/>
              <w:left w:val="single" w:color="000000" w:sz="4" w:space="0"/>
              <w:bottom w:val="single" w:color="000000" w:sz="4" w:space="0"/>
              <w:right w:val="single" w:color="000000" w:sz="4" w:space="0"/>
            </w:tcBorders>
            <w:noWrap w:val="0"/>
            <w:vAlign w:val="center"/>
          </w:tcPr>
          <w:p w14:paraId="3909A45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推崇简约适度的婚俗礼仪，文明向上的婚俗文化是否得到大力倡导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76EF951">
            <w:pPr>
              <w:keepNext w:val="0"/>
              <w:keepLines w:val="0"/>
              <w:pageBreakBefore w:val="0"/>
              <w:widowControl/>
              <w:kinsoku/>
              <w:wordWrap/>
              <w:overflowPunct/>
              <w:topLinePunct w:val="0"/>
              <w:autoSpaceDE/>
              <w:bidi w:val="0"/>
              <w:spacing w:line="560" w:lineRule="exact"/>
              <w:jc w:val="center"/>
              <w:textAlignment w:val="center"/>
              <w:rPr>
                <w:rFonts w:hint="default" w:ascii="Times New Roman" w:hAnsi="Times New Roman" w:eastAsia="方正仿宋简体" w:cs="Times New Roman"/>
                <w:b/>
                <w:bCs/>
                <w:spacing w:val="-17"/>
                <w:sz w:val="21"/>
                <w:szCs w:val="21"/>
                <w:lang w:val="en-US" w:eastAsia="zh-CN"/>
              </w:rPr>
            </w:pPr>
            <w:r>
              <w:rPr>
                <w:rFonts w:hint="default" w:ascii="Times New Roman" w:hAnsi="Times New Roman" w:eastAsia="方正仿宋简体" w:cs="Times New Roman"/>
                <w:b/>
                <w:bCs/>
                <w:spacing w:val="-17"/>
                <w:sz w:val="21"/>
                <w:szCs w:val="21"/>
                <w:lang w:val="en-US" w:eastAsia="zh-CN"/>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C5FDD3F">
            <w:pPr>
              <w:keepNext w:val="0"/>
              <w:keepLines w:val="0"/>
              <w:pageBreakBefore w:val="0"/>
              <w:kinsoku/>
              <w:wordWrap/>
              <w:overflowPunct/>
              <w:topLinePunct w:val="0"/>
              <w:autoSpaceDE/>
              <w:bidi w:val="0"/>
              <w:spacing w:line="560" w:lineRule="exact"/>
              <w:jc w:val="left"/>
              <w:rPr>
                <w:rFonts w:hint="default" w:ascii="Times New Roman" w:hAnsi="Times New Roman" w:eastAsia="宋体" w:cs="Times New Roman"/>
                <w:color w:val="000000"/>
                <w:sz w:val="21"/>
                <w:szCs w:val="21"/>
                <w:lang w:bidi="ar-SA"/>
              </w:rPr>
            </w:pPr>
          </w:p>
        </w:tc>
      </w:tr>
      <w:tr w14:paraId="2270DDF3">
        <w:tblPrEx>
          <w:tblCellMar>
            <w:top w:w="0" w:type="dxa"/>
            <w:left w:w="108" w:type="dxa"/>
            <w:bottom w:w="0" w:type="dxa"/>
            <w:right w:w="108" w:type="dxa"/>
          </w:tblCellMar>
        </w:tblPrEx>
        <w:trPr>
          <w:trHeight w:val="470" w:hRule="atLeast"/>
          <w:jc w:val="center"/>
        </w:trPr>
        <w:tc>
          <w:tcPr>
            <w:tcW w:w="9699" w:type="dxa"/>
            <w:gridSpan w:val="5"/>
            <w:tcBorders>
              <w:top w:val="single" w:color="000000" w:sz="4" w:space="0"/>
              <w:left w:val="single" w:color="000000" w:sz="4" w:space="0"/>
              <w:bottom w:val="single" w:color="000000" w:sz="4" w:space="0"/>
              <w:right w:val="single" w:color="000000" w:sz="4" w:space="0"/>
            </w:tcBorders>
            <w:noWrap w:val="0"/>
            <w:vAlign w:val="center"/>
          </w:tcPr>
          <w:p w14:paraId="19B79ADF">
            <w:pPr>
              <w:keepNext w:val="0"/>
              <w:keepLines w:val="0"/>
              <w:pageBreakBefore w:val="0"/>
              <w:tabs>
                <w:tab w:val="left" w:pos="5320"/>
              </w:tabs>
              <w:kinsoku/>
              <w:wordWrap/>
              <w:overflowPunct/>
              <w:topLinePunct w:val="0"/>
              <w:autoSpaceDE/>
              <w:bidi w:val="0"/>
              <w:spacing w:line="560" w:lineRule="exact"/>
              <w:rPr>
                <w:rFonts w:hint="default" w:ascii="Times New Roman" w:hAnsi="Times New Roman" w:eastAsia="方正仿宋_GBK" w:cs="Times New Roman"/>
                <w:sz w:val="21"/>
                <w:szCs w:val="21"/>
                <w:lang w:eastAsia="zh-CN" w:bidi="ar-SA"/>
              </w:rPr>
            </w:pPr>
            <w:r>
              <w:rPr>
                <w:rFonts w:hint="default" w:ascii="Times New Roman" w:hAnsi="Times New Roman" w:eastAsia="方正仿宋_GBK" w:cs="Times New Roman"/>
                <w:sz w:val="21"/>
                <w:szCs w:val="21"/>
                <w:lang w:eastAsia="zh-CN" w:bidi="ar-SA"/>
              </w:rPr>
              <w:tab/>
            </w:r>
            <w:r>
              <w:rPr>
                <w:rFonts w:hint="default" w:ascii="Times New Roman" w:hAnsi="Times New Roman" w:eastAsia="方正仿宋_GBK" w:cs="Times New Roman"/>
                <w:color w:val="000000"/>
                <w:kern w:val="0"/>
                <w:sz w:val="21"/>
                <w:szCs w:val="21"/>
                <w:lang w:val="en-US" w:eastAsia="zh-CN" w:bidi="ar"/>
              </w:rPr>
              <w:t>得分合计</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BEB05E8">
            <w:pPr>
              <w:keepNext w:val="0"/>
              <w:keepLines w:val="0"/>
              <w:pageBreakBefore w:val="0"/>
              <w:widowControl/>
              <w:kinsoku/>
              <w:wordWrap/>
              <w:overflowPunct/>
              <w:topLinePunct w:val="0"/>
              <w:autoSpaceDE/>
              <w:bidi w:val="0"/>
              <w:spacing w:line="560" w:lineRule="exact"/>
              <w:ind w:firstLine="177" w:firstLineChars="100"/>
              <w:jc w:val="left"/>
              <w:rPr>
                <w:rFonts w:hint="default" w:ascii="Times New Roman" w:hAnsi="Times New Roman" w:eastAsia="方正仿宋简体" w:cs="Times New Roman"/>
                <w:b/>
                <w:bCs/>
                <w:spacing w:val="-17"/>
                <w:sz w:val="21"/>
                <w:szCs w:val="21"/>
                <w:lang w:val="en-US" w:eastAsia="zh-CN"/>
              </w:rPr>
            </w:pPr>
            <w:r>
              <w:rPr>
                <w:rFonts w:hint="default" w:ascii="Times New Roman" w:hAnsi="Times New Roman" w:eastAsia="方正仿宋简体" w:cs="Times New Roman"/>
                <w:b/>
                <w:bCs/>
                <w:spacing w:val="-17"/>
                <w:sz w:val="21"/>
                <w:szCs w:val="21"/>
                <w:lang w:val="en-US" w:eastAsia="zh-CN"/>
              </w:rPr>
              <w:t>97</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3E9CD13">
            <w:pPr>
              <w:keepNext w:val="0"/>
              <w:keepLines w:val="0"/>
              <w:pageBreakBefore w:val="0"/>
              <w:widowControl/>
              <w:kinsoku/>
              <w:wordWrap/>
              <w:overflowPunct/>
              <w:topLinePunct w:val="0"/>
              <w:autoSpaceDE/>
              <w:bidi w:val="0"/>
              <w:spacing w:line="560" w:lineRule="exact"/>
              <w:jc w:val="center"/>
              <w:textAlignment w:val="center"/>
              <w:rPr>
                <w:rFonts w:hint="default" w:ascii="Times New Roman" w:hAnsi="Times New Roman" w:eastAsia="宋体" w:cs="Times New Roman"/>
                <w:color w:val="000000"/>
                <w:sz w:val="21"/>
                <w:szCs w:val="21"/>
                <w:lang w:bidi="ar-SA"/>
              </w:rPr>
            </w:pPr>
          </w:p>
        </w:tc>
      </w:tr>
    </w:tbl>
    <w:p w14:paraId="7413B701">
      <w:pPr>
        <w:keepNext w:val="0"/>
        <w:keepLines w:val="0"/>
        <w:pageBreakBefore w:val="0"/>
        <w:kinsoku/>
        <w:wordWrap/>
        <w:overflowPunct/>
        <w:topLinePunct w:val="0"/>
        <w:autoSpaceDE/>
        <w:autoSpaceDN/>
        <w:bidi w:val="0"/>
        <w:spacing w:line="560" w:lineRule="exact"/>
        <w:ind w:left="0" w:leftChars="0"/>
        <w:jc w:val="both"/>
        <w:textAlignment w:val="auto"/>
        <w:rPr>
          <w:rFonts w:hint="default" w:ascii="Times New Roman" w:hAnsi="Times New Roman" w:cs="Times New Roman"/>
          <w:sz w:val="21"/>
          <w:szCs w:val="21"/>
          <w:lang w:val="en-US" w:eastAsia="zh-CN"/>
        </w:rPr>
      </w:pPr>
      <w:r>
        <w:rPr>
          <w:rFonts w:hint="default" w:ascii="Times New Roman" w:hAnsi="Times New Roman" w:eastAsia="黑体" w:cs="Times New Roman"/>
          <w:b w:val="0"/>
          <w:bCs w:val="0"/>
          <w:color w:val="auto"/>
          <w:kern w:val="0"/>
          <w:sz w:val="21"/>
          <w:szCs w:val="21"/>
          <w:highlight w:val="none"/>
          <w:u w:val="none"/>
          <w:shd w:val="clear" w:color="auto" w:fill="FFFFFF"/>
          <w:lang w:val="zh-CN" w:eastAsia="zh-CN"/>
        </w:rPr>
        <w:t>附表</w:t>
      </w:r>
      <w:r>
        <w:rPr>
          <w:rFonts w:hint="default" w:ascii="Times New Roman" w:hAnsi="Times New Roman" w:cs="Times New Roman"/>
          <w:b w:val="0"/>
          <w:bCs w:val="0"/>
          <w:color w:val="auto"/>
          <w:kern w:val="0"/>
          <w:sz w:val="21"/>
          <w:szCs w:val="21"/>
          <w:highlight w:val="none"/>
          <w:u w:val="none"/>
          <w:shd w:val="clear" w:color="auto" w:fill="FFFFFF"/>
          <w:lang w:val="en-US" w:eastAsia="zh-CN"/>
        </w:rPr>
        <w:t>2</w:t>
      </w:r>
    </w:p>
    <w:p w14:paraId="0125C25B">
      <w:pPr>
        <w:keepNext w:val="0"/>
        <w:keepLines w:val="0"/>
        <w:pageBreakBefore w:val="0"/>
        <w:kinsoku/>
        <w:wordWrap/>
        <w:overflowPunct/>
        <w:topLinePunct w:val="0"/>
        <w:autoSpaceDE/>
        <w:autoSpaceDN/>
        <w:bidi w:val="0"/>
        <w:spacing w:line="560" w:lineRule="exact"/>
        <w:ind w:left="0" w:leftChars="0"/>
        <w:jc w:val="center"/>
        <w:textAlignment w:val="auto"/>
        <w:rPr>
          <w:rFonts w:hint="default" w:ascii="Times New Roman" w:hAnsi="Times New Roman" w:eastAsia="方正小标宋_GBK" w:cs="Times New Roman"/>
          <w:b w:val="0"/>
          <w:bCs w:val="0"/>
          <w:color w:val="auto"/>
          <w:sz w:val="21"/>
          <w:szCs w:val="21"/>
          <w:highlight w:val="none"/>
          <w:u w:val="none"/>
          <w:lang w:val="en-US" w:eastAsia="zh-CN"/>
        </w:rPr>
      </w:pPr>
      <w:r>
        <w:rPr>
          <w:rFonts w:hint="default" w:ascii="Times New Roman" w:hAnsi="Times New Roman" w:eastAsia="方正小标宋_GBK" w:cs="Times New Roman"/>
          <w:b w:val="0"/>
          <w:bCs w:val="0"/>
          <w:color w:val="auto"/>
          <w:sz w:val="21"/>
          <w:szCs w:val="21"/>
          <w:highlight w:val="none"/>
          <w:u w:val="none"/>
          <w:lang w:val="en-US" w:eastAsia="zh-CN"/>
        </w:rPr>
        <w:t>专项预算绩效自评实地踏勘点位清单表</w:t>
      </w:r>
    </w:p>
    <w:p w14:paraId="27742958">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楷体_GB2312" w:cs="Times New Roman"/>
          <w:b w:val="0"/>
          <w:bCs w:val="0"/>
          <w:color w:val="auto"/>
          <w:sz w:val="21"/>
          <w:szCs w:val="21"/>
          <w:highlight w:val="none"/>
          <w:u w:val="none"/>
          <w:lang w:val="en-US" w:eastAsia="zh-CN"/>
        </w:rPr>
      </w:pPr>
    </w:p>
    <w:tbl>
      <w:tblPr>
        <w:tblStyle w:val="18"/>
        <w:tblW w:w="92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2122"/>
      </w:tblGrid>
      <w:tr w14:paraId="6584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exact"/>
          <w:jc w:val="center"/>
        </w:trPr>
        <w:tc>
          <w:tcPr>
            <w:tcW w:w="1123" w:type="dxa"/>
            <w:noWrap w:val="0"/>
            <w:vAlign w:val="center"/>
          </w:tcPr>
          <w:p w14:paraId="188C5BA1">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黑体" w:cs="Times New Roman"/>
                <w:b w:val="0"/>
                <w:bCs w:val="0"/>
                <w:color w:val="auto"/>
                <w:sz w:val="21"/>
                <w:szCs w:val="21"/>
                <w:highlight w:val="none"/>
                <w:u w:val="none"/>
                <w:vertAlign w:val="baseline"/>
                <w:lang w:val="en-US" w:eastAsia="zh-CN"/>
              </w:rPr>
            </w:pPr>
            <w:r>
              <w:rPr>
                <w:rFonts w:hint="default" w:ascii="Times New Roman" w:hAnsi="Times New Roman" w:eastAsia="黑体" w:cs="Times New Roman"/>
                <w:b w:val="0"/>
                <w:bCs w:val="0"/>
                <w:color w:val="auto"/>
                <w:sz w:val="21"/>
                <w:szCs w:val="21"/>
                <w:highlight w:val="none"/>
                <w:u w:val="none"/>
                <w:vertAlign w:val="baseline"/>
                <w:lang w:val="en-US" w:eastAsia="zh-CN"/>
              </w:rPr>
              <w:t>序号</w:t>
            </w:r>
          </w:p>
        </w:tc>
        <w:tc>
          <w:tcPr>
            <w:tcW w:w="5956" w:type="dxa"/>
            <w:noWrap w:val="0"/>
            <w:vAlign w:val="center"/>
          </w:tcPr>
          <w:p w14:paraId="5A4C3AF3">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黑体" w:cs="Times New Roman"/>
                <w:b w:val="0"/>
                <w:bCs w:val="0"/>
                <w:color w:val="auto"/>
                <w:sz w:val="21"/>
                <w:szCs w:val="21"/>
                <w:highlight w:val="none"/>
                <w:u w:val="none"/>
                <w:vertAlign w:val="baseline"/>
                <w:lang w:val="en" w:eastAsia="zh-CN"/>
              </w:rPr>
            </w:pPr>
            <w:r>
              <w:rPr>
                <w:rFonts w:hint="default" w:ascii="Times New Roman" w:hAnsi="Times New Roman" w:eastAsia="黑体" w:cs="Times New Roman"/>
                <w:b w:val="0"/>
                <w:bCs w:val="0"/>
                <w:color w:val="auto"/>
                <w:sz w:val="21"/>
                <w:szCs w:val="21"/>
                <w:highlight w:val="none"/>
                <w:u w:val="none"/>
                <w:vertAlign w:val="baseline"/>
                <w:lang w:val="en-US" w:eastAsia="zh-CN"/>
              </w:rPr>
              <w:t>实地踏勘点位</w:t>
            </w:r>
          </w:p>
        </w:tc>
        <w:tc>
          <w:tcPr>
            <w:tcW w:w="2122" w:type="dxa"/>
            <w:noWrap w:val="0"/>
            <w:vAlign w:val="center"/>
          </w:tcPr>
          <w:p w14:paraId="70B266F0">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黑体" w:cs="Times New Roman"/>
                <w:b w:val="0"/>
                <w:bCs w:val="0"/>
                <w:color w:val="auto"/>
                <w:sz w:val="21"/>
                <w:szCs w:val="21"/>
                <w:highlight w:val="none"/>
                <w:u w:val="none"/>
                <w:vertAlign w:val="baseline"/>
                <w:lang w:val="en-US" w:eastAsia="zh-CN"/>
              </w:rPr>
            </w:pPr>
            <w:r>
              <w:rPr>
                <w:rFonts w:hint="default" w:ascii="Times New Roman" w:hAnsi="Times New Roman" w:eastAsia="黑体" w:cs="Times New Roman"/>
                <w:b w:val="0"/>
                <w:bCs w:val="0"/>
                <w:color w:val="auto"/>
                <w:sz w:val="21"/>
                <w:szCs w:val="21"/>
                <w:highlight w:val="none"/>
                <w:u w:val="none"/>
                <w:vertAlign w:val="baseline"/>
                <w:lang w:val="en-US" w:eastAsia="zh-CN"/>
              </w:rPr>
              <w:t>备注</w:t>
            </w:r>
          </w:p>
        </w:tc>
      </w:tr>
      <w:tr w14:paraId="77C2F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exact"/>
          <w:jc w:val="center"/>
        </w:trPr>
        <w:tc>
          <w:tcPr>
            <w:tcW w:w="1123" w:type="dxa"/>
            <w:noWrap w:val="0"/>
            <w:vAlign w:val="center"/>
          </w:tcPr>
          <w:p w14:paraId="71C72EC2">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b w:val="0"/>
                <w:bCs w:val="0"/>
                <w:color w:val="auto"/>
                <w:sz w:val="21"/>
                <w:szCs w:val="21"/>
                <w:highlight w:val="none"/>
                <w:u w:val="none"/>
                <w:lang w:val="en-US" w:eastAsia="zh-CN"/>
              </w:rPr>
            </w:pPr>
            <w:r>
              <w:rPr>
                <w:rFonts w:hint="default" w:ascii="Times New Roman" w:hAnsi="Times New Roman" w:eastAsia="方正仿宋_GBK" w:cs="Times New Roman"/>
                <w:b w:val="0"/>
                <w:bCs w:val="0"/>
                <w:color w:val="auto"/>
                <w:sz w:val="21"/>
                <w:szCs w:val="21"/>
                <w:highlight w:val="none"/>
                <w:u w:val="none"/>
                <w:lang w:val="en-US" w:eastAsia="zh-CN"/>
              </w:rPr>
              <w:t>1</w:t>
            </w:r>
          </w:p>
        </w:tc>
        <w:tc>
          <w:tcPr>
            <w:tcW w:w="5956" w:type="dxa"/>
            <w:noWrap w:val="0"/>
            <w:vAlign w:val="center"/>
          </w:tcPr>
          <w:p w14:paraId="0B87CABB">
            <w:pPr>
              <w:keepNext w:val="0"/>
              <w:keepLines w:val="0"/>
              <w:pageBreakBefore w:val="0"/>
              <w:kinsoku/>
              <w:wordWrap/>
              <w:overflowPunct/>
              <w:topLinePunct w:val="0"/>
              <w:autoSpaceDE/>
              <w:bidi w:val="0"/>
              <w:snapToGrid w:val="0"/>
              <w:spacing w:line="560" w:lineRule="exact"/>
              <w:jc w:val="center"/>
              <w:rPr>
                <w:rFonts w:hint="default" w:ascii="Times New Roman" w:hAnsi="Times New Roman" w:eastAsia="方正仿宋_GBK" w:cs="Times New Roman"/>
                <w:kern w:val="0"/>
                <w:sz w:val="21"/>
                <w:szCs w:val="21"/>
                <w:shd w:val="clear" w:color="auto" w:fill="FFFFFF"/>
              </w:rPr>
            </w:pPr>
            <w:r>
              <w:rPr>
                <w:rFonts w:hint="default" w:ascii="Times New Roman" w:hAnsi="Times New Roman" w:eastAsia="方正仿宋_GBK" w:cs="Times New Roman"/>
                <w:sz w:val="21"/>
                <w:szCs w:val="21"/>
                <w:lang w:val="en" w:eastAsia="en"/>
              </w:rPr>
              <w:t>攀枝花市全市</w:t>
            </w:r>
            <w:r>
              <w:rPr>
                <w:rFonts w:hint="default" w:ascii="Times New Roman" w:hAnsi="Times New Roman" w:eastAsia="方正仿宋_GBK" w:cs="Times New Roman"/>
                <w:b/>
                <w:bCs/>
                <w:spacing w:val="-17"/>
                <w:sz w:val="21"/>
                <w:szCs w:val="21"/>
              </w:rPr>
              <w:t>5</w:t>
            </w:r>
            <w:r>
              <w:rPr>
                <w:rFonts w:hint="default" w:ascii="Times New Roman" w:hAnsi="Times New Roman" w:eastAsia="方正仿宋_GBK" w:cs="Times New Roman"/>
                <w:sz w:val="21"/>
                <w:szCs w:val="21"/>
                <w:lang w:val="en" w:eastAsia="en"/>
              </w:rPr>
              <w:t>个县区</w:t>
            </w:r>
          </w:p>
          <w:p w14:paraId="68C53D47">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1"/>
                <w:szCs w:val="21"/>
                <w:highlight w:val="none"/>
                <w:u w:val="none"/>
                <w:vertAlign w:val="baseline"/>
                <w:lang w:val="en" w:eastAsia="zh-CN"/>
              </w:rPr>
            </w:pPr>
          </w:p>
        </w:tc>
        <w:tc>
          <w:tcPr>
            <w:tcW w:w="2122" w:type="dxa"/>
            <w:noWrap w:val="0"/>
            <w:vAlign w:val="center"/>
          </w:tcPr>
          <w:p w14:paraId="51E82C30">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1"/>
                <w:szCs w:val="21"/>
                <w:highlight w:val="none"/>
                <w:u w:val="none"/>
                <w:vertAlign w:val="baseline"/>
                <w:lang w:val="en-US" w:eastAsia="zh-CN"/>
              </w:rPr>
            </w:pPr>
            <w:r>
              <w:rPr>
                <w:rFonts w:hint="default" w:ascii="Times New Roman" w:hAnsi="Times New Roman" w:eastAsia="方正仿宋_GBK" w:cs="Times New Roman"/>
                <w:color w:val="auto"/>
                <w:sz w:val="21"/>
                <w:szCs w:val="21"/>
                <w:highlight w:val="none"/>
                <w:u w:val="none"/>
                <w:vertAlign w:val="baseline"/>
                <w:lang w:val="en-US" w:eastAsia="zh-CN"/>
              </w:rPr>
              <w:t>社会福利与儿童保障类项目</w:t>
            </w:r>
          </w:p>
        </w:tc>
      </w:tr>
      <w:tr w14:paraId="33B93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exact"/>
          <w:jc w:val="center"/>
        </w:trPr>
        <w:tc>
          <w:tcPr>
            <w:tcW w:w="1123" w:type="dxa"/>
            <w:noWrap w:val="0"/>
            <w:vAlign w:val="center"/>
          </w:tcPr>
          <w:p w14:paraId="3116B2A4">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b w:val="0"/>
                <w:bCs w:val="0"/>
                <w:color w:val="auto"/>
                <w:sz w:val="21"/>
                <w:szCs w:val="21"/>
                <w:highlight w:val="none"/>
                <w:u w:val="none"/>
                <w:lang w:val="en-US" w:eastAsia="zh-CN"/>
              </w:rPr>
            </w:pPr>
            <w:r>
              <w:rPr>
                <w:rFonts w:hint="default" w:ascii="Times New Roman" w:hAnsi="Times New Roman" w:eastAsia="方正仿宋_GBK" w:cs="Times New Roman"/>
                <w:b w:val="0"/>
                <w:bCs w:val="0"/>
                <w:color w:val="auto"/>
                <w:sz w:val="21"/>
                <w:szCs w:val="21"/>
                <w:highlight w:val="none"/>
                <w:u w:val="none"/>
                <w:lang w:val="en-US" w:eastAsia="zh-CN"/>
              </w:rPr>
              <w:t>2</w:t>
            </w:r>
          </w:p>
        </w:tc>
        <w:tc>
          <w:tcPr>
            <w:tcW w:w="5956" w:type="dxa"/>
            <w:noWrap w:val="0"/>
            <w:vAlign w:val="center"/>
          </w:tcPr>
          <w:p w14:paraId="2F4C157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攀枝花市本级</w:t>
            </w:r>
          </w:p>
          <w:p w14:paraId="56FAE10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auto"/>
                <w:sz w:val="21"/>
                <w:szCs w:val="21"/>
                <w:highlight w:val="none"/>
                <w:u w:val="none"/>
                <w:vertAlign w:val="baseline"/>
                <w:lang w:val="en" w:eastAsia="zh-CN"/>
              </w:rPr>
            </w:pPr>
            <w:r>
              <w:rPr>
                <w:rFonts w:hint="default" w:ascii="Times New Roman" w:hAnsi="Times New Roman" w:eastAsia="方正仿宋_GBK" w:cs="Times New Roman"/>
                <w:color w:val="000000"/>
                <w:kern w:val="0"/>
                <w:sz w:val="21"/>
                <w:szCs w:val="21"/>
                <w:lang w:val="en-US" w:eastAsia="zh-CN" w:bidi="ar"/>
              </w:rPr>
              <w:t>（市殡葬服务中心环保火化炉购置项目）</w:t>
            </w:r>
          </w:p>
        </w:tc>
        <w:tc>
          <w:tcPr>
            <w:tcW w:w="2122" w:type="dxa"/>
            <w:noWrap w:val="0"/>
            <w:vAlign w:val="center"/>
          </w:tcPr>
          <w:p w14:paraId="53F14836">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1"/>
                <w:szCs w:val="21"/>
                <w:highlight w:val="none"/>
                <w:u w:val="none"/>
                <w:vertAlign w:val="baseline"/>
                <w:lang w:val="en-US" w:eastAsia="zh-CN"/>
              </w:rPr>
            </w:pPr>
          </w:p>
          <w:p w14:paraId="315AACB7">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1"/>
                <w:szCs w:val="21"/>
                <w:highlight w:val="none"/>
                <w:u w:val="none"/>
                <w:vertAlign w:val="baseline"/>
                <w:lang w:val="en-US" w:eastAsia="zh-CN"/>
              </w:rPr>
            </w:pPr>
            <w:r>
              <w:rPr>
                <w:rFonts w:hint="default" w:ascii="Times New Roman" w:hAnsi="Times New Roman" w:eastAsia="方正仿宋_GBK" w:cs="Times New Roman"/>
                <w:color w:val="auto"/>
                <w:sz w:val="21"/>
                <w:szCs w:val="21"/>
                <w:highlight w:val="none"/>
                <w:u w:val="none"/>
                <w:vertAlign w:val="baseline"/>
                <w:lang w:val="en-US" w:eastAsia="zh-CN"/>
              </w:rPr>
              <w:t>社会公益类项目</w:t>
            </w:r>
          </w:p>
        </w:tc>
      </w:tr>
      <w:tr w14:paraId="7092D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exact"/>
          <w:jc w:val="center"/>
        </w:trPr>
        <w:tc>
          <w:tcPr>
            <w:tcW w:w="1123" w:type="dxa"/>
            <w:noWrap w:val="0"/>
            <w:vAlign w:val="center"/>
          </w:tcPr>
          <w:p w14:paraId="787326A0">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b w:val="0"/>
                <w:bCs w:val="0"/>
                <w:color w:val="auto"/>
                <w:sz w:val="21"/>
                <w:szCs w:val="21"/>
                <w:highlight w:val="none"/>
                <w:u w:val="none"/>
                <w:lang w:val="en-US" w:eastAsia="zh-CN"/>
              </w:rPr>
            </w:pPr>
            <w:r>
              <w:rPr>
                <w:rFonts w:hint="default" w:ascii="Times New Roman" w:hAnsi="Times New Roman" w:eastAsia="方正仿宋_GBK" w:cs="Times New Roman"/>
                <w:b w:val="0"/>
                <w:bCs w:val="0"/>
                <w:color w:val="auto"/>
                <w:sz w:val="21"/>
                <w:szCs w:val="21"/>
                <w:highlight w:val="none"/>
                <w:u w:val="none"/>
                <w:lang w:val="en-US" w:eastAsia="zh-CN"/>
              </w:rPr>
              <w:t>3</w:t>
            </w:r>
          </w:p>
        </w:tc>
        <w:tc>
          <w:tcPr>
            <w:tcW w:w="5956" w:type="dxa"/>
            <w:noWrap w:val="0"/>
            <w:vAlign w:val="center"/>
          </w:tcPr>
          <w:p w14:paraId="154EB7D3">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攀枝花市西区</w:t>
            </w:r>
          </w:p>
          <w:p w14:paraId="3AA8699C">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仿宋_GBK" w:cs="Times New Roman"/>
                <w:color w:val="auto"/>
                <w:sz w:val="21"/>
                <w:szCs w:val="21"/>
                <w:highlight w:val="none"/>
                <w:u w:val="none"/>
                <w:vertAlign w:val="baseline"/>
                <w:lang w:val="en" w:eastAsia="zh-CN"/>
              </w:rPr>
            </w:pPr>
            <w:r>
              <w:rPr>
                <w:rFonts w:hint="default" w:ascii="Times New Roman" w:hAnsi="Times New Roman" w:eastAsia="方正仿宋_GBK" w:cs="Times New Roman"/>
                <w:sz w:val="21"/>
                <w:szCs w:val="21"/>
                <w:lang w:val="en-US" w:eastAsia="zh-CN"/>
              </w:rPr>
              <w:t>（“文明婚俗”提升行动项目）</w:t>
            </w:r>
          </w:p>
        </w:tc>
        <w:tc>
          <w:tcPr>
            <w:tcW w:w="2122" w:type="dxa"/>
            <w:noWrap w:val="0"/>
            <w:vAlign w:val="center"/>
          </w:tcPr>
          <w:p w14:paraId="1A950ADD">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1"/>
                <w:szCs w:val="21"/>
                <w:highlight w:val="none"/>
                <w:u w:val="none"/>
                <w:vertAlign w:val="baseline"/>
                <w:lang w:val="en-US" w:eastAsia="zh-CN"/>
              </w:rPr>
            </w:pPr>
          </w:p>
          <w:p w14:paraId="33AF7D42">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1"/>
                <w:szCs w:val="21"/>
                <w:highlight w:val="none"/>
                <w:u w:val="none"/>
                <w:vertAlign w:val="baseline"/>
                <w:lang w:val="en-US" w:eastAsia="zh-CN"/>
              </w:rPr>
            </w:pPr>
            <w:r>
              <w:rPr>
                <w:rFonts w:hint="default" w:ascii="Times New Roman" w:hAnsi="Times New Roman" w:eastAsia="方正仿宋_GBK" w:cs="Times New Roman"/>
                <w:color w:val="auto"/>
                <w:sz w:val="21"/>
                <w:szCs w:val="21"/>
                <w:highlight w:val="none"/>
                <w:u w:val="none"/>
                <w:vertAlign w:val="baseline"/>
                <w:lang w:val="en-US" w:eastAsia="zh-CN"/>
              </w:rPr>
              <w:t>社会公益类项目</w:t>
            </w:r>
          </w:p>
        </w:tc>
      </w:tr>
      <w:tr w14:paraId="1A26B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exact"/>
          <w:jc w:val="center"/>
        </w:trPr>
        <w:tc>
          <w:tcPr>
            <w:tcW w:w="1123" w:type="dxa"/>
            <w:noWrap w:val="0"/>
            <w:vAlign w:val="center"/>
          </w:tcPr>
          <w:p w14:paraId="4D9616BD">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b w:val="0"/>
                <w:bCs w:val="0"/>
                <w:color w:val="auto"/>
                <w:sz w:val="21"/>
                <w:szCs w:val="21"/>
                <w:highlight w:val="none"/>
                <w:u w:val="none"/>
                <w:lang w:val="en-US" w:eastAsia="zh-CN"/>
              </w:rPr>
            </w:pPr>
            <w:r>
              <w:rPr>
                <w:rFonts w:hint="default" w:ascii="Times New Roman" w:hAnsi="Times New Roman" w:eastAsia="方正仿宋_GBK" w:cs="Times New Roman"/>
                <w:b w:val="0"/>
                <w:bCs w:val="0"/>
                <w:color w:val="auto"/>
                <w:sz w:val="21"/>
                <w:szCs w:val="21"/>
                <w:highlight w:val="none"/>
                <w:u w:val="none"/>
                <w:lang w:val="en-US" w:eastAsia="zh-CN"/>
              </w:rPr>
              <w:t>4</w:t>
            </w:r>
          </w:p>
        </w:tc>
        <w:tc>
          <w:tcPr>
            <w:tcW w:w="5956" w:type="dxa"/>
            <w:noWrap w:val="0"/>
            <w:vAlign w:val="center"/>
          </w:tcPr>
          <w:p w14:paraId="25C3A582">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仿宋_GBK" w:cs="Times New Roman"/>
                <w:sz w:val="21"/>
                <w:szCs w:val="21"/>
                <w:lang w:val="en" w:eastAsia="zh-CN"/>
              </w:rPr>
            </w:pPr>
            <w:r>
              <w:rPr>
                <w:rFonts w:hint="default" w:ascii="Times New Roman" w:hAnsi="Times New Roman" w:eastAsia="方正仿宋_GBK" w:cs="Times New Roman"/>
                <w:sz w:val="21"/>
                <w:szCs w:val="21"/>
                <w:lang w:val="en-US" w:eastAsia="zh-CN"/>
              </w:rPr>
              <w:t>西区</w:t>
            </w:r>
            <w:r>
              <w:rPr>
                <w:rFonts w:hint="default" w:ascii="Times New Roman" w:hAnsi="Times New Roman" w:eastAsia="方正仿宋_GBK" w:cs="Times New Roman"/>
                <w:sz w:val="21"/>
                <w:szCs w:val="21"/>
                <w:lang w:val="zh-CN" w:eastAsia="zh-CN"/>
              </w:rPr>
              <w:t>河门口街道</w:t>
            </w:r>
          </w:p>
        </w:tc>
        <w:tc>
          <w:tcPr>
            <w:tcW w:w="2122" w:type="dxa"/>
            <w:noWrap w:val="0"/>
            <w:vAlign w:val="center"/>
          </w:tcPr>
          <w:p w14:paraId="1BA647C7">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1"/>
                <w:szCs w:val="21"/>
                <w:highlight w:val="none"/>
                <w:u w:val="none"/>
                <w:vertAlign w:val="baseline"/>
                <w:lang w:val="en-US" w:eastAsia="zh-CN"/>
              </w:rPr>
            </w:pPr>
          </w:p>
          <w:p w14:paraId="2100C37B">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1"/>
                <w:szCs w:val="21"/>
                <w:highlight w:val="none"/>
                <w:u w:val="none"/>
                <w:vertAlign w:val="baseline"/>
                <w:lang w:val="en-US" w:eastAsia="zh-CN"/>
              </w:rPr>
            </w:pPr>
            <w:r>
              <w:rPr>
                <w:rFonts w:hint="default" w:ascii="Times New Roman" w:hAnsi="Times New Roman" w:eastAsia="方正仿宋_GBK" w:cs="Times New Roman"/>
                <w:color w:val="auto"/>
                <w:sz w:val="21"/>
                <w:szCs w:val="21"/>
                <w:highlight w:val="none"/>
                <w:u w:val="none"/>
                <w:vertAlign w:val="baseline"/>
                <w:lang w:val="en-US" w:eastAsia="zh-CN"/>
              </w:rPr>
              <w:t>慈善类项目</w:t>
            </w:r>
          </w:p>
        </w:tc>
      </w:tr>
      <w:tr w14:paraId="0BFFC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exact"/>
          <w:jc w:val="center"/>
        </w:trPr>
        <w:tc>
          <w:tcPr>
            <w:tcW w:w="1123" w:type="dxa"/>
            <w:noWrap w:val="0"/>
            <w:vAlign w:val="center"/>
          </w:tcPr>
          <w:p w14:paraId="743A4081">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b w:val="0"/>
                <w:bCs w:val="0"/>
                <w:color w:val="auto"/>
                <w:sz w:val="21"/>
                <w:szCs w:val="21"/>
                <w:highlight w:val="none"/>
                <w:u w:val="none"/>
                <w:lang w:val="en-US" w:eastAsia="zh-CN"/>
              </w:rPr>
            </w:pPr>
            <w:r>
              <w:rPr>
                <w:rFonts w:hint="default" w:ascii="Times New Roman" w:hAnsi="Times New Roman" w:eastAsia="方正仿宋_GBK" w:cs="Times New Roman"/>
                <w:b w:val="0"/>
                <w:bCs w:val="0"/>
                <w:color w:val="auto"/>
                <w:sz w:val="21"/>
                <w:szCs w:val="21"/>
                <w:highlight w:val="none"/>
                <w:u w:val="none"/>
                <w:lang w:val="en-US" w:eastAsia="zh-CN"/>
              </w:rPr>
              <w:t>5</w:t>
            </w:r>
          </w:p>
        </w:tc>
        <w:tc>
          <w:tcPr>
            <w:tcW w:w="5956" w:type="dxa"/>
            <w:noWrap w:val="0"/>
            <w:vAlign w:val="center"/>
          </w:tcPr>
          <w:p w14:paraId="03EFF265">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仿宋_GBK" w:cs="Times New Roman"/>
                <w:sz w:val="21"/>
                <w:szCs w:val="21"/>
                <w:lang w:val="en" w:eastAsia="zh-CN"/>
              </w:rPr>
            </w:pPr>
            <w:r>
              <w:rPr>
                <w:rFonts w:hint="default" w:ascii="Times New Roman" w:hAnsi="Times New Roman" w:eastAsia="方正仿宋_GBK" w:cs="Times New Roman"/>
                <w:sz w:val="21"/>
                <w:szCs w:val="21"/>
                <w:lang w:val="en-US" w:eastAsia="zh-CN"/>
              </w:rPr>
              <w:t>西区</w:t>
            </w:r>
            <w:r>
              <w:rPr>
                <w:rFonts w:hint="default" w:ascii="Times New Roman" w:hAnsi="Times New Roman" w:eastAsia="方正仿宋_GBK" w:cs="Times New Roman"/>
                <w:sz w:val="21"/>
                <w:szCs w:val="21"/>
                <w:lang w:val="zh-CN" w:eastAsia="zh-CN"/>
              </w:rPr>
              <w:t>清香坪街道杨家坪社区</w:t>
            </w:r>
          </w:p>
        </w:tc>
        <w:tc>
          <w:tcPr>
            <w:tcW w:w="2122" w:type="dxa"/>
            <w:noWrap w:val="0"/>
            <w:vAlign w:val="center"/>
          </w:tcPr>
          <w:p w14:paraId="3E5020F8">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1"/>
                <w:szCs w:val="21"/>
                <w:highlight w:val="none"/>
                <w:u w:val="none"/>
                <w:vertAlign w:val="baseline"/>
                <w:lang w:val="en-US" w:eastAsia="zh-CN"/>
              </w:rPr>
            </w:pPr>
          </w:p>
          <w:p w14:paraId="2FA244C1">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1"/>
                <w:szCs w:val="21"/>
                <w:highlight w:val="none"/>
                <w:u w:val="none"/>
                <w:vertAlign w:val="baseline"/>
                <w:lang w:val="en-US" w:eastAsia="zh-CN"/>
              </w:rPr>
            </w:pPr>
            <w:r>
              <w:rPr>
                <w:rFonts w:hint="default" w:ascii="Times New Roman" w:hAnsi="Times New Roman" w:eastAsia="方正仿宋_GBK" w:cs="Times New Roman"/>
                <w:color w:val="auto"/>
                <w:sz w:val="21"/>
                <w:szCs w:val="21"/>
                <w:highlight w:val="none"/>
                <w:u w:val="none"/>
                <w:vertAlign w:val="baseline"/>
                <w:lang w:val="en-US" w:eastAsia="zh-CN"/>
              </w:rPr>
              <w:t>慈善类项目</w:t>
            </w:r>
          </w:p>
        </w:tc>
      </w:tr>
      <w:tr w14:paraId="2AA19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exact"/>
          <w:jc w:val="center"/>
        </w:trPr>
        <w:tc>
          <w:tcPr>
            <w:tcW w:w="1123" w:type="dxa"/>
            <w:noWrap w:val="0"/>
            <w:vAlign w:val="center"/>
          </w:tcPr>
          <w:p w14:paraId="561CF59A">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b w:val="0"/>
                <w:bCs w:val="0"/>
                <w:color w:val="auto"/>
                <w:sz w:val="21"/>
                <w:szCs w:val="21"/>
                <w:highlight w:val="none"/>
                <w:u w:val="none"/>
                <w:lang w:val="en-US" w:eastAsia="zh-CN"/>
              </w:rPr>
            </w:pPr>
            <w:r>
              <w:rPr>
                <w:rFonts w:hint="default" w:ascii="Times New Roman" w:hAnsi="Times New Roman" w:eastAsia="方正仿宋_GBK" w:cs="Times New Roman"/>
                <w:b w:val="0"/>
                <w:bCs w:val="0"/>
                <w:color w:val="auto"/>
                <w:sz w:val="21"/>
                <w:szCs w:val="21"/>
                <w:highlight w:val="none"/>
                <w:u w:val="none"/>
                <w:lang w:val="en-US" w:eastAsia="zh-CN"/>
              </w:rPr>
              <w:t>6</w:t>
            </w:r>
          </w:p>
        </w:tc>
        <w:tc>
          <w:tcPr>
            <w:tcW w:w="5956" w:type="dxa"/>
            <w:noWrap w:val="0"/>
            <w:vAlign w:val="center"/>
          </w:tcPr>
          <w:p w14:paraId="16A808A2">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仿宋_GBK" w:cs="Times New Roman"/>
                <w:sz w:val="21"/>
                <w:szCs w:val="21"/>
                <w:lang w:val="en" w:eastAsia="zh-CN"/>
              </w:rPr>
            </w:pPr>
            <w:r>
              <w:rPr>
                <w:rFonts w:hint="default" w:ascii="Times New Roman" w:hAnsi="Times New Roman" w:eastAsia="方正仿宋_GBK" w:cs="Times New Roman"/>
                <w:sz w:val="21"/>
                <w:szCs w:val="21"/>
                <w:lang w:val="en-US" w:eastAsia="zh-CN"/>
              </w:rPr>
              <w:t>仁和区仁和镇</w:t>
            </w:r>
          </w:p>
        </w:tc>
        <w:tc>
          <w:tcPr>
            <w:tcW w:w="2122" w:type="dxa"/>
            <w:noWrap w:val="0"/>
            <w:vAlign w:val="center"/>
          </w:tcPr>
          <w:p w14:paraId="1144957E">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1"/>
                <w:szCs w:val="21"/>
                <w:highlight w:val="none"/>
                <w:u w:val="none"/>
                <w:vertAlign w:val="baseline"/>
                <w:lang w:val="en-US" w:eastAsia="zh-CN"/>
              </w:rPr>
            </w:pPr>
          </w:p>
          <w:p w14:paraId="4AE9C09D">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1"/>
                <w:szCs w:val="21"/>
                <w:highlight w:val="none"/>
                <w:u w:val="none"/>
                <w:vertAlign w:val="baseline"/>
                <w:lang w:val="en-US" w:eastAsia="zh-CN"/>
              </w:rPr>
            </w:pPr>
            <w:r>
              <w:rPr>
                <w:rFonts w:hint="default" w:ascii="Times New Roman" w:hAnsi="Times New Roman" w:eastAsia="方正仿宋_GBK" w:cs="Times New Roman"/>
                <w:color w:val="auto"/>
                <w:sz w:val="21"/>
                <w:szCs w:val="21"/>
                <w:highlight w:val="none"/>
                <w:u w:val="none"/>
                <w:vertAlign w:val="baseline"/>
                <w:lang w:val="en-US" w:eastAsia="zh-CN"/>
              </w:rPr>
              <w:t>慈善类项目</w:t>
            </w:r>
          </w:p>
        </w:tc>
      </w:tr>
      <w:tr w14:paraId="0BB4C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jc w:val="center"/>
        </w:trPr>
        <w:tc>
          <w:tcPr>
            <w:tcW w:w="1123" w:type="dxa"/>
            <w:noWrap w:val="0"/>
            <w:vAlign w:val="center"/>
          </w:tcPr>
          <w:p w14:paraId="15332AF5">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b w:val="0"/>
                <w:bCs w:val="0"/>
                <w:color w:val="auto"/>
                <w:sz w:val="21"/>
                <w:szCs w:val="21"/>
                <w:highlight w:val="none"/>
                <w:u w:val="none"/>
                <w:lang w:val="en-US" w:eastAsia="zh-CN"/>
              </w:rPr>
            </w:pPr>
            <w:r>
              <w:rPr>
                <w:rFonts w:hint="default" w:ascii="Times New Roman" w:hAnsi="Times New Roman" w:eastAsia="方正仿宋_GBK" w:cs="Times New Roman"/>
                <w:b w:val="0"/>
                <w:bCs w:val="0"/>
                <w:color w:val="auto"/>
                <w:sz w:val="21"/>
                <w:szCs w:val="21"/>
                <w:highlight w:val="none"/>
                <w:u w:val="none"/>
                <w:lang w:val="en-US" w:eastAsia="zh-CN"/>
              </w:rPr>
              <w:t>7</w:t>
            </w:r>
          </w:p>
        </w:tc>
        <w:tc>
          <w:tcPr>
            <w:tcW w:w="5956" w:type="dxa"/>
            <w:noWrap w:val="0"/>
            <w:vAlign w:val="center"/>
          </w:tcPr>
          <w:p w14:paraId="3F770AB2">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仿宋_GBK" w:cs="Times New Roman"/>
                <w:sz w:val="21"/>
                <w:szCs w:val="21"/>
                <w:lang w:val="en" w:eastAsia="zh-CN"/>
              </w:rPr>
            </w:pPr>
            <w:r>
              <w:rPr>
                <w:rFonts w:hint="default" w:ascii="Times New Roman" w:hAnsi="Times New Roman" w:eastAsia="方正仿宋_GBK" w:cs="Times New Roman"/>
                <w:sz w:val="21"/>
                <w:szCs w:val="21"/>
                <w:lang w:val="en-US" w:eastAsia="zh-CN"/>
              </w:rPr>
              <w:t>仁和区啊喇彝族乡</w:t>
            </w:r>
          </w:p>
        </w:tc>
        <w:tc>
          <w:tcPr>
            <w:tcW w:w="2122" w:type="dxa"/>
            <w:noWrap w:val="0"/>
            <w:vAlign w:val="center"/>
          </w:tcPr>
          <w:p w14:paraId="193E0D5D">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1"/>
                <w:szCs w:val="21"/>
                <w:highlight w:val="none"/>
                <w:u w:val="none"/>
                <w:vertAlign w:val="baseline"/>
                <w:lang w:val="en-US" w:eastAsia="zh-CN"/>
              </w:rPr>
            </w:pPr>
          </w:p>
          <w:p w14:paraId="1BFCA780">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1"/>
                <w:szCs w:val="21"/>
                <w:highlight w:val="none"/>
                <w:u w:val="none"/>
                <w:vertAlign w:val="baseline"/>
                <w:lang w:val="en-US" w:eastAsia="zh-CN"/>
              </w:rPr>
            </w:pPr>
            <w:r>
              <w:rPr>
                <w:rFonts w:hint="default" w:ascii="Times New Roman" w:hAnsi="Times New Roman" w:eastAsia="方正仿宋_GBK" w:cs="Times New Roman"/>
                <w:color w:val="auto"/>
                <w:sz w:val="21"/>
                <w:szCs w:val="21"/>
                <w:highlight w:val="none"/>
                <w:u w:val="none"/>
                <w:vertAlign w:val="baseline"/>
                <w:lang w:val="en-US" w:eastAsia="zh-CN"/>
              </w:rPr>
              <w:t>慈善类项目</w:t>
            </w:r>
          </w:p>
        </w:tc>
      </w:tr>
      <w:tr w14:paraId="15341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jc w:val="center"/>
        </w:trPr>
        <w:tc>
          <w:tcPr>
            <w:tcW w:w="1123" w:type="dxa"/>
            <w:noWrap w:val="0"/>
            <w:vAlign w:val="center"/>
          </w:tcPr>
          <w:p w14:paraId="08862087">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b w:val="0"/>
                <w:bCs w:val="0"/>
                <w:color w:val="auto"/>
                <w:sz w:val="24"/>
                <w:szCs w:val="24"/>
                <w:highlight w:val="none"/>
                <w:u w:val="none"/>
                <w:lang w:val="en-US" w:eastAsia="zh-CN"/>
              </w:rPr>
            </w:pPr>
            <w:r>
              <w:rPr>
                <w:rFonts w:hint="default" w:ascii="Times New Roman" w:hAnsi="Times New Roman" w:eastAsia="方正仿宋_GBK" w:cs="Times New Roman"/>
                <w:b w:val="0"/>
                <w:bCs w:val="0"/>
                <w:color w:val="auto"/>
                <w:sz w:val="24"/>
                <w:szCs w:val="24"/>
                <w:highlight w:val="none"/>
                <w:u w:val="none"/>
                <w:lang w:val="en-US" w:eastAsia="zh-CN"/>
              </w:rPr>
              <w:t>8</w:t>
            </w:r>
          </w:p>
        </w:tc>
        <w:tc>
          <w:tcPr>
            <w:tcW w:w="5956" w:type="dxa"/>
            <w:noWrap w:val="0"/>
            <w:vAlign w:val="center"/>
          </w:tcPr>
          <w:p w14:paraId="4C6CD0AA">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米易县县级公益慈善服务中心</w:t>
            </w:r>
          </w:p>
        </w:tc>
        <w:tc>
          <w:tcPr>
            <w:tcW w:w="2122" w:type="dxa"/>
            <w:noWrap w:val="0"/>
            <w:vAlign w:val="center"/>
          </w:tcPr>
          <w:p w14:paraId="503F93BA">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vertAlign w:val="baseline"/>
                <w:lang w:val="en-US" w:eastAsia="zh-CN"/>
              </w:rPr>
            </w:pPr>
          </w:p>
          <w:p w14:paraId="00037C17">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vertAlign w:val="baseline"/>
                <w:lang w:val="en-US" w:eastAsia="zh-CN"/>
              </w:rPr>
            </w:pPr>
            <w:r>
              <w:rPr>
                <w:rFonts w:hint="default" w:ascii="Times New Roman" w:hAnsi="Times New Roman" w:eastAsia="方正仿宋_GBK" w:cs="Times New Roman"/>
                <w:color w:val="auto"/>
                <w:sz w:val="24"/>
                <w:szCs w:val="24"/>
                <w:highlight w:val="none"/>
                <w:u w:val="none"/>
                <w:vertAlign w:val="baseline"/>
                <w:lang w:val="en-US" w:eastAsia="zh-CN"/>
              </w:rPr>
              <w:t>慈善类项目</w:t>
            </w:r>
          </w:p>
        </w:tc>
      </w:tr>
      <w:tr w14:paraId="26E19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jc w:val="center"/>
        </w:trPr>
        <w:tc>
          <w:tcPr>
            <w:tcW w:w="1123" w:type="dxa"/>
            <w:noWrap w:val="0"/>
            <w:vAlign w:val="center"/>
          </w:tcPr>
          <w:p w14:paraId="79F2CD3B">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lang w:val="en-US" w:eastAsia="zh-CN"/>
              </w:rPr>
            </w:pPr>
            <w:r>
              <w:rPr>
                <w:rFonts w:hint="default" w:ascii="Times New Roman" w:hAnsi="Times New Roman" w:eastAsia="方正仿宋_GBK" w:cs="Times New Roman"/>
                <w:color w:val="auto"/>
                <w:sz w:val="24"/>
                <w:szCs w:val="24"/>
                <w:highlight w:val="none"/>
                <w:u w:val="none"/>
                <w:lang w:val="en-US" w:eastAsia="zh-CN"/>
              </w:rPr>
              <w:t>9</w:t>
            </w:r>
          </w:p>
        </w:tc>
        <w:tc>
          <w:tcPr>
            <w:tcW w:w="5956" w:type="dxa"/>
            <w:noWrap w:val="0"/>
            <w:vAlign w:val="center"/>
          </w:tcPr>
          <w:p w14:paraId="6DCAA3CA">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仿宋_GBK" w:cs="Times New Roman"/>
                <w:sz w:val="21"/>
                <w:szCs w:val="21"/>
                <w:lang w:val="en" w:eastAsia="zh-CN"/>
              </w:rPr>
            </w:pPr>
            <w:r>
              <w:rPr>
                <w:rFonts w:hint="default" w:ascii="Times New Roman" w:hAnsi="Times New Roman" w:eastAsia="方正仿宋_GBK" w:cs="Times New Roman"/>
                <w:sz w:val="21"/>
                <w:szCs w:val="21"/>
                <w:lang w:val="en-US" w:eastAsia="zh-CN"/>
              </w:rPr>
              <w:t>米易县攀莲镇（儿童主题公园）</w:t>
            </w:r>
          </w:p>
        </w:tc>
        <w:tc>
          <w:tcPr>
            <w:tcW w:w="2122" w:type="dxa"/>
            <w:noWrap w:val="0"/>
            <w:vAlign w:val="center"/>
          </w:tcPr>
          <w:p w14:paraId="3A52D2F2">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vertAlign w:val="baseline"/>
                <w:lang w:val="en-US" w:eastAsia="zh-CN"/>
              </w:rPr>
            </w:pPr>
          </w:p>
          <w:p w14:paraId="02B59600">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vertAlign w:val="baseline"/>
                <w:lang w:val="en-US" w:eastAsia="zh-CN"/>
              </w:rPr>
            </w:pPr>
            <w:r>
              <w:rPr>
                <w:rFonts w:hint="default" w:ascii="Times New Roman" w:hAnsi="Times New Roman" w:eastAsia="方正仿宋_GBK" w:cs="Times New Roman"/>
                <w:color w:val="auto"/>
                <w:sz w:val="24"/>
                <w:szCs w:val="24"/>
                <w:highlight w:val="none"/>
                <w:u w:val="none"/>
                <w:vertAlign w:val="baseline"/>
                <w:lang w:val="en-US" w:eastAsia="zh-CN"/>
              </w:rPr>
              <w:t>慈善类项目</w:t>
            </w:r>
          </w:p>
        </w:tc>
      </w:tr>
      <w:tr w14:paraId="450A3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exact"/>
          <w:jc w:val="center"/>
        </w:trPr>
        <w:tc>
          <w:tcPr>
            <w:tcW w:w="1123" w:type="dxa"/>
            <w:noWrap w:val="0"/>
            <w:vAlign w:val="center"/>
          </w:tcPr>
          <w:p w14:paraId="1FDF058B">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lang w:val="en-US" w:eastAsia="zh-CN"/>
              </w:rPr>
            </w:pPr>
            <w:r>
              <w:rPr>
                <w:rFonts w:hint="default" w:ascii="Times New Roman" w:hAnsi="Times New Roman" w:eastAsia="方正仿宋_GBK" w:cs="Times New Roman"/>
                <w:color w:val="auto"/>
                <w:sz w:val="24"/>
                <w:szCs w:val="24"/>
                <w:highlight w:val="none"/>
                <w:u w:val="none"/>
                <w:lang w:val="en-US" w:eastAsia="zh-CN"/>
              </w:rPr>
              <w:t>10</w:t>
            </w:r>
          </w:p>
        </w:tc>
        <w:tc>
          <w:tcPr>
            <w:tcW w:w="5956" w:type="dxa"/>
            <w:noWrap w:val="0"/>
            <w:vAlign w:val="center"/>
          </w:tcPr>
          <w:p w14:paraId="69881FE6">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仿宋_GBK" w:cs="Times New Roman"/>
                <w:sz w:val="21"/>
                <w:szCs w:val="21"/>
                <w:lang w:val="en" w:eastAsia="zh-CN"/>
              </w:rPr>
            </w:pPr>
            <w:r>
              <w:rPr>
                <w:rFonts w:hint="default" w:ascii="Times New Roman" w:hAnsi="Times New Roman" w:eastAsia="方正仿宋_GBK" w:cs="Times New Roman"/>
                <w:sz w:val="21"/>
                <w:szCs w:val="21"/>
                <w:lang w:val="en-US" w:eastAsia="zh-CN"/>
              </w:rPr>
              <w:t>盐边县桐子林镇清源社区</w:t>
            </w:r>
          </w:p>
        </w:tc>
        <w:tc>
          <w:tcPr>
            <w:tcW w:w="2122" w:type="dxa"/>
            <w:noWrap w:val="0"/>
            <w:vAlign w:val="center"/>
          </w:tcPr>
          <w:p w14:paraId="660BCF76">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vertAlign w:val="baseline"/>
                <w:lang w:val="en-US" w:eastAsia="zh-CN"/>
              </w:rPr>
            </w:pPr>
          </w:p>
          <w:p w14:paraId="35D446BD">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vertAlign w:val="baseline"/>
                <w:lang w:val="en-US" w:eastAsia="zh-CN"/>
              </w:rPr>
            </w:pPr>
            <w:r>
              <w:rPr>
                <w:rFonts w:hint="default" w:ascii="Times New Roman" w:hAnsi="Times New Roman" w:eastAsia="方正仿宋_GBK" w:cs="Times New Roman"/>
                <w:color w:val="auto"/>
                <w:sz w:val="24"/>
                <w:szCs w:val="24"/>
                <w:highlight w:val="none"/>
                <w:u w:val="none"/>
                <w:vertAlign w:val="baseline"/>
                <w:lang w:val="en-US" w:eastAsia="zh-CN"/>
              </w:rPr>
              <w:t>慈善类项目</w:t>
            </w:r>
          </w:p>
        </w:tc>
      </w:tr>
      <w:tr w14:paraId="718C0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exact"/>
          <w:jc w:val="center"/>
        </w:trPr>
        <w:tc>
          <w:tcPr>
            <w:tcW w:w="1123" w:type="dxa"/>
            <w:noWrap w:val="0"/>
            <w:vAlign w:val="center"/>
          </w:tcPr>
          <w:p w14:paraId="4874268E">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lang w:val="en-US" w:eastAsia="zh-CN"/>
              </w:rPr>
            </w:pPr>
            <w:r>
              <w:rPr>
                <w:rFonts w:hint="default" w:ascii="Times New Roman" w:hAnsi="Times New Roman" w:eastAsia="方正仿宋_GBK" w:cs="Times New Roman"/>
                <w:color w:val="auto"/>
                <w:sz w:val="24"/>
                <w:szCs w:val="24"/>
                <w:highlight w:val="none"/>
                <w:u w:val="none"/>
                <w:lang w:val="en-US" w:eastAsia="zh-CN"/>
              </w:rPr>
              <w:t>11</w:t>
            </w:r>
          </w:p>
        </w:tc>
        <w:tc>
          <w:tcPr>
            <w:tcW w:w="5956" w:type="dxa"/>
            <w:noWrap w:val="0"/>
            <w:vAlign w:val="center"/>
          </w:tcPr>
          <w:p w14:paraId="79E6A8F9">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仿宋_GBK" w:cs="Times New Roman"/>
                <w:sz w:val="21"/>
                <w:szCs w:val="21"/>
                <w:lang w:val="en" w:eastAsia="zh-CN"/>
              </w:rPr>
            </w:pPr>
            <w:r>
              <w:rPr>
                <w:rFonts w:hint="default" w:ascii="Times New Roman" w:hAnsi="Times New Roman" w:eastAsia="方正仿宋_GBK" w:cs="Times New Roman"/>
                <w:sz w:val="21"/>
                <w:szCs w:val="21"/>
                <w:lang w:val="en-US" w:eastAsia="zh-CN"/>
              </w:rPr>
              <w:t>盐边县城北社区</w:t>
            </w:r>
          </w:p>
        </w:tc>
        <w:tc>
          <w:tcPr>
            <w:tcW w:w="2122" w:type="dxa"/>
            <w:noWrap w:val="0"/>
            <w:vAlign w:val="center"/>
          </w:tcPr>
          <w:p w14:paraId="1A31E3B2">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vertAlign w:val="baseline"/>
                <w:lang w:val="en-US" w:eastAsia="zh-CN"/>
              </w:rPr>
            </w:pPr>
          </w:p>
          <w:p w14:paraId="49CE08F2">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vertAlign w:val="baseline"/>
                <w:lang w:val="en-US" w:eastAsia="zh-CN"/>
              </w:rPr>
            </w:pPr>
            <w:r>
              <w:rPr>
                <w:rFonts w:hint="default" w:ascii="Times New Roman" w:hAnsi="Times New Roman" w:eastAsia="方正仿宋_GBK" w:cs="Times New Roman"/>
                <w:color w:val="auto"/>
                <w:sz w:val="24"/>
                <w:szCs w:val="24"/>
                <w:highlight w:val="none"/>
                <w:u w:val="none"/>
                <w:vertAlign w:val="baseline"/>
                <w:lang w:val="en-US" w:eastAsia="zh-CN"/>
              </w:rPr>
              <w:t>慈善类项目</w:t>
            </w:r>
          </w:p>
        </w:tc>
      </w:tr>
      <w:tr w14:paraId="1973F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exact"/>
          <w:jc w:val="center"/>
        </w:trPr>
        <w:tc>
          <w:tcPr>
            <w:tcW w:w="1123" w:type="dxa"/>
            <w:noWrap w:val="0"/>
            <w:vAlign w:val="center"/>
          </w:tcPr>
          <w:p w14:paraId="6207C063">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lang w:val="en-US" w:eastAsia="zh-CN"/>
              </w:rPr>
            </w:pPr>
            <w:r>
              <w:rPr>
                <w:rFonts w:hint="default" w:ascii="Times New Roman" w:hAnsi="Times New Roman" w:eastAsia="方正仿宋_GBK" w:cs="Times New Roman"/>
                <w:color w:val="auto"/>
                <w:sz w:val="24"/>
                <w:szCs w:val="24"/>
                <w:highlight w:val="none"/>
                <w:u w:val="none"/>
                <w:lang w:val="en-US" w:eastAsia="zh-CN"/>
              </w:rPr>
              <w:t>12</w:t>
            </w:r>
          </w:p>
        </w:tc>
        <w:tc>
          <w:tcPr>
            <w:tcW w:w="5956" w:type="dxa"/>
            <w:noWrap w:val="0"/>
            <w:vAlign w:val="center"/>
          </w:tcPr>
          <w:p w14:paraId="7E6FBAD2">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仿宋_GBK" w:cs="Times New Roman"/>
                <w:sz w:val="21"/>
                <w:szCs w:val="21"/>
                <w:lang w:val="en" w:eastAsia="zh-CN"/>
              </w:rPr>
            </w:pPr>
            <w:r>
              <w:rPr>
                <w:rFonts w:hint="default" w:ascii="Times New Roman" w:hAnsi="Times New Roman" w:eastAsia="方正仿宋_GBK" w:cs="Times New Roman"/>
                <w:sz w:val="21"/>
                <w:szCs w:val="21"/>
                <w:lang w:val="en-US" w:eastAsia="zh-CN"/>
              </w:rPr>
              <w:t>西区</w:t>
            </w:r>
            <w:r>
              <w:rPr>
                <w:rFonts w:hint="default" w:ascii="Times New Roman" w:hAnsi="Times New Roman" w:eastAsia="方正仿宋_GBK" w:cs="Times New Roman"/>
                <w:sz w:val="21"/>
                <w:szCs w:val="21"/>
                <w:lang w:val="zh-CN" w:eastAsia="zh-CN"/>
              </w:rPr>
              <w:t>河门口街道</w:t>
            </w:r>
          </w:p>
        </w:tc>
        <w:tc>
          <w:tcPr>
            <w:tcW w:w="2122" w:type="dxa"/>
            <w:noWrap w:val="0"/>
            <w:vAlign w:val="center"/>
          </w:tcPr>
          <w:p w14:paraId="3D968B3D">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vertAlign w:val="baseline"/>
                <w:lang w:val="en-US" w:eastAsia="zh-CN"/>
              </w:rPr>
            </w:pPr>
          </w:p>
          <w:p w14:paraId="06183E35">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vertAlign w:val="baseline"/>
                <w:lang w:val="en-US" w:eastAsia="zh-CN"/>
              </w:rPr>
            </w:pPr>
            <w:r>
              <w:rPr>
                <w:rFonts w:hint="default" w:ascii="Times New Roman" w:hAnsi="Times New Roman" w:eastAsia="方正仿宋_GBK" w:cs="Times New Roman"/>
                <w:color w:val="auto"/>
                <w:sz w:val="24"/>
                <w:szCs w:val="24"/>
                <w:highlight w:val="none"/>
                <w:u w:val="none"/>
                <w:vertAlign w:val="baseline"/>
                <w:lang w:val="en-US" w:eastAsia="zh-CN"/>
              </w:rPr>
              <w:t>慈善类项目</w:t>
            </w:r>
          </w:p>
        </w:tc>
      </w:tr>
      <w:tr w14:paraId="5D8C1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exact"/>
          <w:jc w:val="center"/>
        </w:trPr>
        <w:tc>
          <w:tcPr>
            <w:tcW w:w="1123" w:type="dxa"/>
            <w:noWrap w:val="0"/>
            <w:vAlign w:val="center"/>
          </w:tcPr>
          <w:p w14:paraId="2828B42C">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lang w:val="en-US" w:eastAsia="zh-CN"/>
              </w:rPr>
            </w:pPr>
            <w:r>
              <w:rPr>
                <w:rFonts w:hint="default" w:ascii="Times New Roman" w:hAnsi="Times New Roman" w:eastAsia="方正仿宋_GBK" w:cs="Times New Roman"/>
                <w:color w:val="auto"/>
                <w:sz w:val="24"/>
                <w:szCs w:val="24"/>
                <w:highlight w:val="none"/>
                <w:u w:val="none"/>
                <w:lang w:val="en-US" w:eastAsia="zh-CN"/>
              </w:rPr>
              <w:t>13</w:t>
            </w:r>
          </w:p>
        </w:tc>
        <w:tc>
          <w:tcPr>
            <w:tcW w:w="5956" w:type="dxa"/>
            <w:noWrap w:val="0"/>
            <w:vAlign w:val="center"/>
          </w:tcPr>
          <w:p w14:paraId="34F031D5">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仿宋_GBK" w:cs="Times New Roman"/>
                <w:sz w:val="21"/>
                <w:szCs w:val="21"/>
                <w:lang w:val="en" w:eastAsia="zh-CN"/>
              </w:rPr>
            </w:pPr>
            <w:r>
              <w:rPr>
                <w:rFonts w:hint="default" w:ascii="Times New Roman" w:hAnsi="Times New Roman" w:eastAsia="方正仿宋_GBK" w:cs="Times New Roman"/>
                <w:sz w:val="21"/>
                <w:szCs w:val="21"/>
                <w:lang w:val="en-US" w:eastAsia="zh-CN"/>
              </w:rPr>
              <w:t>西区</w:t>
            </w:r>
            <w:r>
              <w:rPr>
                <w:rFonts w:hint="default" w:ascii="Times New Roman" w:hAnsi="Times New Roman" w:eastAsia="方正仿宋_GBK" w:cs="Times New Roman"/>
                <w:sz w:val="21"/>
                <w:szCs w:val="21"/>
                <w:lang w:val="zh-CN" w:eastAsia="zh-CN"/>
              </w:rPr>
              <w:t>清香坪街道杨家坪社区</w:t>
            </w:r>
          </w:p>
        </w:tc>
        <w:tc>
          <w:tcPr>
            <w:tcW w:w="2122" w:type="dxa"/>
            <w:noWrap w:val="0"/>
            <w:vAlign w:val="center"/>
          </w:tcPr>
          <w:p w14:paraId="66861B93">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vertAlign w:val="baseline"/>
                <w:lang w:val="en-US" w:eastAsia="zh-CN"/>
              </w:rPr>
            </w:pPr>
          </w:p>
          <w:p w14:paraId="7BAC46C2">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vertAlign w:val="baseline"/>
                <w:lang w:val="en-US" w:eastAsia="zh-CN"/>
              </w:rPr>
            </w:pPr>
            <w:r>
              <w:rPr>
                <w:rFonts w:hint="default" w:ascii="Times New Roman" w:hAnsi="Times New Roman" w:eastAsia="方正仿宋_GBK" w:cs="Times New Roman"/>
                <w:color w:val="auto"/>
                <w:sz w:val="24"/>
                <w:szCs w:val="24"/>
                <w:highlight w:val="none"/>
                <w:u w:val="none"/>
                <w:vertAlign w:val="baseline"/>
                <w:lang w:val="en-US" w:eastAsia="zh-CN"/>
              </w:rPr>
              <w:t>慈善类项目</w:t>
            </w:r>
          </w:p>
        </w:tc>
      </w:tr>
      <w:tr w14:paraId="55AF7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jc w:val="center"/>
        </w:trPr>
        <w:tc>
          <w:tcPr>
            <w:tcW w:w="1123" w:type="dxa"/>
            <w:noWrap w:val="0"/>
            <w:vAlign w:val="center"/>
          </w:tcPr>
          <w:p w14:paraId="5C2C9678">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lang w:val="en-US" w:eastAsia="zh-CN"/>
              </w:rPr>
            </w:pPr>
            <w:r>
              <w:rPr>
                <w:rFonts w:hint="default" w:ascii="Times New Roman" w:hAnsi="Times New Roman" w:eastAsia="方正仿宋_GBK" w:cs="Times New Roman"/>
                <w:color w:val="auto"/>
                <w:sz w:val="24"/>
                <w:szCs w:val="24"/>
                <w:highlight w:val="none"/>
                <w:u w:val="none"/>
                <w:lang w:val="en-US" w:eastAsia="zh-CN"/>
              </w:rPr>
              <w:t>14</w:t>
            </w:r>
          </w:p>
        </w:tc>
        <w:tc>
          <w:tcPr>
            <w:tcW w:w="5956" w:type="dxa"/>
            <w:noWrap w:val="0"/>
            <w:vAlign w:val="center"/>
          </w:tcPr>
          <w:p w14:paraId="07CD8B00">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仿宋_GBK" w:cs="Times New Roman"/>
                <w:sz w:val="21"/>
                <w:szCs w:val="21"/>
                <w:lang w:val="en" w:eastAsia="zh-CN"/>
              </w:rPr>
            </w:pPr>
            <w:r>
              <w:rPr>
                <w:rFonts w:hint="default" w:ascii="Times New Roman" w:hAnsi="Times New Roman" w:eastAsia="方正仿宋_GBK" w:cs="Times New Roman"/>
                <w:sz w:val="21"/>
                <w:szCs w:val="21"/>
                <w:lang w:val="en-US" w:eastAsia="zh-CN"/>
              </w:rPr>
              <w:t>仁和区仁和镇</w:t>
            </w:r>
          </w:p>
        </w:tc>
        <w:tc>
          <w:tcPr>
            <w:tcW w:w="2122" w:type="dxa"/>
            <w:noWrap w:val="0"/>
            <w:vAlign w:val="center"/>
          </w:tcPr>
          <w:p w14:paraId="3A67AC28">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vertAlign w:val="baseline"/>
                <w:lang w:val="en-US" w:eastAsia="zh-CN"/>
              </w:rPr>
            </w:pPr>
          </w:p>
          <w:p w14:paraId="131AFD73">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vertAlign w:val="baseline"/>
                <w:lang w:val="en-US" w:eastAsia="zh-CN"/>
              </w:rPr>
            </w:pPr>
            <w:r>
              <w:rPr>
                <w:rFonts w:hint="default" w:ascii="Times New Roman" w:hAnsi="Times New Roman" w:eastAsia="方正仿宋_GBK" w:cs="Times New Roman"/>
                <w:color w:val="auto"/>
                <w:sz w:val="24"/>
                <w:szCs w:val="24"/>
                <w:highlight w:val="none"/>
                <w:u w:val="none"/>
                <w:vertAlign w:val="baseline"/>
                <w:lang w:val="en-US" w:eastAsia="zh-CN"/>
              </w:rPr>
              <w:t>慈善类项目</w:t>
            </w:r>
          </w:p>
        </w:tc>
      </w:tr>
      <w:tr w14:paraId="37AB2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exact"/>
          <w:jc w:val="center"/>
        </w:trPr>
        <w:tc>
          <w:tcPr>
            <w:tcW w:w="1123" w:type="dxa"/>
            <w:noWrap w:val="0"/>
            <w:vAlign w:val="center"/>
          </w:tcPr>
          <w:p w14:paraId="395444EF">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lang w:val="en-US" w:eastAsia="zh-CN"/>
              </w:rPr>
            </w:pPr>
            <w:r>
              <w:rPr>
                <w:rFonts w:hint="default" w:ascii="Times New Roman" w:hAnsi="Times New Roman" w:eastAsia="方正仿宋_GBK" w:cs="Times New Roman"/>
                <w:color w:val="auto"/>
                <w:sz w:val="24"/>
                <w:szCs w:val="24"/>
                <w:highlight w:val="none"/>
                <w:u w:val="none"/>
                <w:lang w:val="en-US" w:eastAsia="zh-CN"/>
              </w:rPr>
              <w:t>15</w:t>
            </w:r>
          </w:p>
        </w:tc>
        <w:tc>
          <w:tcPr>
            <w:tcW w:w="5956" w:type="dxa"/>
            <w:noWrap w:val="0"/>
            <w:vAlign w:val="center"/>
          </w:tcPr>
          <w:p w14:paraId="4F2954A4">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仿宋_GBK" w:cs="Times New Roman"/>
                <w:sz w:val="21"/>
                <w:szCs w:val="21"/>
                <w:lang w:val="en" w:eastAsia="zh-CN"/>
              </w:rPr>
            </w:pPr>
            <w:r>
              <w:rPr>
                <w:rFonts w:hint="default" w:ascii="Times New Roman" w:hAnsi="Times New Roman" w:eastAsia="方正仿宋_GBK" w:cs="Times New Roman"/>
                <w:sz w:val="21"/>
                <w:szCs w:val="21"/>
                <w:lang w:val="en-US" w:eastAsia="zh-CN"/>
              </w:rPr>
              <w:t>仁和区啊喇彝族乡</w:t>
            </w:r>
          </w:p>
        </w:tc>
        <w:tc>
          <w:tcPr>
            <w:tcW w:w="2122" w:type="dxa"/>
            <w:noWrap w:val="0"/>
            <w:vAlign w:val="center"/>
          </w:tcPr>
          <w:p w14:paraId="57D27618">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vertAlign w:val="baseline"/>
                <w:lang w:val="en-US" w:eastAsia="zh-CN"/>
              </w:rPr>
            </w:pPr>
          </w:p>
          <w:p w14:paraId="122906FD">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vertAlign w:val="baseline"/>
                <w:lang w:val="en-US" w:eastAsia="zh-CN"/>
              </w:rPr>
            </w:pPr>
            <w:r>
              <w:rPr>
                <w:rFonts w:hint="default" w:ascii="Times New Roman" w:hAnsi="Times New Roman" w:eastAsia="方正仿宋_GBK" w:cs="Times New Roman"/>
                <w:color w:val="auto"/>
                <w:sz w:val="24"/>
                <w:szCs w:val="24"/>
                <w:highlight w:val="none"/>
                <w:u w:val="none"/>
                <w:vertAlign w:val="baseline"/>
                <w:lang w:val="en-US" w:eastAsia="zh-CN"/>
              </w:rPr>
              <w:t>慈善类项目</w:t>
            </w:r>
          </w:p>
        </w:tc>
      </w:tr>
      <w:tr w14:paraId="603BD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exact"/>
          <w:jc w:val="center"/>
        </w:trPr>
        <w:tc>
          <w:tcPr>
            <w:tcW w:w="1123" w:type="dxa"/>
            <w:noWrap w:val="0"/>
            <w:vAlign w:val="center"/>
          </w:tcPr>
          <w:p w14:paraId="6E7B7BBF">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lang w:val="en-US" w:eastAsia="zh-CN"/>
              </w:rPr>
            </w:pPr>
            <w:r>
              <w:rPr>
                <w:rFonts w:hint="default" w:ascii="Times New Roman" w:hAnsi="Times New Roman" w:eastAsia="方正仿宋_GBK" w:cs="Times New Roman"/>
                <w:color w:val="auto"/>
                <w:sz w:val="24"/>
                <w:szCs w:val="24"/>
                <w:highlight w:val="none"/>
                <w:u w:val="none"/>
                <w:lang w:val="en-US" w:eastAsia="zh-CN"/>
              </w:rPr>
              <w:t>16</w:t>
            </w:r>
          </w:p>
        </w:tc>
        <w:tc>
          <w:tcPr>
            <w:tcW w:w="5956" w:type="dxa"/>
            <w:noWrap w:val="0"/>
            <w:vAlign w:val="center"/>
          </w:tcPr>
          <w:p w14:paraId="35F71FF3">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仿宋_GBK" w:cs="Times New Roman"/>
                <w:sz w:val="21"/>
                <w:szCs w:val="21"/>
                <w:lang w:val="en" w:eastAsia="zh-CN"/>
              </w:rPr>
            </w:pPr>
            <w:r>
              <w:rPr>
                <w:rFonts w:hint="default" w:ascii="Times New Roman" w:hAnsi="Times New Roman" w:eastAsia="方正仿宋_GBK" w:cs="Times New Roman"/>
                <w:sz w:val="21"/>
                <w:szCs w:val="21"/>
                <w:lang w:val="en-US" w:eastAsia="zh-CN"/>
              </w:rPr>
              <w:t>米易县县级公益慈善服务中心</w:t>
            </w:r>
          </w:p>
        </w:tc>
        <w:tc>
          <w:tcPr>
            <w:tcW w:w="2122" w:type="dxa"/>
            <w:noWrap w:val="0"/>
            <w:vAlign w:val="center"/>
          </w:tcPr>
          <w:p w14:paraId="6D1DA152">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vertAlign w:val="baseline"/>
                <w:lang w:val="en-US" w:eastAsia="zh-CN"/>
              </w:rPr>
            </w:pPr>
          </w:p>
          <w:p w14:paraId="6BC566B5">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vertAlign w:val="baseline"/>
                <w:lang w:val="en-US" w:eastAsia="zh-CN"/>
              </w:rPr>
            </w:pPr>
            <w:r>
              <w:rPr>
                <w:rFonts w:hint="default" w:ascii="Times New Roman" w:hAnsi="Times New Roman" w:eastAsia="方正仿宋_GBK" w:cs="Times New Roman"/>
                <w:color w:val="auto"/>
                <w:sz w:val="24"/>
                <w:szCs w:val="24"/>
                <w:highlight w:val="none"/>
                <w:u w:val="none"/>
                <w:vertAlign w:val="baseline"/>
                <w:lang w:val="en-US" w:eastAsia="zh-CN"/>
              </w:rPr>
              <w:t>慈善类项目</w:t>
            </w:r>
          </w:p>
        </w:tc>
      </w:tr>
      <w:tr w14:paraId="52D83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exact"/>
          <w:jc w:val="center"/>
        </w:trPr>
        <w:tc>
          <w:tcPr>
            <w:tcW w:w="1123" w:type="dxa"/>
            <w:noWrap w:val="0"/>
            <w:vAlign w:val="center"/>
          </w:tcPr>
          <w:p w14:paraId="3FAFB97A">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lang w:val="en-US" w:eastAsia="zh-CN"/>
              </w:rPr>
            </w:pPr>
            <w:r>
              <w:rPr>
                <w:rFonts w:hint="default" w:ascii="Times New Roman" w:hAnsi="Times New Roman" w:eastAsia="方正仿宋_GBK" w:cs="Times New Roman"/>
                <w:color w:val="auto"/>
                <w:sz w:val="24"/>
                <w:szCs w:val="24"/>
                <w:highlight w:val="none"/>
                <w:u w:val="none"/>
                <w:lang w:val="en-US" w:eastAsia="zh-CN"/>
              </w:rPr>
              <w:t>17</w:t>
            </w:r>
          </w:p>
        </w:tc>
        <w:tc>
          <w:tcPr>
            <w:tcW w:w="5956" w:type="dxa"/>
            <w:noWrap w:val="0"/>
            <w:vAlign w:val="center"/>
          </w:tcPr>
          <w:p w14:paraId="1633F755">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仿宋_GBK" w:cs="Times New Roman"/>
                <w:sz w:val="21"/>
                <w:szCs w:val="21"/>
                <w:lang w:val="en" w:eastAsia="zh-CN"/>
              </w:rPr>
            </w:pPr>
            <w:r>
              <w:rPr>
                <w:rFonts w:hint="default" w:ascii="Times New Roman" w:hAnsi="Times New Roman" w:eastAsia="方正仿宋_GBK" w:cs="Times New Roman"/>
                <w:sz w:val="21"/>
                <w:szCs w:val="21"/>
                <w:lang w:val="en-US" w:eastAsia="zh-CN"/>
              </w:rPr>
              <w:t>米易县攀莲镇（儿童主题公园）</w:t>
            </w:r>
          </w:p>
        </w:tc>
        <w:tc>
          <w:tcPr>
            <w:tcW w:w="2122" w:type="dxa"/>
            <w:noWrap w:val="0"/>
            <w:vAlign w:val="center"/>
          </w:tcPr>
          <w:p w14:paraId="3A5B647F">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vertAlign w:val="baseline"/>
                <w:lang w:val="en-US" w:eastAsia="zh-CN"/>
              </w:rPr>
            </w:pPr>
          </w:p>
          <w:p w14:paraId="5B4594D2">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vertAlign w:val="baseline"/>
                <w:lang w:val="en-US" w:eastAsia="zh-CN"/>
              </w:rPr>
            </w:pPr>
            <w:r>
              <w:rPr>
                <w:rFonts w:hint="default" w:ascii="Times New Roman" w:hAnsi="Times New Roman" w:eastAsia="方正仿宋_GBK" w:cs="Times New Roman"/>
                <w:color w:val="auto"/>
                <w:sz w:val="24"/>
                <w:szCs w:val="24"/>
                <w:highlight w:val="none"/>
                <w:u w:val="none"/>
                <w:vertAlign w:val="baseline"/>
                <w:lang w:val="en-US" w:eastAsia="zh-CN"/>
              </w:rPr>
              <w:t>慈善类项目</w:t>
            </w:r>
          </w:p>
        </w:tc>
      </w:tr>
      <w:tr w14:paraId="1F4E4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exact"/>
          <w:jc w:val="center"/>
        </w:trPr>
        <w:tc>
          <w:tcPr>
            <w:tcW w:w="1123" w:type="dxa"/>
            <w:noWrap w:val="0"/>
            <w:vAlign w:val="center"/>
          </w:tcPr>
          <w:p w14:paraId="770ADA86">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lang w:val="en-US" w:eastAsia="zh-CN"/>
              </w:rPr>
            </w:pPr>
            <w:r>
              <w:rPr>
                <w:rFonts w:hint="default" w:ascii="Times New Roman" w:hAnsi="Times New Roman" w:eastAsia="方正仿宋_GBK" w:cs="Times New Roman"/>
                <w:color w:val="auto"/>
                <w:sz w:val="24"/>
                <w:szCs w:val="24"/>
                <w:highlight w:val="none"/>
                <w:u w:val="none"/>
                <w:lang w:val="en-US" w:eastAsia="zh-CN"/>
              </w:rPr>
              <w:t>18</w:t>
            </w:r>
          </w:p>
        </w:tc>
        <w:tc>
          <w:tcPr>
            <w:tcW w:w="5956" w:type="dxa"/>
            <w:noWrap w:val="0"/>
            <w:vAlign w:val="center"/>
          </w:tcPr>
          <w:p w14:paraId="7887C093">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仿宋_GBK" w:cs="Times New Roman"/>
                <w:sz w:val="21"/>
                <w:szCs w:val="21"/>
                <w:lang w:val="en" w:eastAsia="zh-CN"/>
              </w:rPr>
            </w:pPr>
            <w:r>
              <w:rPr>
                <w:rFonts w:hint="default" w:ascii="Times New Roman" w:hAnsi="Times New Roman" w:eastAsia="方正仿宋_GBK" w:cs="Times New Roman"/>
                <w:sz w:val="21"/>
                <w:szCs w:val="21"/>
                <w:lang w:val="en-US" w:eastAsia="zh-CN"/>
              </w:rPr>
              <w:t>盐边县桐子林镇清源社区</w:t>
            </w:r>
          </w:p>
        </w:tc>
        <w:tc>
          <w:tcPr>
            <w:tcW w:w="2122" w:type="dxa"/>
            <w:noWrap w:val="0"/>
            <w:vAlign w:val="center"/>
          </w:tcPr>
          <w:p w14:paraId="3F26F850">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vertAlign w:val="baseline"/>
                <w:lang w:val="en-US" w:eastAsia="zh-CN"/>
              </w:rPr>
            </w:pPr>
          </w:p>
          <w:p w14:paraId="6E8B2192">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仿宋_GBK" w:cs="Times New Roman"/>
                <w:color w:val="auto"/>
                <w:sz w:val="24"/>
                <w:szCs w:val="24"/>
                <w:highlight w:val="none"/>
                <w:u w:val="none"/>
                <w:vertAlign w:val="baseline"/>
                <w:lang w:val="en-US" w:eastAsia="zh-CN"/>
              </w:rPr>
            </w:pPr>
            <w:r>
              <w:rPr>
                <w:rFonts w:hint="default" w:ascii="Times New Roman" w:hAnsi="Times New Roman" w:eastAsia="方正仿宋_GBK" w:cs="Times New Roman"/>
                <w:color w:val="auto"/>
                <w:sz w:val="24"/>
                <w:szCs w:val="24"/>
                <w:highlight w:val="none"/>
                <w:u w:val="none"/>
                <w:vertAlign w:val="baseline"/>
                <w:lang w:val="en-US" w:eastAsia="zh-CN"/>
              </w:rPr>
              <w:t>慈善类项目</w:t>
            </w:r>
          </w:p>
        </w:tc>
      </w:tr>
    </w:tbl>
    <w:p w14:paraId="303492E5">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仿宋_GBK" w:cs="Times New Roman"/>
          <w:b w:val="0"/>
          <w:bCs w:val="0"/>
          <w:color w:val="auto"/>
          <w:sz w:val="21"/>
          <w:szCs w:val="21"/>
          <w:highlight w:val="none"/>
          <w:u w:val="none"/>
          <w:vertAlign w:val="baseline"/>
          <w:lang w:val="en-US" w:eastAsia="zh-CN"/>
        </w:rPr>
      </w:pPr>
      <w:r>
        <w:rPr>
          <w:rFonts w:hint="default" w:ascii="Times New Roman" w:hAnsi="Times New Roman" w:eastAsia="方正仿宋_GBK" w:cs="Times New Roman"/>
          <w:b w:val="0"/>
          <w:bCs w:val="0"/>
          <w:color w:val="auto"/>
          <w:sz w:val="21"/>
          <w:szCs w:val="21"/>
          <w:highlight w:val="none"/>
          <w:u w:val="none"/>
          <w:vertAlign w:val="baseline"/>
          <w:lang w:val="en-US" w:eastAsia="zh-CN"/>
        </w:rPr>
        <w:t>备注：项目实地踏勘点位包括市（州）本级、县（市、区）本级及有关项目、单位、公司等。</w:t>
      </w:r>
    </w:p>
    <w:p w14:paraId="7BA0DBFD">
      <w:pPr>
        <w:keepNext w:val="0"/>
        <w:keepLines w:val="0"/>
        <w:pageBreakBefore w:val="0"/>
        <w:kinsoku/>
        <w:wordWrap/>
        <w:overflowPunct/>
        <w:topLinePunct w:val="0"/>
        <w:autoSpaceDE/>
        <w:bidi w:val="0"/>
        <w:snapToGrid w:val="0"/>
        <w:spacing w:line="560" w:lineRule="exact"/>
        <w:rPr>
          <w:rFonts w:hint="default" w:ascii="Times New Roman" w:hAnsi="Times New Roman" w:eastAsia="黑体" w:cs="Times New Roman"/>
          <w:kern w:val="0"/>
          <w:shd w:val="clear" w:color="auto" w:fill="FFFFFF"/>
          <w:lang w:val="en-US" w:eastAsia="zh-CN"/>
        </w:rPr>
      </w:pPr>
      <w:r>
        <w:rPr>
          <w:rFonts w:hint="default" w:ascii="Times New Roman" w:hAnsi="Times New Roman" w:eastAsia="黑体" w:cs="Times New Roman"/>
          <w:kern w:val="0"/>
          <w:shd w:val="clear" w:color="auto" w:fill="FFFFFF"/>
          <w:lang w:val="zh-CN" w:eastAsia="zh-CN"/>
        </w:rPr>
        <w:t>附表</w:t>
      </w:r>
      <w:r>
        <w:rPr>
          <w:rFonts w:hint="default" w:ascii="Times New Roman" w:hAnsi="Times New Roman" w:eastAsia="黑体" w:cs="Times New Roman"/>
          <w:kern w:val="0"/>
          <w:shd w:val="clear" w:color="auto" w:fill="FFFFFF"/>
        </w:rPr>
        <w:t>3</w:t>
      </w:r>
      <w:r>
        <w:rPr>
          <w:rFonts w:hint="default" w:ascii="Times New Roman" w:hAnsi="Times New Roman" w:eastAsia="黑体" w:cs="Times New Roman"/>
          <w:kern w:val="0"/>
          <w:shd w:val="clear" w:color="auto" w:fill="FFFFFF"/>
          <w:lang w:val="en-US" w:eastAsia="zh-CN"/>
        </w:rPr>
        <w:t>-1</w:t>
      </w:r>
    </w:p>
    <w:tbl>
      <w:tblPr>
        <w:tblStyle w:val="17"/>
        <w:tblW w:w="11015" w:type="dxa"/>
        <w:jc w:val="center"/>
        <w:tblLayout w:type="fixed"/>
        <w:tblCellMar>
          <w:top w:w="15" w:type="dxa"/>
          <w:left w:w="15" w:type="dxa"/>
          <w:bottom w:w="15" w:type="dxa"/>
          <w:right w:w="15" w:type="dxa"/>
        </w:tblCellMar>
      </w:tblPr>
      <w:tblGrid>
        <w:gridCol w:w="652"/>
        <w:gridCol w:w="1081"/>
        <w:gridCol w:w="1247"/>
        <w:gridCol w:w="1416"/>
        <w:gridCol w:w="1273"/>
        <w:gridCol w:w="1227"/>
        <w:gridCol w:w="812"/>
        <w:gridCol w:w="682"/>
        <w:gridCol w:w="2626"/>
      </w:tblGrid>
      <w:tr w14:paraId="7AD55E11">
        <w:tblPrEx>
          <w:tblCellMar>
            <w:top w:w="15" w:type="dxa"/>
            <w:left w:w="15" w:type="dxa"/>
            <w:bottom w:w="15" w:type="dxa"/>
            <w:right w:w="15" w:type="dxa"/>
          </w:tblCellMar>
        </w:tblPrEx>
        <w:trPr>
          <w:trHeight w:val="576" w:hRule="atLeast"/>
          <w:jc w:val="center"/>
        </w:trPr>
        <w:tc>
          <w:tcPr>
            <w:tcW w:w="11016" w:type="dxa"/>
            <w:gridSpan w:val="9"/>
            <w:tcBorders>
              <w:top w:val="nil"/>
              <w:left w:val="nil"/>
              <w:bottom w:val="nil"/>
              <w:right w:val="nil"/>
            </w:tcBorders>
            <w:noWrap w:val="0"/>
            <w:vAlign w:val="center"/>
          </w:tcPr>
          <w:p w14:paraId="46849297">
            <w:pPr>
              <w:keepNext w:val="0"/>
              <w:keepLines w:val="0"/>
              <w:pageBreakBefore w:val="0"/>
              <w:widowControl/>
              <w:kinsoku/>
              <w:wordWrap/>
              <w:overflowPunct/>
              <w:topLinePunct w:val="0"/>
              <w:autoSpaceDE/>
              <w:bidi w:val="0"/>
              <w:spacing w:line="560" w:lineRule="exact"/>
              <w:jc w:val="center"/>
              <w:textAlignment w:val="center"/>
              <w:rPr>
                <w:rFonts w:hint="default" w:ascii="Times New Roman" w:hAnsi="Times New Roman" w:eastAsia="黑体" w:cs="Times New Roman"/>
                <w:color w:val="000000"/>
                <w:sz w:val="30"/>
                <w:szCs w:val="30"/>
              </w:rPr>
            </w:pPr>
            <w:r>
              <w:rPr>
                <w:rFonts w:hint="default" w:ascii="Times New Roman" w:hAnsi="Times New Roman" w:eastAsia="方正小标宋简体" w:cs="Times New Roman"/>
                <w:color w:val="000000"/>
                <w:kern w:val="0"/>
                <w:sz w:val="40"/>
                <w:szCs w:val="40"/>
                <w:lang w:bidi="ar"/>
              </w:rPr>
              <w:t>专项预算项目绩效目标完成情况自评表</w:t>
            </w:r>
          </w:p>
        </w:tc>
      </w:tr>
      <w:tr w14:paraId="7D4104E8">
        <w:tblPrEx>
          <w:tblCellMar>
            <w:top w:w="15" w:type="dxa"/>
            <w:left w:w="15" w:type="dxa"/>
            <w:bottom w:w="15" w:type="dxa"/>
            <w:right w:w="15" w:type="dxa"/>
          </w:tblCellMar>
        </w:tblPrEx>
        <w:trPr>
          <w:trHeight w:val="292" w:hRule="atLeast"/>
          <w:jc w:val="center"/>
        </w:trPr>
        <w:tc>
          <w:tcPr>
            <w:tcW w:w="4396" w:type="dxa"/>
            <w:gridSpan w:val="4"/>
            <w:tcBorders>
              <w:top w:val="single" w:color="000000" w:sz="4" w:space="0"/>
              <w:left w:val="single" w:color="000000" w:sz="4" w:space="0"/>
              <w:bottom w:val="single" w:color="000000" w:sz="4" w:space="0"/>
              <w:right w:val="single" w:color="000000" w:sz="4" w:space="0"/>
            </w:tcBorders>
            <w:noWrap w:val="0"/>
            <w:vAlign w:val="center"/>
          </w:tcPr>
          <w:p w14:paraId="48AEE8F3">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项目名称</w:t>
            </w:r>
          </w:p>
        </w:tc>
        <w:tc>
          <w:tcPr>
            <w:tcW w:w="6620" w:type="dxa"/>
            <w:gridSpan w:val="5"/>
            <w:tcBorders>
              <w:top w:val="single" w:color="000000" w:sz="4" w:space="0"/>
              <w:left w:val="single" w:color="000000" w:sz="4" w:space="0"/>
              <w:bottom w:val="single" w:color="000000" w:sz="4" w:space="0"/>
              <w:right w:val="single" w:color="000000" w:sz="4" w:space="0"/>
            </w:tcBorders>
            <w:noWrap w:val="0"/>
            <w:vAlign w:val="center"/>
          </w:tcPr>
          <w:p w14:paraId="4F8A94A2">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精神障碍社区康复服务</w:t>
            </w:r>
          </w:p>
        </w:tc>
      </w:tr>
      <w:tr w14:paraId="0C07A7B9">
        <w:tblPrEx>
          <w:tblCellMar>
            <w:top w:w="15" w:type="dxa"/>
            <w:left w:w="15" w:type="dxa"/>
            <w:bottom w:w="15" w:type="dxa"/>
            <w:right w:w="15" w:type="dxa"/>
          </w:tblCellMar>
        </w:tblPrEx>
        <w:trPr>
          <w:trHeight w:val="280" w:hRule="atLeast"/>
          <w:jc w:val="center"/>
        </w:trPr>
        <w:tc>
          <w:tcPr>
            <w:tcW w:w="4396" w:type="dxa"/>
            <w:gridSpan w:val="4"/>
            <w:tcBorders>
              <w:top w:val="single" w:color="000000" w:sz="4" w:space="0"/>
              <w:left w:val="single" w:color="000000" w:sz="4" w:space="0"/>
              <w:bottom w:val="single" w:color="000000" w:sz="4" w:space="0"/>
              <w:right w:val="single" w:color="000000" w:sz="4" w:space="0"/>
            </w:tcBorders>
            <w:noWrap w:val="0"/>
            <w:vAlign w:val="center"/>
          </w:tcPr>
          <w:p w14:paraId="140B71A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预算单位</w:t>
            </w:r>
          </w:p>
        </w:tc>
        <w:tc>
          <w:tcPr>
            <w:tcW w:w="6620" w:type="dxa"/>
            <w:gridSpan w:val="5"/>
            <w:tcBorders>
              <w:top w:val="single" w:color="000000" w:sz="4" w:space="0"/>
              <w:left w:val="single" w:color="000000" w:sz="4" w:space="0"/>
              <w:bottom w:val="single" w:color="000000" w:sz="4" w:space="0"/>
              <w:right w:val="single" w:color="000000" w:sz="4" w:space="0"/>
            </w:tcBorders>
            <w:noWrap w:val="0"/>
            <w:vAlign w:val="center"/>
          </w:tcPr>
          <w:p w14:paraId="3FED5503">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攀枝花市民政局</w:t>
            </w:r>
          </w:p>
        </w:tc>
      </w:tr>
      <w:tr w14:paraId="702D7D18">
        <w:tblPrEx>
          <w:tblCellMar>
            <w:top w:w="15" w:type="dxa"/>
            <w:left w:w="15" w:type="dxa"/>
            <w:bottom w:w="15" w:type="dxa"/>
            <w:right w:w="15" w:type="dxa"/>
          </w:tblCellMar>
        </w:tblPrEx>
        <w:trPr>
          <w:trHeight w:val="330" w:hRule="atLeast"/>
          <w:jc w:val="center"/>
        </w:trPr>
        <w:tc>
          <w:tcPr>
            <w:tcW w:w="4396" w:type="dxa"/>
            <w:gridSpan w:val="4"/>
            <w:tcBorders>
              <w:top w:val="single" w:color="000000" w:sz="4" w:space="0"/>
              <w:left w:val="single" w:color="000000" w:sz="4" w:space="0"/>
              <w:bottom w:val="single" w:color="000000" w:sz="4" w:space="0"/>
              <w:right w:val="single" w:color="000000" w:sz="4" w:space="0"/>
            </w:tcBorders>
            <w:noWrap w:val="0"/>
            <w:vAlign w:val="center"/>
          </w:tcPr>
          <w:p w14:paraId="70CDD400">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项目类型</w:t>
            </w:r>
          </w:p>
        </w:tc>
        <w:tc>
          <w:tcPr>
            <w:tcW w:w="6620" w:type="dxa"/>
            <w:gridSpan w:val="5"/>
            <w:tcBorders>
              <w:top w:val="single" w:color="000000" w:sz="4" w:space="0"/>
              <w:left w:val="single" w:color="000000" w:sz="4" w:space="0"/>
              <w:bottom w:val="single" w:color="000000" w:sz="4" w:space="0"/>
              <w:right w:val="single" w:color="000000" w:sz="4" w:space="0"/>
            </w:tcBorders>
            <w:noWrap w:val="0"/>
            <w:vAlign w:val="center"/>
          </w:tcPr>
          <w:p w14:paraId="2A620CE1">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民政事业补助资金</w:t>
            </w:r>
          </w:p>
        </w:tc>
      </w:tr>
      <w:tr w14:paraId="643A77E1">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FC6CABA">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项目 概况</w:t>
            </w:r>
          </w:p>
        </w:tc>
        <w:tc>
          <w:tcPr>
            <w:tcW w:w="3744" w:type="dxa"/>
            <w:gridSpan w:val="3"/>
            <w:tcBorders>
              <w:top w:val="single" w:color="000000" w:sz="4" w:space="0"/>
              <w:left w:val="single" w:color="000000" w:sz="4" w:space="0"/>
              <w:bottom w:val="single" w:color="000000" w:sz="4" w:space="0"/>
              <w:right w:val="single" w:color="000000" w:sz="4" w:space="0"/>
            </w:tcBorders>
            <w:noWrap w:val="0"/>
            <w:vAlign w:val="center"/>
          </w:tcPr>
          <w:p w14:paraId="0D8C53C5">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中长期规划（名称、文号，仅指</w:t>
            </w:r>
          </w:p>
          <w:p w14:paraId="6B4B74D2">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常年项目）</w:t>
            </w:r>
          </w:p>
        </w:tc>
        <w:tc>
          <w:tcPr>
            <w:tcW w:w="6620" w:type="dxa"/>
            <w:gridSpan w:val="5"/>
            <w:tcBorders>
              <w:top w:val="single" w:color="000000" w:sz="4" w:space="0"/>
              <w:left w:val="single" w:color="000000" w:sz="4" w:space="0"/>
              <w:bottom w:val="single" w:color="000000" w:sz="4" w:space="0"/>
              <w:right w:val="single" w:color="000000" w:sz="4" w:space="0"/>
            </w:tcBorders>
            <w:noWrap w:val="0"/>
            <w:vAlign w:val="center"/>
          </w:tcPr>
          <w:p w14:paraId="26BBDBA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四川省民政厅  四川省财政厅  四川省卫生计生委 四川省残疾人联合会《关于加快精神障碍社区康复服务发展的实施意见》（川民发〔2018〕71号）</w:t>
            </w:r>
          </w:p>
          <w:p w14:paraId="3DCF75A4">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p>
        </w:tc>
      </w:tr>
      <w:tr w14:paraId="424CD44B">
        <w:tblPrEx>
          <w:tblCellMar>
            <w:top w:w="15" w:type="dxa"/>
            <w:left w:w="15" w:type="dxa"/>
            <w:bottom w:w="15" w:type="dxa"/>
            <w:right w:w="15" w:type="dxa"/>
          </w:tblCellMar>
        </w:tblPrEx>
        <w:trPr>
          <w:trHeight w:val="63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9D2021">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p>
        </w:tc>
        <w:tc>
          <w:tcPr>
            <w:tcW w:w="3744" w:type="dxa"/>
            <w:gridSpan w:val="3"/>
            <w:tcBorders>
              <w:top w:val="single" w:color="000000" w:sz="4" w:space="0"/>
              <w:left w:val="single" w:color="000000" w:sz="4" w:space="0"/>
              <w:bottom w:val="single" w:color="000000" w:sz="4" w:space="0"/>
              <w:right w:val="single" w:color="000000" w:sz="4" w:space="0"/>
            </w:tcBorders>
            <w:noWrap w:val="0"/>
            <w:vAlign w:val="center"/>
          </w:tcPr>
          <w:p w14:paraId="06F3EBB0">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资金管理办法（名称、文号）</w:t>
            </w:r>
          </w:p>
        </w:tc>
        <w:tc>
          <w:tcPr>
            <w:tcW w:w="6620" w:type="dxa"/>
            <w:gridSpan w:val="5"/>
            <w:tcBorders>
              <w:top w:val="single" w:color="000000" w:sz="4" w:space="0"/>
              <w:left w:val="single" w:color="000000" w:sz="4" w:space="0"/>
              <w:bottom w:val="single" w:color="000000" w:sz="4" w:space="0"/>
              <w:right w:val="single" w:color="000000" w:sz="4" w:space="0"/>
            </w:tcBorders>
            <w:noWrap w:val="0"/>
            <w:vAlign w:val="center"/>
          </w:tcPr>
          <w:p w14:paraId="04FC8C5F">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四川省财政厅 四川省民政厅关于下达2025年中央和省级财政民政相关补助资金的通知（川财社〔2025〕60号）</w:t>
            </w:r>
          </w:p>
        </w:tc>
      </w:tr>
      <w:tr w14:paraId="4B0BFC4F">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4F89A0">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p>
        </w:tc>
        <w:tc>
          <w:tcPr>
            <w:tcW w:w="3744" w:type="dxa"/>
            <w:gridSpan w:val="3"/>
            <w:tcBorders>
              <w:top w:val="single" w:color="000000" w:sz="4" w:space="0"/>
              <w:left w:val="single" w:color="000000" w:sz="4" w:space="0"/>
              <w:bottom w:val="single" w:color="000000" w:sz="4" w:space="0"/>
              <w:right w:val="single" w:color="000000" w:sz="4" w:space="0"/>
            </w:tcBorders>
            <w:noWrap w:val="0"/>
            <w:vAlign w:val="center"/>
          </w:tcPr>
          <w:p w14:paraId="5E1413E7">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绩效分配方式</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05FFE10">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sym w:font="Wingdings 2" w:char="0052"/>
            </w:r>
            <w:r>
              <w:rPr>
                <w:rFonts w:hint="default" w:ascii="Times New Roman" w:hAnsi="Times New Roman" w:eastAsia="方正仿宋_GBK" w:cs="Times New Roman"/>
                <w:color w:val="000000"/>
                <w:kern w:val="0"/>
                <w:sz w:val="21"/>
                <w:szCs w:val="21"/>
                <w:lang w:bidi="ar"/>
              </w:rPr>
              <w:t>因素法</w:t>
            </w:r>
          </w:p>
        </w:tc>
        <w:tc>
          <w:tcPr>
            <w:tcW w:w="2039" w:type="dxa"/>
            <w:gridSpan w:val="2"/>
            <w:tcBorders>
              <w:top w:val="single" w:color="000000" w:sz="4" w:space="0"/>
              <w:left w:val="single" w:color="000000" w:sz="4" w:space="0"/>
              <w:bottom w:val="single" w:color="000000" w:sz="4" w:space="0"/>
              <w:right w:val="single" w:color="000000" w:sz="4" w:space="0"/>
            </w:tcBorders>
            <w:noWrap w:val="0"/>
            <w:vAlign w:val="center"/>
          </w:tcPr>
          <w:p w14:paraId="19438164">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£项目法</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604DE67F">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£据实据效</w:t>
            </w:r>
          </w:p>
        </w:tc>
        <w:tc>
          <w:tcPr>
            <w:tcW w:w="2626" w:type="dxa"/>
            <w:tcBorders>
              <w:top w:val="single" w:color="000000" w:sz="4" w:space="0"/>
              <w:left w:val="single" w:color="000000" w:sz="4" w:space="0"/>
              <w:bottom w:val="single" w:color="000000" w:sz="4" w:space="0"/>
              <w:right w:val="single" w:color="000000" w:sz="4" w:space="0"/>
            </w:tcBorders>
            <w:noWrap w:val="0"/>
            <w:vAlign w:val="center"/>
          </w:tcPr>
          <w:p w14:paraId="1B96AF85">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£因素法与项目法相结合</w:t>
            </w:r>
          </w:p>
        </w:tc>
      </w:tr>
      <w:tr w14:paraId="3B44812A">
        <w:tblPrEx>
          <w:tblCellMar>
            <w:top w:w="15" w:type="dxa"/>
            <w:left w:w="15" w:type="dxa"/>
            <w:bottom w:w="15" w:type="dxa"/>
            <w:right w:w="15" w:type="dxa"/>
          </w:tblCellMar>
        </w:tblPrEx>
        <w:trPr>
          <w:trHeight w:val="154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17D8CB">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p>
        </w:tc>
        <w:tc>
          <w:tcPr>
            <w:tcW w:w="3744" w:type="dxa"/>
            <w:gridSpan w:val="3"/>
            <w:tcBorders>
              <w:top w:val="single" w:color="000000" w:sz="4" w:space="0"/>
              <w:left w:val="single" w:color="000000" w:sz="4" w:space="0"/>
              <w:bottom w:val="single" w:color="000000" w:sz="4" w:space="0"/>
              <w:right w:val="single" w:color="000000" w:sz="4" w:space="0"/>
            </w:tcBorders>
            <w:noWrap w:val="0"/>
            <w:vAlign w:val="center"/>
          </w:tcPr>
          <w:p w14:paraId="6C8B3A8A">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立项依据</w:t>
            </w:r>
          </w:p>
        </w:tc>
        <w:tc>
          <w:tcPr>
            <w:tcW w:w="6620" w:type="dxa"/>
            <w:gridSpan w:val="5"/>
            <w:tcBorders>
              <w:top w:val="single" w:color="000000" w:sz="4" w:space="0"/>
              <w:left w:val="single" w:color="000000" w:sz="4" w:space="0"/>
              <w:bottom w:val="single" w:color="000000" w:sz="4" w:space="0"/>
              <w:right w:val="single" w:color="000000" w:sz="4" w:space="0"/>
            </w:tcBorders>
            <w:noWrap w:val="0"/>
            <w:vAlign w:val="center"/>
          </w:tcPr>
          <w:p w14:paraId="2A9C5D25">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四川省民政厅  四川省财政厅  四川省卫生计生委 四川省残疾人联合会《关于加快精神障碍社区康复服务发展的实施意见》（川民发〔2018〕71号）</w:t>
            </w:r>
          </w:p>
          <w:p w14:paraId="35E9E5E2">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四川省民政厅 四川省财政厅 四川省卫生健康委 四川省残疾人联合会关于印发《四川省“精康融合行动”实施方案（20</w:t>
            </w:r>
            <w:r>
              <w:rPr>
                <w:rFonts w:hint="default" w:ascii="Times New Roman" w:hAnsi="Times New Roman" w:eastAsia="方正仿宋_GBK" w:cs="Times New Roman"/>
                <w:color w:val="000000"/>
                <w:kern w:val="0"/>
                <w:sz w:val="21"/>
                <w:szCs w:val="21"/>
                <w:lang w:val="en-US" w:eastAsia="zh-CN" w:bidi="ar"/>
              </w:rPr>
              <w:t>23-2025</w:t>
            </w:r>
            <w:r>
              <w:rPr>
                <w:rFonts w:hint="default" w:ascii="Times New Roman" w:hAnsi="Times New Roman" w:eastAsia="方正仿宋_GBK" w:cs="Times New Roman"/>
                <w:color w:val="000000"/>
                <w:kern w:val="0"/>
                <w:sz w:val="21"/>
                <w:szCs w:val="21"/>
                <w:lang w:bidi="ar"/>
              </w:rPr>
              <w:t>年）》的通知（川民规〔20</w:t>
            </w:r>
            <w:r>
              <w:rPr>
                <w:rFonts w:hint="default" w:ascii="Times New Roman" w:hAnsi="Times New Roman" w:eastAsia="方正仿宋_GBK" w:cs="Times New Roman"/>
                <w:color w:val="000000"/>
                <w:kern w:val="0"/>
                <w:sz w:val="21"/>
                <w:szCs w:val="21"/>
                <w:lang w:val="en-US" w:eastAsia="zh-CN" w:bidi="ar"/>
              </w:rPr>
              <w:t>23</w:t>
            </w:r>
            <w:r>
              <w:rPr>
                <w:rFonts w:hint="default" w:ascii="Times New Roman" w:hAnsi="Times New Roman" w:eastAsia="方正仿宋_GBK" w:cs="Times New Roman"/>
                <w:color w:val="000000"/>
                <w:kern w:val="0"/>
                <w:sz w:val="21"/>
                <w:szCs w:val="21"/>
                <w:lang w:bidi="ar"/>
              </w:rPr>
              <w:t>〕</w:t>
            </w:r>
            <w:r>
              <w:rPr>
                <w:rFonts w:hint="default" w:ascii="Times New Roman" w:hAnsi="Times New Roman" w:eastAsia="方正仿宋_GBK" w:cs="Times New Roman"/>
                <w:color w:val="000000"/>
                <w:kern w:val="0"/>
                <w:sz w:val="21"/>
                <w:szCs w:val="21"/>
                <w:lang w:val="en-US" w:eastAsia="zh-CN" w:bidi="ar"/>
              </w:rPr>
              <w:t>4</w:t>
            </w:r>
            <w:r>
              <w:rPr>
                <w:rFonts w:hint="default" w:ascii="Times New Roman" w:hAnsi="Times New Roman" w:eastAsia="方正仿宋_GBK" w:cs="Times New Roman"/>
                <w:color w:val="000000"/>
                <w:kern w:val="0"/>
                <w:sz w:val="21"/>
                <w:szCs w:val="21"/>
                <w:lang w:bidi="ar"/>
              </w:rPr>
              <w:t>号）</w:t>
            </w:r>
          </w:p>
        </w:tc>
      </w:tr>
      <w:tr w14:paraId="44757E23">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A26464">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p>
        </w:tc>
        <w:tc>
          <w:tcPr>
            <w:tcW w:w="3744" w:type="dxa"/>
            <w:gridSpan w:val="3"/>
            <w:tcBorders>
              <w:top w:val="single" w:color="000000" w:sz="4" w:space="0"/>
              <w:left w:val="single" w:color="000000" w:sz="4" w:space="0"/>
              <w:bottom w:val="single" w:color="000000" w:sz="4" w:space="0"/>
              <w:right w:val="single" w:color="000000" w:sz="4" w:space="0"/>
            </w:tcBorders>
            <w:noWrap w:val="0"/>
            <w:vAlign w:val="center"/>
          </w:tcPr>
          <w:p w14:paraId="79D52905">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使用范围</w:t>
            </w:r>
          </w:p>
        </w:tc>
        <w:tc>
          <w:tcPr>
            <w:tcW w:w="6620" w:type="dxa"/>
            <w:gridSpan w:val="5"/>
            <w:tcBorders>
              <w:top w:val="single" w:color="000000" w:sz="4" w:space="0"/>
              <w:left w:val="single" w:color="000000" w:sz="4" w:space="0"/>
              <w:bottom w:val="single" w:color="000000" w:sz="4" w:space="0"/>
              <w:right w:val="single" w:color="000000" w:sz="4" w:space="0"/>
            </w:tcBorders>
            <w:noWrap w:val="0"/>
            <w:vAlign w:val="center"/>
          </w:tcPr>
          <w:p w14:paraId="204986B3">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提供康复训练服务，帮助精神障碍人员回归家庭、回归社会。</w:t>
            </w:r>
          </w:p>
        </w:tc>
      </w:tr>
      <w:tr w14:paraId="153AE8AA">
        <w:tblPrEx>
          <w:tblCellMar>
            <w:top w:w="15" w:type="dxa"/>
            <w:left w:w="15" w:type="dxa"/>
            <w:bottom w:w="15" w:type="dxa"/>
            <w:right w:w="15" w:type="dxa"/>
          </w:tblCellMar>
        </w:tblPrEx>
        <w:trPr>
          <w:trHeight w:val="29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317417">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p>
        </w:tc>
        <w:tc>
          <w:tcPr>
            <w:tcW w:w="3744" w:type="dxa"/>
            <w:gridSpan w:val="3"/>
            <w:tcBorders>
              <w:top w:val="single" w:color="000000" w:sz="4" w:space="0"/>
              <w:left w:val="single" w:color="000000" w:sz="4" w:space="0"/>
              <w:bottom w:val="single" w:color="000000" w:sz="4" w:space="0"/>
              <w:right w:val="single" w:color="000000" w:sz="4" w:space="0"/>
            </w:tcBorders>
            <w:noWrap w:val="0"/>
            <w:vAlign w:val="center"/>
          </w:tcPr>
          <w:p w14:paraId="0D12B07D">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申报（补助）条件</w:t>
            </w:r>
          </w:p>
        </w:tc>
        <w:tc>
          <w:tcPr>
            <w:tcW w:w="6620" w:type="dxa"/>
            <w:gridSpan w:val="5"/>
            <w:tcBorders>
              <w:top w:val="single" w:color="000000" w:sz="4" w:space="0"/>
              <w:left w:val="single" w:color="000000" w:sz="4" w:space="0"/>
              <w:bottom w:val="single" w:color="000000" w:sz="4" w:space="0"/>
              <w:right w:val="single" w:color="000000" w:sz="4" w:space="0"/>
            </w:tcBorders>
            <w:noWrap w:val="0"/>
            <w:vAlign w:val="center"/>
          </w:tcPr>
          <w:p w14:paraId="113FAC37">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p>
        </w:tc>
      </w:tr>
      <w:tr w14:paraId="05807FD1">
        <w:tblPrEx>
          <w:tblCellMar>
            <w:top w:w="15" w:type="dxa"/>
            <w:left w:w="15" w:type="dxa"/>
            <w:bottom w:w="15" w:type="dxa"/>
            <w:right w:w="15" w:type="dxa"/>
          </w:tblCellMar>
        </w:tblPrEx>
        <w:trPr>
          <w:trHeight w:val="30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06C713">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p>
        </w:tc>
        <w:tc>
          <w:tcPr>
            <w:tcW w:w="3744" w:type="dxa"/>
            <w:gridSpan w:val="3"/>
            <w:tcBorders>
              <w:top w:val="single" w:color="000000" w:sz="4" w:space="0"/>
              <w:left w:val="single" w:color="000000" w:sz="4" w:space="0"/>
              <w:bottom w:val="single" w:color="000000" w:sz="4" w:space="0"/>
              <w:right w:val="single" w:color="000000" w:sz="4" w:space="0"/>
            </w:tcBorders>
            <w:noWrap w:val="0"/>
            <w:vAlign w:val="center"/>
          </w:tcPr>
          <w:p w14:paraId="4E43268D">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项目起止年限</w:t>
            </w:r>
          </w:p>
        </w:tc>
        <w:tc>
          <w:tcPr>
            <w:tcW w:w="6620" w:type="dxa"/>
            <w:gridSpan w:val="5"/>
            <w:tcBorders>
              <w:top w:val="single" w:color="000000" w:sz="4" w:space="0"/>
              <w:left w:val="single" w:color="000000" w:sz="4" w:space="0"/>
              <w:bottom w:val="single" w:color="000000" w:sz="4" w:space="0"/>
              <w:right w:val="single" w:color="000000" w:sz="4" w:space="0"/>
            </w:tcBorders>
            <w:noWrap w:val="0"/>
            <w:vAlign w:val="center"/>
          </w:tcPr>
          <w:p w14:paraId="3F6C885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p>
        </w:tc>
      </w:tr>
      <w:tr w14:paraId="50406EEC">
        <w:tblPrEx>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EA087B8">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项目资金</w:t>
            </w:r>
          </w:p>
          <w:p w14:paraId="3ADCC1DE">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（万元）</w:t>
            </w:r>
          </w:p>
        </w:tc>
        <w:tc>
          <w:tcPr>
            <w:tcW w:w="2663" w:type="dxa"/>
            <w:gridSpan w:val="2"/>
            <w:tcBorders>
              <w:top w:val="single" w:color="000000" w:sz="4" w:space="0"/>
              <w:left w:val="single" w:color="000000" w:sz="4" w:space="0"/>
              <w:bottom w:val="single" w:color="000000" w:sz="4" w:space="0"/>
              <w:right w:val="single" w:color="000000" w:sz="4" w:space="0"/>
            </w:tcBorders>
            <w:noWrap w:val="0"/>
            <w:vAlign w:val="center"/>
          </w:tcPr>
          <w:p w14:paraId="2EF913BB">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年度资金总额：</w:t>
            </w:r>
          </w:p>
        </w:tc>
        <w:tc>
          <w:tcPr>
            <w:tcW w:w="6620" w:type="dxa"/>
            <w:gridSpan w:val="5"/>
            <w:tcBorders>
              <w:top w:val="single" w:color="000000" w:sz="4" w:space="0"/>
              <w:left w:val="single" w:color="000000" w:sz="4" w:space="0"/>
              <w:bottom w:val="single" w:color="000000" w:sz="4" w:space="0"/>
              <w:right w:val="single" w:color="000000" w:sz="4" w:space="0"/>
            </w:tcBorders>
            <w:noWrap w:val="0"/>
            <w:vAlign w:val="center"/>
          </w:tcPr>
          <w:p w14:paraId="3DB3B64D">
            <w:pPr>
              <w:keepNext w:val="0"/>
              <w:keepLines w:val="0"/>
              <w:pageBreakBefore w:val="0"/>
              <w:kinsoku/>
              <w:wordWrap/>
              <w:overflowPunct/>
              <w:topLinePunct w:val="0"/>
              <w:autoSpaceDE/>
              <w:autoSpaceDN/>
              <w:bidi w:val="0"/>
              <w:adjustRightInd/>
              <w:snapToGrid/>
              <w:spacing w:line="560" w:lineRule="exact"/>
              <w:ind w:firstLine="1470" w:firstLineChars="700"/>
              <w:jc w:val="both"/>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228</w:t>
            </w:r>
            <w:r>
              <w:rPr>
                <w:rFonts w:hint="default" w:ascii="Times New Roman" w:hAnsi="Times New Roman" w:eastAsia="方正仿宋_GBK" w:cs="Times New Roman"/>
                <w:color w:val="000000"/>
                <w:sz w:val="21"/>
                <w:szCs w:val="21"/>
                <w:lang w:val="en-US" w:eastAsia="zh-CN" w:bidi="ar-SA"/>
              </w:rPr>
              <w:t>万元</w:t>
            </w:r>
          </w:p>
        </w:tc>
      </w:tr>
      <w:tr w14:paraId="69DA37E7">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72AA13">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cs="Times New Roman"/>
                <w:sz w:val="21"/>
                <w:szCs w:val="21"/>
              </w:rPr>
            </w:pPr>
          </w:p>
        </w:tc>
        <w:tc>
          <w:tcPr>
            <w:tcW w:w="2663" w:type="dxa"/>
            <w:gridSpan w:val="2"/>
            <w:tcBorders>
              <w:top w:val="single" w:color="000000" w:sz="4" w:space="0"/>
              <w:left w:val="single" w:color="000000" w:sz="4" w:space="0"/>
              <w:bottom w:val="single" w:color="000000" w:sz="4" w:space="0"/>
              <w:right w:val="single" w:color="000000" w:sz="4" w:space="0"/>
            </w:tcBorders>
            <w:noWrap w:val="0"/>
            <w:vAlign w:val="center"/>
          </w:tcPr>
          <w:p w14:paraId="2B029EEA">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其中：财政拨款</w:t>
            </w:r>
          </w:p>
        </w:tc>
        <w:tc>
          <w:tcPr>
            <w:tcW w:w="6620" w:type="dxa"/>
            <w:gridSpan w:val="5"/>
            <w:tcBorders>
              <w:top w:val="single" w:color="000000" w:sz="4" w:space="0"/>
              <w:left w:val="single" w:color="000000" w:sz="4" w:space="0"/>
              <w:bottom w:val="single" w:color="000000" w:sz="4" w:space="0"/>
              <w:right w:val="single" w:color="000000" w:sz="4" w:space="0"/>
            </w:tcBorders>
            <w:noWrap w:val="0"/>
            <w:vAlign w:val="center"/>
          </w:tcPr>
          <w:p w14:paraId="7436D832">
            <w:pPr>
              <w:keepNext w:val="0"/>
              <w:keepLines w:val="0"/>
              <w:pageBreakBefore w:val="0"/>
              <w:kinsoku/>
              <w:wordWrap/>
              <w:overflowPunct/>
              <w:topLinePunct w:val="0"/>
              <w:autoSpaceDE/>
              <w:autoSpaceDN/>
              <w:bidi w:val="0"/>
              <w:adjustRightInd/>
              <w:snapToGrid/>
              <w:spacing w:line="560" w:lineRule="exact"/>
              <w:ind w:firstLine="1470" w:firstLineChars="700"/>
              <w:jc w:val="both"/>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lang w:val="en-US" w:eastAsia="zh-CN"/>
              </w:rPr>
              <w:t>228</w:t>
            </w:r>
            <w:r>
              <w:rPr>
                <w:rFonts w:hint="default" w:ascii="Times New Roman" w:hAnsi="Times New Roman" w:eastAsia="方正仿宋_GBK" w:cs="Times New Roman"/>
                <w:color w:val="000000"/>
                <w:sz w:val="21"/>
                <w:szCs w:val="21"/>
                <w:lang w:val="en-US" w:eastAsia="zh-CN" w:bidi="ar-SA"/>
              </w:rPr>
              <w:t>万元</w:t>
            </w:r>
          </w:p>
        </w:tc>
      </w:tr>
      <w:tr w14:paraId="67AB4F51">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73683F">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p>
        </w:tc>
        <w:tc>
          <w:tcPr>
            <w:tcW w:w="2663" w:type="dxa"/>
            <w:gridSpan w:val="2"/>
            <w:tcBorders>
              <w:top w:val="single" w:color="000000" w:sz="4" w:space="0"/>
              <w:left w:val="single" w:color="000000" w:sz="4" w:space="0"/>
              <w:bottom w:val="single" w:color="000000" w:sz="4" w:space="0"/>
              <w:right w:val="single" w:color="000000" w:sz="4" w:space="0"/>
            </w:tcBorders>
            <w:noWrap w:val="0"/>
            <w:vAlign w:val="center"/>
          </w:tcPr>
          <w:p w14:paraId="589E894E">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其他资金</w:t>
            </w:r>
          </w:p>
        </w:tc>
        <w:tc>
          <w:tcPr>
            <w:tcW w:w="6620" w:type="dxa"/>
            <w:gridSpan w:val="5"/>
            <w:tcBorders>
              <w:top w:val="single" w:color="000000" w:sz="4" w:space="0"/>
              <w:left w:val="single" w:color="000000" w:sz="4" w:space="0"/>
              <w:bottom w:val="single" w:color="000000" w:sz="4" w:space="0"/>
              <w:right w:val="single" w:color="000000" w:sz="4" w:space="0"/>
            </w:tcBorders>
            <w:noWrap w:val="0"/>
            <w:vAlign w:val="center"/>
          </w:tcPr>
          <w:p w14:paraId="7436595C">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0</w:t>
            </w:r>
          </w:p>
        </w:tc>
      </w:tr>
      <w:tr w14:paraId="244D4AEB">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FABCEB1">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总体 目标</w:t>
            </w:r>
          </w:p>
        </w:tc>
        <w:tc>
          <w:tcPr>
            <w:tcW w:w="10364" w:type="dxa"/>
            <w:gridSpan w:val="8"/>
            <w:tcBorders>
              <w:top w:val="single" w:color="000000" w:sz="4" w:space="0"/>
              <w:left w:val="single" w:color="000000" w:sz="4" w:space="0"/>
              <w:bottom w:val="single" w:color="000000" w:sz="4" w:space="0"/>
              <w:right w:val="single" w:color="000000" w:sz="4" w:space="0"/>
            </w:tcBorders>
            <w:noWrap w:val="0"/>
            <w:vAlign w:val="center"/>
          </w:tcPr>
          <w:p w14:paraId="5A33DA30">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年度目标</w:t>
            </w:r>
          </w:p>
        </w:tc>
      </w:tr>
      <w:tr w14:paraId="6E28B88C">
        <w:tblPrEx>
          <w:tblCellMar>
            <w:top w:w="15" w:type="dxa"/>
            <w:left w:w="15" w:type="dxa"/>
            <w:bottom w:w="15" w:type="dxa"/>
            <w:right w:w="15" w:type="dxa"/>
          </w:tblCellMar>
        </w:tblPrEx>
        <w:trPr>
          <w:trHeight w:val="620" w:hRule="atLeast"/>
          <w:jc w:val="center"/>
        </w:trPr>
        <w:tc>
          <w:tcPr>
            <w:tcW w:w="652" w:type="dxa"/>
            <w:vMerge w:val="continue"/>
            <w:tcBorders>
              <w:top w:val="single" w:color="000000" w:sz="4" w:space="0"/>
              <w:left w:val="single" w:color="000000" w:sz="4" w:space="0"/>
              <w:bottom w:val="single" w:color="auto" w:sz="4" w:space="0"/>
              <w:right w:val="single" w:color="000000" w:sz="4" w:space="0"/>
            </w:tcBorders>
            <w:noWrap w:val="0"/>
            <w:vAlign w:val="center"/>
          </w:tcPr>
          <w:p w14:paraId="5DB1AE1C">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p>
        </w:tc>
        <w:tc>
          <w:tcPr>
            <w:tcW w:w="10364" w:type="dxa"/>
            <w:gridSpan w:val="8"/>
            <w:tcBorders>
              <w:top w:val="single" w:color="000000" w:sz="4" w:space="0"/>
              <w:left w:val="single" w:color="000000" w:sz="4" w:space="0"/>
              <w:bottom w:val="single" w:color="auto" w:sz="4" w:space="0"/>
              <w:right w:val="single" w:color="000000" w:sz="4" w:space="0"/>
            </w:tcBorders>
            <w:noWrap w:val="0"/>
            <w:vAlign w:val="center"/>
          </w:tcPr>
          <w:p w14:paraId="4CB06300">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开展精神障碍社区康复服务，提供康复训练服务，帮助精神障碍人员回归家庭、回归社会。</w:t>
            </w:r>
          </w:p>
        </w:tc>
      </w:tr>
      <w:tr w14:paraId="2BC0ED7D">
        <w:tblPrEx>
          <w:tblCellMar>
            <w:top w:w="15" w:type="dxa"/>
            <w:left w:w="15" w:type="dxa"/>
            <w:bottom w:w="15" w:type="dxa"/>
            <w:right w:w="15" w:type="dxa"/>
          </w:tblCellMar>
        </w:tblPrEx>
        <w:trPr>
          <w:trHeight w:val="23" w:hRule="atLeast"/>
          <w:jc w:val="center"/>
        </w:trPr>
        <w:tc>
          <w:tcPr>
            <w:tcW w:w="652" w:type="dxa"/>
            <w:vMerge w:val="restart"/>
            <w:tcBorders>
              <w:top w:val="single" w:color="auto" w:sz="4" w:space="0"/>
              <w:left w:val="single" w:color="auto" w:sz="4" w:space="0"/>
              <w:bottom w:val="single" w:color="auto" w:sz="4" w:space="0"/>
              <w:right w:val="single" w:color="auto" w:sz="4" w:space="0"/>
            </w:tcBorders>
            <w:noWrap w:val="0"/>
            <w:vAlign w:val="center"/>
          </w:tcPr>
          <w:p w14:paraId="27BD805B">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绩效 指标</w:t>
            </w:r>
          </w:p>
        </w:tc>
        <w:tc>
          <w:tcPr>
            <w:tcW w:w="1081" w:type="dxa"/>
            <w:tcBorders>
              <w:top w:val="single" w:color="auto" w:sz="4" w:space="0"/>
              <w:left w:val="single" w:color="auto" w:sz="4" w:space="0"/>
              <w:bottom w:val="single" w:color="auto" w:sz="4" w:space="0"/>
              <w:right w:val="single" w:color="auto" w:sz="4" w:space="0"/>
            </w:tcBorders>
            <w:noWrap w:val="0"/>
            <w:vAlign w:val="center"/>
          </w:tcPr>
          <w:p w14:paraId="021FEA6F">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一级指标</w:t>
            </w:r>
          </w:p>
        </w:tc>
        <w:tc>
          <w:tcPr>
            <w:tcW w:w="1247" w:type="dxa"/>
            <w:tcBorders>
              <w:top w:val="single" w:color="auto" w:sz="4" w:space="0"/>
              <w:left w:val="single" w:color="auto" w:sz="4" w:space="0"/>
              <w:bottom w:val="single" w:color="auto" w:sz="4" w:space="0"/>
              <w:right w:val="single" w:color="auto" w:sz="4" w:space="0"/>
            </w:tcBorders>
            <w:noWrap w:val="0"/>
            <w:vAlign w:val="center"/>
          </w:tcPr>
          <w:p w14:paraId="383B2507">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二级指标</w:t>
            </w:r>
          </w:p>
        </w:tc>
        <w:tc>
          <w:tcPr>
            <w:tcW w:w="1416" w:type="dxa"/>
            <w:tcBorders>
              <w:top w:val="single" w:color="auto" w:sz="4" w:space="0"/>
              <w:left w:val="single" w:color="auto" w:sz="4" w:space="0"/>
              <w:bottom w:val="single" w:color="auto" w:sz="4" w:space="0"/>
              <w:right w:val="single" w:color="auto" w:sz="4" w:space="0"/>
            </w:tcBorders>
            <w:noWrap w:val="0"/>
            <w:vAlign w:val="center"/>
          </w:tcPr>
          <w:p w14:paraId="7E0E39AC">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三级指标</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0B5C157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指标性质</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230C90C8">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指标值</w:t>
            </w:r>
          </w:p>
        </w:tc>
        <w:tc>
          <w:tcPr>
            <w:tcW w:w="812" w:type="dxa"/>
            <w:tcBorders>
              <w:top w:val="single" w:color="auto" w:sz="4" w:space="0"/>
              <w:left w:val="single" w:color="auto" w:sz="4" w:space="0"/>
              <w:bottom w:val="single" w:color="auto" w:sz="4" w:space="0"/>
              <w:right w:val="single" w:color="auto" w:sz="4" w:space="0"/>
            </w:tcBorders>
            <w:noWrap w:val="0"/>
            <w:vAlign w:val="center"/>
          </w:tcPr>
          <w:p w14:paraId="169F37F7">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度量单位</w:t>
            </w:r>
          </w:p>
        </w:tc>
        <w:tc>
          <w:tcPr>
            <w:tcW w:w="682" w:type="dxa"/>
            <w:tcBorders>
              <w:top w:val="single" w:color="auto" w:sz="4" w:space="0"/>
              <w:left w:val="single" w:color="auto" w:sz="4" w:space="0"/>
              <w:bottom w:val="single" w:color="auto" w:sz="4" w:space="0"/>
              <w:right w:val="single" w:color="auto" w:sz="4" w:space="0"/>
            </w:tcBorders>
            <w:noWrap w:val="0"/>
            <w:vAlign w:val="center"/>
          </w:tcPr>
          <w:p w14:paraId="7A79A593">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权重</w:t>
            </w:r>
          </w:p>
        </w:tc>
        <w:tc>
          <w:tcPr>
            <w:tcW w:w="2626" w:type="dxa"/>
            <w:tcBorders>
              <w:top w:val="single" w:color="auto" w:sz="4" w:space="0"/>
              <w:left w:val="single" w:color="auto" w:sz="4" w:space="0"/>
              <w:bottom w:val="single" w:color="auto" w:sz="4" w:space="0"/>
              <w:right w:val="single" w:color="auto" w:sz="4" w:space="0"/>
            </w:tcBorders>
            <w:noWrap w:val="0"/>
            <w:vAlign w:val="center"/>
          </w:tcPr>
          <w:p w14:paraId="2867F3C2">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实际完成指标值</w:t>
            </w:r>
          </w:p>
        </w:tc>
      </w:tr>
      <w:tr w14:paraId="4DEB284B">
        <w:tblPrEx>
          <w:tblCellMar>
            <w:top w:w="15" w:type="dxa"/>
            <w:left w:w="15" w:type="dxa"/>
            <w:bottom w:w="15" w:type="dxa"/>
            <w:right w:w="15" w:type="dxa"/>
          </w:tblCellMar>
        </w:tblPrEx>
        <w:trPr>
          <w:trHeight w:val="580"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6A777138">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6157D8F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产出指标</w:t>
            </w:r>
          </w:p>
        </w:tc>
        <w:tc>
          <w:tcPr>
            <w:tcW w:w="1247" w:type="dxa"/>
            <w:tcBorders>
              <w:top w:val="single" w:color="auto" w:sz="4" w:space="0"/>
              <w:left w:val="single" w:color="auto" w:sz="4" w:space="0"/>
              <w:bottom w:val="single" w:color="auto" w:sz="4" w:space="0"/>
              <w:right w:val="single" w:color="auto" w:sz="4" w:space="0"/>
            </w:tcBorders>
            <w:noWrap w:val="0"/>
            <w:vAlign w:val="center"/>
          </w:tcPr>
          <w:p w14:paraId="3407ECC5">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数量指标</w:t>
            </w:r>
          </w:p>
        </w:tc>
        <w:tc>
          <w:tcPr>
            <w:tcW w:w="1416" w:type="dxa"/>
            <w:tcBorders>
              <w:top w:val="single" w:color="auto" w:sz="4" w:space="0"/>
              <w:left w:val="single" w:color="auto" w:sz="4" w:space="0"/>
              <w:bottom w:val="single" w:color="auto" w:sz="4" w:space="0"/>
              <w:right w:val="single" w:color="auto" w:sz="4" w:space="0"/>
            </w:tcBorders>
            <w:noWrap w:val="0"/>
            <w:vAlign w:val="center"/>
          </w:tcPr>
          <w:p w14:paraId="3F9324EA">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精神障碍社区康复服务人次数</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4D174601">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定量</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35408185">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≥37000</w:t>
            </w:r>
          </w:p>
        </w:tc>
        <w:tc>
          <w:tcPr>
            <w:tcW w:w="812" w:type="dxa"/>
            <w:tcBorders>
              <w:top w:val="single" w:color="auto" w:sz="4" w:space="0"/>
              <w:left w:val="single" w:color="auto" w:sz="4" w:space="0"/>
              <w:bottom w:val="single" w:color="auto" w:sz="4" w:space="0"/>
              <w:right w:val="single" w:color="auto" w:sz="4" w:space="0"/>
            </w:tcBorders>
            <w:noWrap w:val="0"/>
            <w:vAlign w:val="center"/>
          </w:tcPr>
          <w:p w14:paraId="19D176B2">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人次</w:t>
            </w:r>
          </w:p>
        </w:tc>
        <w:tc>
          <w:tcPr>
            <w:tcW w:w="682" w:type="dxa"/>
            <w:tcBorders>
              <w:top w:val="single" w:color="auto" w:sz="4" w:space="0"/>
              <w:left w:val="single" w:color="auto" w:sz="4" w:space="0"/>
              <w:bottom w:val="single" w:color="auto" w:sz="4" w:space="0"/>
              <w:right w:val="single" w:color="auto" w:sz="4" w:space="0"/>
            </w:tcBorders>
            <w:noWrap w:val="0"/>
            <w:vAlign w:val="center"/>
          </w:tcPr>
          <w:p w14:paraId="4564D896">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20%</w:t>
            </w:r>
          </w:p>
        </w:tc>
        <w:tc>
          <w:tcPr>
            <w:tcW w:w="2626" w:type="dxa"/>
            <w:tcBorders>
              <w:top w:val="single" w:color="auto" w:sz="4" w:space="0"/>
              <w:left w:val="single" w:color="auto" w:sz="4" w:space="0"/>
              <w:bottom w:val="single" w:color="auto" w:sz="4" w:space="0"/>
              <w:right w:val="single" w:color="auto" w:sz="4" w:space="0"/>
            </w:tcBorders>
            <w:noWrap w:val="0"/>
            <w:vAlign w:val="center"/>
          </w:tcPr>
          <w:p w14:paraId="0C289DA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397575</w:t>
            </w:r>
          </w:p>
        </w:tc>
      </w:tr>
      <w:tr w14:paraId="51896BD3">
        <w:tblPrEx>
          <w:tblCellMar>
            <w:top w:w="15" w:type="dxa"/>
            <w:left w:w="15" w:type="dxa"/>
            <w:bottom w:w="15" w:type="dxa"/>
            <w:right w:w="15" w:type="dxa"/>
          </w:tblCellMar>
        </w:tblPrEx>
        <w:trPr>
          <w:trHeight w:val="580"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29672E5A">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34961D10">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效益指标</w:t>
            </w:r>
          </w:p>
        </w:tc>
        <w:tc>
          <w:tcPr>
            <w:tcW w:w="1247" w:type="dxa"/>
            <w:tcBorders>
              <w:top w:val="single" w:color="auto" w:sz="4" w:space="0"/>
              <w:left w:val="single" w:color="auto" w:sz="4" w:space="0"/>
              <w:bottom w:val="single" w:color="auto" w:sz="4" w:space="0"/>
              <w:right w:val="single" w:color="auto" w:sz="4" w:space="0"/>
            </w:tcBorders>
            <w:noWrap w:val="0"/>
            <w:vAlign w:val="center"/>
          </w:tcPr>
          <w:p w14:paraId="6E66C17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社会效益</w:t>
            </w:r>
          </w:p>
          <w:p w14:paraId="59E915C0">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指标</w:t>
            </w:r>
          </w:p>
        </w:tc>
        <w:tc>
          <w:tcPr>
            <w:tcW w:w="1416" w:type="dxa"/>
            <w:tcBorders>
              <w:top w:val="single" w:color="auto" w:sz="4" w:space="0"/>
              <w:left w:val="single" w:color="auto" w:sz="4" w:space="0"/>
              <w:bottom w:val="single" w:color="auto" w:sz="4" w:space="0"/>
              <w:right w:val="single" w:color="auto" w:sz="4" w:space="0"/>
            </w:tcBorders>
            <w:noWrap w:val="0"/>
            <w:vAlign w:val="center"/>
          </w:tcPr>
          <w:p w14:paraId="79263293">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支持残疾人福利事业发展成效</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18A84C46">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定性</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6D8A2B53">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成效显著</w:t>
            </w:r>
          </w:p>
        </w:tc>
        <w:tc>
          <w:tcPr>
            <w:tcW w:w="812" w:type="dxa"/>
            <w:tcBorders>
              <w:top w:val="single" w:color="auto" w:sz="4" w:space="0"/>
              <w:left w:val="single" w:color="auto" w:sz="4" w:space="0"/>
              <w:bottom w:val="single" w:color="auto" w:sz="4" w:space="0"/>
              <w:right w:val="single" w:color="auto" w:sz="4" w:space="0"/>
            </w:tcBorders>
            <w:noWrap w:val="0"/>
            <w:vAlign w:val="center"/>
          </w:tcPr>
          <w:p w14:paraId="60EE2DB0">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p>
        </w:tc>
        <w:tc>
          <w:tcPr>
            <w:tcW w:w="682" w:type="dxa"/>
            <w:tcBorders>
              <w:top w:val="single" w:color="auto" w:sz="4" w:space="0"/>
              <w:left w:val="single" w:color="auto" w:sz="4" w:space="0"/>
              <w:bottom w:val="single" w:color="auto" w:sz="4" w:space="0"/>
              <w:right w:val="single" w:color="auto" w:sz="4" w:space="0"/>
            </w:tcBorders>
            <w:noWrap w:val="0"/>
            <w:vAlign w:val="center"/>
          </w:tcPr>
          <w:p w14:paraId="2D6E2A51">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40%</w:t>
            </w:r>
          </w:p>
        </w:tc>
        <w:tc>
          <w:tcPr>
            <w:tcW w:w="2626" w:type="dxa"/>
            <w:tcBorders>
              <w:top w:val="single" w:color="auto" w:sz="4" w:space="0"/>
              <w:left w:val="single" w:color="auto" w:sz="4" w:space="0"/>
              <w:bottom w:val="single" w:color="auto" w:sz="4" w:space="0"/>
              <w:right w:val="single" w:color="auto" w:sz="4" w:space="0"/>
            </w:tcBorders>
            <w:noWrap w:val="0"/>
            <w:vAlign w:val="center"/>
          </w:tcPr>
          <w:p w14:paraId="1A5C9D12">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成效显著</w:t>
            </w:r>
          </w:p>
        </w:tc>
      </w:tr>
      <w:tr w14:paraId="51B2BF17">
        <w:tblPrEx>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1919E916">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1AD5E51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满意度</w:t>
            </w:r>
          </w:p>
          <w:p w14:paraId="24FB0CCF">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指标</w:t>
            </w:r>
          </w:p>
        </w:tc>
        <w:tc>
          <w:tcPr>
            <w:tcW w:w="1247" w:type="dxa"/>
            <w:tcBorders>
              <w:top w:val="single" w:color="auto" w:sz="4" w:space="0"/>
              <w:left w:val="single" w:color="auto" w:sz="4" w:space="0"/>
              <w:bottom w:val="single" w:color="auto" w:sz="4" w:space="0"/>
              <w:right w:val="single" w:color="auto" w:sz="4" w:space="0"/>
            </w:tcBorders>
            <w:noWrap w:val="0"/>
            <w:vAlign w:val="center"/>
          </w:tcPr>
          <w:p w14:paraId="371FDB9E">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服务对象</w:t>
            </w:r>
          </w:p>
          <w:p w14:paraId="0F748D00">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满意度指标</w:t>
            </w:r>
          </w:p>
        </w:tc>
        <w:tc>
          <w:tcPr>
            <w:tcW w:w="1416" w:type="dxa"/>
            <w:tcBorders>
              <w:top w:val="single" w:color="auto" w:sz="4" w:space="0"/>
              <w:left w:val="single" w:color="auto" w:sz="4" w:space="0"/>
              <w:bottom w:val="single" w:color="auto" w:sz="4" w:space="0"/>
              <w:right w:val="single" w:color="auto" w:sz="4" w:space="0"/>
            </w:tcBorders>
            <w:noWrap w:val="0"/>
            <w:vAlign w:val="center"/>
          </w:tcPr>
          <w:p w14:paraId="682D3C10">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精神障碍社区康复服务对象满意度</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33E9D231">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定量</w:t>
            </w:r>
          </w:p>
        </w:tc>
        <w:tc>
          <w:tcPr>
            <w:tcW w:w="1227" w:type="dxa"/>
            <w:tcBorders>
              <w:top w:val="single" w:color="auto" w:sz="4" w:space="0"/>
              <w:left w:val="single" w:color="auto" w:sz="4" w:space="0"/>
              <w:bottom w:val="single" w:color="auto" w:sz="4" w:space="0"/>
              <w:right w:val="single" w:color="auto" w:sz="4" w:space="0"/>
            </w:tcBorders>
            <w:noWrap w:val="0"/>
            <w:vAlign w:val="center"/>
          </w:tcPr>
          <w:p w14:paraId="65D34D65">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≥90</w:t>
            </w:r>
          </w:p>
        </w:tc>
        <w:tc>
          <w:tcPr>
            <w:tcW w:w="812" w:type="dxa"/>
            <w:tcBorders>
              <w:top w:val="single" w:color="auto" w:sz="4" w:space="0"/>
              <w:left w:val="single" w:color="auto" w:sz="4" w:space="0"/>
              <w:bottom w:val="single" w:color="auto" w:sz="4" w:space="0"/>
              <w:right w:val="single" w:color="auto" w:sz="4" w:space="0"/>
            </w:tcBorders>
            <w:noWrap w:val="0"/>
            <w:vAlign w:val="center"/>
          </w:tcPr>
          <w:p w14:paraId="75BB1A71">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w:t>
            </w:r>
          </w:p>
        </w:tc>
        <w:tc>
          <w:tcPr>
            <w:tcW w:w="682" w:type="dxa"/>
            <w:tcBorders>
              <w:top w:val="single" w:color="auto" w:sz="4" w:space="0"/>
              <w:left w:val="single" w:color="auto" w:sz="4" w:space="0"/>
              <w:bottom w:val="single" w:color="auto" w:sz="4" w:space="0"/>
              <w:right w:val="single" w:color="auto" w:sz="4" w:space="0"/>
            </w:tcBorders>
            <w:noWrap w:val="0"/>
            <w:vAlign w:val="center"/>
          </w:tcPr>
          <w:p w14:paraId="63F80A74">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40%</w:t>
            </w:r>
          </w:p>
        </w:tc>
        <w:tc>
          <w:tcPr>
            <w:tcW w:w="2626" w:type="dxa"/>
            <w:tcBorders>
              <w:top w:val="single" w:color="auto" w:sz="4" w:space="0"/>
              <w:left w:val="single" w:color="auto" w:sz="4" w:space="0"/>
              <w:bottom w:val="single" w:color="auto" w:sz="4" w:space="0"/>
              <w:right w:val="single" w:color="auto" w:sz="4" w:space="0"/>
            </w:tcBorders>
            <w:noWrap w:val="0"/>
            <w:vAlign w:val="center"/>
          </w:tcPr>
          <w:p w14:paraId="5570180F">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90%</w:t>
            </w:r>
          </w:p>
        </w:tc>
      </w:tr>
    </w:tbl>
    <w:p w14:paraId="23FC456B">
      <w:pPr>
        <w:keepNext w:val="0"/>
        <w:keepLines w:val="0"/>
        <w:pageBreakBefore w:val="0"/>
        <w:kinsoku/>
        <w:wordWrap/>
        <w:overflowPunct/>
        <w:topLinePunct w:val="0"/>
        <w:autoSpaceDE/>
        <w:bidi w:val="0"/>
        <w:snapToGrid w:val="0"/>
        <w:spacing w:line="560" w:lineRule="exact"/>
        <w:rPr>
          <w:rFonts w:hint="default" w:ascii="Times New Roman" w:hAnsi="Times New Roman" w:eastAsia="黑体" w:cs="Times New Roman"/>
          <w:kern w:val="0"/>
          <w:shd w:val="clear" w:color="auto" w:fill="FFFFFF"/>
          <w:lang w:val="zh-CN" w:eastAsia="zh-CN"/>
        </w:rPr>
      </w:pPr>
    </w:p>
    <w:p w14:paraId="0F85962D">
      <w:pPr>
        <w:keepNext w:val="0"/>
        <w:keepLines w:val="0"/>
        <w:pageBreakBefore w:val="0"/>
        <w:kinsoku/>
        <w:wordWrap/>
        <w:overflowPunct/>
        <w:topLinePunct w:val="0"/>
        <w:autoSpaceDE/>
        <w:bidi w:val="0"/>
        <w:snapToGrid w:val="0"/>
        <w:spacing w:line="560" w:lineRule="exact"/>
        <w:rPr>
          <w:rFonts w:hint="default" w:ascii="Times New Roman" w:hAnsi="Times New Roman" w:eastAsia="黑体" w:cs="Times New Roman"/>
          <w:kern w:val="0"/>
          <w:shd w:val="clear" w:color="auto" w:fill="FFFFFF"/>
          <w:lang w:val="zh-CN" w:eastAsia="zh-CN"/>
        </w:rPr>
      </w:pPr>
    </w:p>
    <w:p w14:paraId="7281834F">
      <w:pPr>
        <w:keepNext w:val="0"/>
        <w:keepLines w:val="0"/>
        <w:pageBreakBefore w:val="0"/>
        <w:kinsoku/>
        <w:wordWrap/>
        <w:overflowPunct/>
        <w:topLinePunct w:val="0"/>
        <w:autoSpaceDE/>
        <w:bidi w:val="0"/>
        <w:snapToGrid w:val="0"/>
        <w:spacing w:line="560" w:lineRule="exact"/>
        <w:rPr>
          <w:rFonts w:hint="default" w:ascii="Times New Roman" w:hAnsi="Times New Roman" w:eastAsia="黑体" w:cs="Times New Roman"/>
          <w:kern w:val="0"/>
          <w:shd w:val="clear" w:color="auto" w:fill="FFFFFF"/>
          <w:lang w:val="en-US" w:eastAsia="zh-CN"/>
        </w:rPr>
      </w:pPr>
      <w:r>
        <w:rPr>
          <w:rFonts w:hint="default" w:ascii="Times New Roman" w:hAnsi="Times New Roman" w:eastAsia="黑体" w:cs="Times New Roman"/>
          <w:kern w:val="0"/>
          <w:shd w:val="clear" w:color="auto" w:fill="FFFFFF"/>
          <w:lang w:val="zh-CN" w:eastAsia="zh-CN"/>
        </w:rPr>
        <w:t>附表</w:t>
      </w:r>
      <w:r>
        <w:rPr>
          <w:rFonts w:hint="default" w:ascii="Times New Roman" w:hAnsi="Times New Roman" w:eastAsia="黑体" w:cs="Times New Roman"/>
          <w:kern w:val="0"/>
          <w:shd w:val="clear" w:color="auto" w:fill="FFFFFF"/>
        </w:rPr>
        <w:t>3</w:t>
      </w:r>
      <w:r>
        <w:rPr>
          <w:rFonts w:hint="default" w:ascii="Times New Roman" w:hAnsi="Times New Roman" w:eastAsia="黑体" w:cs="Times New Roman"/>
          <w:kern w:val="0"/>
          <w:shd w:val="clear" w:color="auto" w:fill="FFFFFF"/>
          <w:lang w:val="en-US" w:eastAsia="zh-CN"/>
        </w:rPr>
        <w:t>-2</w:t>
      </w:r>
    </w:p>
    <w:tbl>
      <w:tblPr>
        <w:tblStyle w:val="17"/>
        <w:tblW w:w="10777" w:type="dxa"/>
        <w:jc w:val="center"/>
        <w:tblLayout w:type="fixed"/>
        <w:tblCellMar>
          <w:top w:w="15" w:type="dxa"/>
          <w:left w:w="15" w:type="dxa"/>
          <w:bottom w:w="15" w:type="dxa"/>
          <w:right w:w="15" w:type="dxa"/>
        </w:tblCellMar>
      </w:tblPr>
      <w:tblGrid>
        <w:gridCol w:w="652"/>
        <w:gridCol w:w="1081"/>
        <w:gridCol w:w="1250"/>
        <w:gridCol w:w="1312"/>
        <w:gridCol w:w="1375"/>
        <w:gridCol w:w="825"/>
        <w:gridCol w:w="958"/>
        <w:gridCol w:w="938"/>
        <w:gridCol w:w="2387"/>
      </w:tblGrid>
      <w:tr w14:paraId="3BF62790">
        <w:tblPrEx>
          <w:tblCellMar>
            <w:top w:w="15" w:type="dxa"/>
            <w:left w:w="15" w:type="dxa"/>
            <w:bottom w:w="15" w:type="dxa"/>
            <w:right w:w="15" w:type="dxa"/>
          </w:tblCellMar>
        </w:tblPrEx>
        <w:trPr>
          <w:trHeight w:val="576" w:hRule="atLeast"/>
          <w:jc w:val="center"/>
        </w:trPr>
        <w:tc>
          <w:tcPr>
            <w:tcW w:w="10778" w:type="dxa"/>
            <w:gridSpan w:val="9"/>
            <w:tcBorders>
              <w:top w:val="nil"/>
              <w:left w:val="nil"/>
              <w:bottom w:val="nil"/>
              <w:right w:val="nil"/>
            </w:tcBorders>
            <w:noWrap w:val="0"/>
            <w:vAlign w:val="center"/>
          </w:tcPr>
          <w:p w14:paraId="5780F413">
            <w:pPr>
              <w:keepNext w:val="0"/>
              <w:keepLines w:val="0"/>
              <w:pageBreakBefore w:val="0"/>
              <w:widowControl/>
              <w:kinsoku/>
              <w:wordWrap/>
              <w:overflowPunct/>
              <w:topLinePunct w:val="0"/>
              <w:autoSpaceDE/>
              <w:bidi w:val="0"/>
              <w:spacing w:line="560" w:lineRule="exact"/>
              <w:jc w:val="center"/>
              <w:textAlignment w:val="center"/>
              <w:rPr>
                <w:rFonts w:hint="default" w:ascii="Times New Roman" w:hAnsi="Times New Roman" w:eastAsia="黑体" w:cs="Times New Roman"/>
                <w:color w:val="000000"/>
                <w:sz w:val="30"/>
                <w:szCs w:val="30"/>
              </w:rPr>
            </w:pPr>
            <w:r>
              <w:rPr>
                <w:rFonts w:hint="default" w:ascii="Times New Roman" w:hAnsi="Times New Roman" w:eastAsia="方正小标宋简体" w:cs="Times New Roman"/>
                <w:color w:val="000000"/>
                <w:kern w:val="0"/>
                <w:sz w:val="40"/>
                <w:szCs w:val="40"/>
                <w:lang w:bidi="ar"/>
              </w:rPr>
              <w:t>专项预算项目绩效目标完成情况自评表</w:t>
            </w:r>
          </w:p>
        </w:tc>
      </w:tr>
      <w:tr w14:paraId="75BC3EDF">
        <w:tblPrEx>
          <w:tblCellMar>
            <w:top w:w="15" w:type="dxa"/>
            <w:left w:w="15" w:type="dxa"/>
            <w:bottom w:w="15" w:type="dxa"/>
            <w:right w:w="15" w:type="dxa"/>
          </w:tblCellMar>
        </w:tblPrEx>
        <w:trPr>
          <w:trHeight w:val="292"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0E18DDE3">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项目名称</w:t>
            </w:r>
          </w:p>
        </w:tc>
        <w:tc>
          <w:tcPr>
            <w:tcW w:w="6483" w:type="dxa"/>
            <w:gridSpan w:val="5"/>
            <w:tcBorders>
              <w:top w:val="single" w:color="000000" w:sz="4" w:space="0"/>
              <w:left w:val="single" w:color="000000" w:sz="4" w:space="0"/>
              <w:bottom w:val="single" w:color="000000" w:sz="4" w:space="0"/>
              <w:right w:val="single" w:color="000000" w:sz="4" w:space="0"/>
            </w:tcBorders>
            <w:noWrap w:val="0"/>
            <w:vAlign w:val="center"/>
          </w:tcPr>
          <w:p w14:paraId="7C0EDE23">
            <w:pPr>
              <w:keepNext w:val="0"/>
              <w:keepLines w:val="0"/>
              <w:pageBreakBefore w:val="0"/>
              <w:kinsoku/>
              <w:wordWrap/>
              <w:overflowPunct/>
              <w:topLinePunct w:val="0"/>
              <w:autoSpaceDE/>
              <w:autoSpaceDN/>
              <w:bidi w:val="0"/>
              <w:adjustRightInd/>
              <w:snapToGrid/>
              <w:spacing w:line="560" w:lineRule="exact"/>
              <w:ind w:firstLine="630" w:firstLineChars="300"/>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color w:val="000000"/>
                <w:sz w:val="21"/>
                <w:szCs w:val="21"/>
                <w:lang w:val="en-US" w:eastAsia="zh-CN" w:bidi="ar-SA"/>
              </w:rPr>
              <w:t>康复辅助器具社区租赁服务</w:t>
            </w:r>
          </w:p>
        </w:tc>
      </w:tr>
      <w:tr w14:paraId="7A72EE6E">
        <w:tblPrEx>
          <w:tblCellMar>
            <w:top w:w="15" w:type="dxa"/>
            <w:left w:w="15" w:type="dxa"/>
            <w:bottom w:w="15" w:type="dxa"/>
            <w:right w:w="15" w:type="dxa"/>
          </w:tblCellMar>
        </w:tblPrEx>
        <w:trPr>
          <w:trHeight w:val="280"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0DB7AEB2">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预算单位</w:t>
            </w:r>
          </w:p>
        </w:tc>
        <w:tc>
          <w:tcPr>
            <w:tcW w:w="6483" w:type="dxa"/>
            <w:gridSpan w:val="5"/>
            <w:tcBorders>
              <w:top w:val="single" w:color="000000" w:sz="4" w:space="0"/>
              <w:left w:val="single" w:color="000000" w:sz="4" w:space="0"/>
              <w:bottom w:val="single" w:color="000000" w:sz="4" w:space="0"/>
              <w:right w:val="single" w:color="000000" w:sz="4" w:space="0"/>
            </w:tcBorders>
            <w:noWrap w:val="0"/>
            <w:vAlign w:val="center"/>
          </w:tcPr>
          <w:p w14:paraId="00C935AD">
            <w:pPr>
              <w:keepNext w:val="0"/>
              <w:keepLines w:val="0"/>
              <w:pageBreakBefore w:val="0"/>
              <w:kinsoku/>
              <w:wordWrap/>
              <w:overflowPunct/>
              <w:topLinePunct w:val="0"/>
              <w:autoSpaceDE/>
              <w:autoSpaceDN/>
              <w:bidi w:val="0"/>
              <w:adjustRightInd/>
              <w:snapToGrid/>
              <w:spacing w:line="560" w:lineRule="exact"/>
              <w:ind w:firstLine="630" w:firstLineChars="300"/>
              <w:jc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sz w:val="21"/>
                <w:szCs w:val="21"/>
                <w:lang w:bidi="ar-SA"/>
              </w:rPr>
              <w:t>攀枝花市民政局</w:t>
            </w:r>
          </w:p>
        </w:tc>
      </w:tr>
      <w:tr w14:paraId="46BC0071">
        <w:tblPrEx>
          <w:tblCellMar>
            <w:top w:w="15" w:type="dxa"/>
            <w:left w:w="15" w:type="dxa"/>
            <w:bottom w:w="15" w:type="dxa"/>
            <w:right w:w="15" w:type="dxa"/>
          </w:tblCellMar>
        </w:tblPrEx>
        <w:trPr>
          <w:trHeight w:val="330"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3A542EC0">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项目类型</w:t>
            </w:r>
          </w:p>
        </w:tc>
        <w:tc>
          <w:tcPr>
            <w:tcW w:w="6483" w:type="dxa"/>
            <w:gridSpan w:val="5"/>
            <w:tcBorders>
              <w:top w:val="single" w:color="000000" w:sz="4" w:space="0"/>
              <w:left w:val="single" w:color="000000" w:sz="4" w:space="0"/>
              <w:bottom w:val="single" w:color="000000" w:sz="4" w:space="0"/>
              <w:right w:val="single" w:color="000000" w:sz="4" w:space="0"/>
            </w:tcBorders>
            <w:noWrap w:val="0"/>
            <w:vAlign w:val="center"/>
          </w:tcPr>
          <w:p w14:paraId="5D4B4906">
            <w:pPr>
              <w:keepNext w:val="0"/>
              <w:keepLines w:val="0"/>
              <w:pageBreakBefore w:val="0"/>
              <w:kinsoku/>
              <w:wordWrap/>
              <w:overflowPunct/>
              <w:topLinePunct w:val="0"/>
              <w:autoSpaceDE/>
              <w:autoSpaceDN/>
              <w:bidi w:val="0"/>
              <w:adjustRightInd/>
              <w:snapToGrid/>
              <w:spacing w:line="560" w:lineRule="exact"/>
              <w:ind w:firstLine="630" w:firstLineChars="300"/>
              <w:jc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sz w:val="21"/>
                <w:szCs w:val="21"/>
                <w:lang w:bidi="ar-SA"/>
              </w:rPr>
              <w:t>民政事业补助资金</w:t>
            </w:r>
          </w:p>
        </w:tc>
      </w:tr>
      <w:tr w14:paraId="01683776">
        <w:tblPrEx>
          <w:tblCellMar>
            <w:top w:w="15" w:type="dxa"/>
            <w:left w:w="15" w:type="dxa"/>
            <w:bottom w:w="15" w:type="dxa"/>
            <w:right w:w="15" w:type="dxa"/>
          </w:tblCellMar>
        </w:tblPrEx>
        <w:trPr>
          <w:trHeight w:val="1319"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3A55527">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DF2436D">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中长期规划（名称、文号，仅指</w:t>
            </w:r>
          </w:p>
          <w:p w14:paraId="2EE0AC13">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常年项目）</w:t>
            </w:r>
          </w:p>
        </w:tc>
        <w:tc>
          <w:tcPr>
            <w:tcW w:w="6483" w:type="dxa"/>
            <w:gridSpan w:val="5"/>
            <w:tcBorders>
              <w:top w:val="single" w:color="000000" w:sz="4" w:space="0"/>
              <w:left w:val="single" w:color="000000" w:sz="4" w:space="0"/>
              <w:bottom w:val="single" w:color="000000" w:sz="4" w:space="0"/>
              <w:right w:val="single" w:color="000000" w:sz="4" w:space="0"/>
            </w:tcBorders>
            <w:noWrap w:val="0"/>
            <w:vAlign w:val="center"/>
          </w:tcPr>
          <w:p w14:paraId="3C538015">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四川省民政厅关于印发《四川省康复辅助器具社区租赁服务试点资金管理实施细则（暂行）》的通知（川民发〔2025〕93号）</w:t>
            </w:r>
          </w:p>
          <w:p w14:paraId="56F7929E">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 xml:space="preserve">攀枝花市民政局 攀枝花市财政局关于印发《攀枝花市康复辅助器具社区租赁服务试点工作实施方案》的通知（攀民政〔2025〕35号） </w:t>
            </w:r>
          </w:p>
        </w:tc>
      </w:tr>
      <w:tr w14:paraId="0B9EBA71">
        <w:tblPrEx>
          <w:tblCellMar>
            <w:top w:w="15" w:type="dxa"/>
            <w:left w:w="15" w:type="dxa"/>
            <w:bottom w:w="15" w:type="dxa"/>
            <w:right w:w="15" w:type="dxa"/>
          </w:tblCellMar>
        </w:tblPrEx>
        <w:trPr>
          <w:trHeight w:val="54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0DDF76">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cs="Times New Roman"/>
                <w:sz w:val="21"/>
                <w:szCs w:val="21"/>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68AE8F6">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资金管理办法（名称、文号）</w:t>
            </w:r>
          </w:p>
        </w:tc>
        <w:tc>
          <w:tcPr>
            <w:tcW w:w="6483" w:type="dxa"/>
            <w:gridSpan w:val="5"/>
            <w:tcBorders>
              <w:top w:val="single" w:color="000000" w:sz="4" w:space="0"/>
              <w:left w:val="single" w:color="000000" w:sz="4" w:space="0"/>
              <w:bottom w:val="single" w:color="000000" w:sz="4" w:space="0"/>
              <w:right w:val="single" w:color="000000" w:sz="4" w:space="0"/>
            </w:tcBorders>
            <w:noWrap w:val="0"/>
            <w:vAlign w:val="center"/>
          </w:tcPr>
          <w:p w14:paraId="52A708DD">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四川省财政厅 四川省民政厅关于下达2025年中央和省级财政民政相关补助资金的通知（川财社〔2025〕60号）</w:t>
            </w:r>
          </w:p>
        </w:tc>
      </w:tr>
      <w:tr w14:paraId="4DB5C0A2">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DAC5D1">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cs="Times New Roman"/>
                <w:sz w:val="21"/>
                <w:szCs w:val="21"/>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42F5001C">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绩效分配方式</w:t>
            </w:r>
          </w:p>
        </w:tc>
        <w:tc>
          <w:tcPr>
            <w:tcW w:w="1375" w:type="dxa"/>
            <w:tcBorders>
              <w:top w:val="single" w:color="000000" w:sz="4" w:space="0"/>
              <w:left w:val="single" w:color="000000" w:sz="4" w:space="0"/>
              <w:bottom w:val="single" w:color="000000" w:sz="4" w:space="0"/>
              <w:right w:val="single" w:color="000000" w:sz="4" w:space="0"/>
            </w:tcBorders>
            <w:noWrap w:val="0"/>
            <w:vAlign w:val="center"/>
          </w:tcPr>
          <w:p w14:paraId="28B7371C">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sym w:font="Wingdings 2" w:char="0052"/>
            </w:r>
            <w:r>
              <w:rPr>
                <w:rFonts w:hint="default" w:ascii="Times New Roman" w:hAnsi="Times New Roman" w:eastAsia="方正仿宋_GBK" w:cs="Times New Roman"/>
                <w:color w:val="000000"/>
                <w:kern w:val="0"/>
                <w:sz w:val="21"/>
                <w:szCs w:val="21"/>
                <w:lang w:bidi="ar"/>
              </w:rPr>
              <w:t>因素法</w:t>
            </w:r>
          </w:p>
        </w:tc>
        <w:tc>
          <w:tcPr>
            <w:tcW w:w="1783" w:type="dxa"/>
            <w:gridSpan w:val="2"/>
            <w:tcBorders>
              <w:top w:val="single" w:color="000000" w:sz="4" w:space="0"/>
              <w:left w:val="single" w:color="000000" w:sz="4" w:space="0"/>
              <w:bottom w:val="single" w:color="000000" w:sz="4" w:space="0"/>
              <w:right w:val="single" w:color="000000" w:sz="4" w:space="0"/>
            </w:tcBorders>
            <w:noWrap w:val="0"/>
            <w:vAlign w:val="center"/>
          </w:tcPr>
          <w:p w14:paraId="01C9A5FE">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F944FDD">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£据实据效</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10BFAA9B">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£因素法与项目法相结合</w:t>
            </w:r>
          </w:p>
        </w:tc>
      </w:tr>
      <w:tr w14:paraId="525D5F09">
        <w:tblPrEx>
          <w:tblCellMar>
            <w:top w:w="15" w:type="dxa"/>
            <w:left w:w="15" w:type="dxa"/>
            <w:bottom w:w="15" w:type="dxa"/>
            <w:right w:w="15" w:type="dxa"/>
          </w:tblCellMar>
        </w:tblPrEx>
        <w:trPr>
          <w:trHeight w:val="53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009881">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cs="Times New Roman"/>
                <w:sz w:val="21"/>
                <w:szCs w:val="21"/>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E008DBB">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立项依据</w:t>
            </w:r>
          </w:p>
        </w:tc>
        <w:tc>
          <w:tcPr>
            <w:tcW w:w="6483" w:type="dxa"/>
            <w:gridSpan w:val="5"/>
            <w:tcBorders>
              <w:top w:val="single" w:color="000000" w:sz="4" w:space="0"/>
              <w:left w:val="single" w:color="000000" w:sz="4" w:space="0"/>
              <w:bottom w:val="single" w:color="000000" w:sz="4" w:space="0"/>
              <w:right w:val="single" w:color="000000" w:sz="4" w:space="0"/>
            </w:tcBorders>
            <w:noWrap w:val="0"/>
            <w:vAlign w:val="center"/>
          </w:tcPr>
          <w:p w14:paraId="6F4576DE">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bidi="ar"/>
              </w:rPr>
              <w:t>四川省民政厅关于印发《四川省康复辅助器具社区租赁服务试点资金管理实施细则（暂行）》的通知（川民发〔2025〕93号）</w:t>
            </w:r>
          </w:p>
        </w:tc>
      </w:tr>
      <w:tr w14:paraId="4E1AE74D">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E4EE9E">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cs="Times New Roman"/>
                <w:sz w:val="21"/>
                <w:szCs w:val="21"/>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4E2A65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使用范围</w:t>
            </w:r>
          </w:p>
        </w:tc>
        <w:tc>
          <w:tcPr>
            <w:tcW w:w="6483" w:type="dxa"/>
            <w:gridSpan w:val="5"/>
            <w:tcBorders>
              <w:top w:val="single" w:color="000000" w:sz="4" w:space="0"/>
              <w:left w:val="single" w:color="000000" w:sz="4" w:space="0"/>
              <w:bottom w:val="single" w:color="000000" w:sz="4" w:space="0"/>
              <w:right w:val="single" w:color="000000" w:sz="4" w:space="0"/>
            </w:tcBorders>
            <w:noWrap w:val="0"/>
            <w:vAlign w:val="center"/>
          </w:tcPr>
          <w:p w14:paraId="26449593">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开展康复辅助器具租赁试点，为老年人、伤病人、残疾人提供辅具租赁服务。</w:t>
            </w:r>
          </w:p>
        </w:tc>
      </w:tr>
      <w:tr w14:paraId="34719F9F">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36A889">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cs="Times New Roman"/>
                <w:sz w:val="21"/>
                <w:szCs w:val="21"/>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C23607F">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申报（补助）条件</w:t>
            </w:r>
          </w:p>
        </w:tc>
        <w:tc>
          <w:tcPr>
            <w:tcW w:w="6483" w:type="dxa"/>
            <w:gridSpan w:val="5"/>
            <w:tcBorders>
              <w:top w:val="single" w:color="000000" w:sz="4" w:space="0"/>
              <w:left w:val="single" w:color="000000" w:sz="4" w:space="0"/>
              <w:bottom w:val="single" w:color="000000" w:sz="4" w:space="0"/>
              <w:right w:val="single" w:color="000000" w:sz="4" w:space="0"/>
            </w:tcBorders>
            <w:noWrap w:val="0"/>
            <w:vAlign w:val="center"/>
          </w:tcPr>
          <w:p w14:paraId="266E85ED">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p>
        </w:tc>
      </w:tr>
      <w:tr w14:paraId="5CE3C5AA">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FDB9A7">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cs="Times New Roman"/>
                <w:sz w:val="21"/>
                <w:szCs w:val="21"/>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0BED63C">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项目起止年限</w:t>
            </w:r>
          </w:p>
        </w:tc>
        <w:tc>
          <w:tcPr>
            <w:tcW w:w="6483" w:type="dxa"/>
            <w:gridSpan w:val="5"/>
            <w:tcBorders>
              <w:top w:val="single" w:color="000000" w:sz="4" w:space="0"/>
              <w:left w:val="single" w:color="000000" w:sz="4" w:space="0"/>
              <w:bottom w:val="single" w:color="000000" w:sz="4" w:space="0"/>
              <w:right w:val="single" w:color="000000" w:sz="4" w:space="0"/>
            </w:tcBorders>
            <w:noWrap w:val="0"/>
            <w:vAlign w:val="center"/>
          </w:tcPr>
          <w:p w14:paraId="6F2D4D64">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p>
        </w:tc>
      </w:tr>
      <w:tr w14:paraId="64D0F656">
        <w:tblPrEx>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A760561">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项目资金</w:t>
            </w:r>
          </w:p>
          <w:p w14:paraId="4013DB85">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4FE04883">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年度资金总额：</w:t>
            </w:r>
          </w:p>
        </w:tc>
        <w:tc>
          <w:tcPr>
            <w:tcW w:w="6483" w:type="dxa"/>
            <w:gridSpan w:val="5"/>
            <w:tcBorders>
              <w:top w:val="single" w:color="000000" w:sz="4" w:space="0"/>
              <w:left w:val="single" w:color="000000" w:sz="4" w:space="0"/>
              <w:bottom w:val="single" w:color="000000" w:sz="4" w:space="0"/>
              <w:right w:val="single" w:color="000000" w:sz="4" w:space="0"/>
            </w:tcBorders>
            <w:noWrap w:val="0"/>
            <w:vAlign w:val="center"/>
          </w:tcPr>
          <w:p w14:paraId="1A0A3E32">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bidi="ar"/>
              </w:rPr>
              <w:t>100万元</w:t>
            </w:r>
          </w:p>
        </w:tc>
      </w:tr>
      <w:tr w14:paraId="465F0D66">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AC88F4">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7D106B4F">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其中：财政拨款</w:t>
            </w:r>
          </w:p>
        </w:tc>
        <w:tc>
          <w:tcPr>
            <w:tcW w:w="6483" w:type="dxa"/>
            <w:gridSpan w:val="5"/>
            <w:tcBorders>
              <w:top w:val="single" w:color="000000" w:sz="4" w:space="0"/>
              <w:left w:val="single" w:color="000000" w:sz="4" w:space="0"/>
              <w:bottom w:val="single" w:color="000000" w:sz="4" w:space="0"/>
              <w:right w:val="single" w:color="000000" w:sz="4" w:space="0"/>
            </w:tcBorders>
            <w:noWrap w:val="0"/>
            <w:vAlign w:val="center"/>
          </w:tcPr>
          <w:p w14:paraId="7D146DA8">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100万元</w:t>
            </w:r>
          </w:p>
        </w:tc>
      </w:tr>
      <w:tr w14:paraId="090E40AB">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388447">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3DF06D22">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其他资金</w:t>
            </w:r>
          </w:p>
        </w:tc>
        <w:tc>
          <w:tcPr>
            <w:tcW w:w="6483" w:type="dxa"/>
            <w:gridSpan w:val="5"/>
            <w:tcBorders>
              <w:top w:val="single" w:color="000000" w:sz="4" w:space="0"/>
              <w:left w:val="single" w:color="000000" w:sz="4" w:space="0"/>
              <w:bottom w:val="single" w:color="000000" w:sz="4" w:space="0"/>
              <w:right w:val="single" w:color="000000" w:sz="4" w:space="0"/>
            </w:tcBorders>
            <w:noWrap w:val="0"/>
            <w:vAlign w:val="center"/>
          </w:tcPr>
          <w:p w14:paraId="620B99CC">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p>
        </w:tc>
      </w:tr>
      <w:tr w14:paraId="247E8A89">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D4D8927">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总体 目标</w:t>
            </w:r>
          </w:p>
        </w:tc>
        <w:tc>
          <w:tcPr>
            <w:tcW w:w="10126" w:type="dxa"/>
            <w:gridSpan w:val="8"/>
            <w:tcBorders>
              <w:top w:val="single" w:color="000000" w:sz="4" w:space="0"/>
              <w:left w:val="single" w:color="000000" w:sz="4" w:space="0"/>
              <w:bottom w:val="single" w:color="000000" w:sz="4" w:space="0"/>
              <w:right w:val="single" w:color="000000" w:sz="4" w:space="0"/>
            </w:tcBorders>
            <w:noWrap w:val="0"/>
            <w:vAlign w:val="center"/>
          </w:tcPr>
          <w:p w14:paraId="21B476E1">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年度目标</w:t>
            </w:r>
          </w:p>
        </w:tc>
      </w:tr>
      <w:tr w14:paraId="0F7B034D">
        <w:tblPrEx>
          <w:tblCellMar>
            <w:top w:w="15" w:type="dxa"/>
            <w:left w:w="15" w:type="dxa"/>
            <w:bottom w:w="15" w:type="dxa"/>
            <w:right w:w="15" w:type="dxa"/>
          </w:tblCellMar>
        </w:tblPrEx>
        <w:trPr>
          <w:trHeight w:val="74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A3E041">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p>
        </w:tc>
        <w:tc>
          <w:tcPr>
            <w:tcW w:w="10126" w:type="dxa"/>
            <w:gridSpan w:val="8"/>
            <w:tcBorders>
              <w:top w:val="single" w:color="000000" w:sz="4" w:space="0"/>
              <w:left w:val="single" w:color="000000" w:sz="4" w:space="0"/>
              <w:bottom w:val="single" w:color="000000" w:sz="4" w:space="0"/>
              <w:right w:val="single" w:color="000000" w:sz="4" w:space="0"/>
            </w:tcBorders>
            <w:noWrap w:val="0"/>
            <w:vAlign w:val="center"/>
          </w:tcPr>
          <w:p w14:paraId="5804B1A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开展康复辅助器具租赁试点，为老年人、伤病人、残疾人提供辅具租赁服务。</w:t>
            </w:r>
          </w:p>
        </w:tc>
      </w:tr>
      <w:tr w14:paraId="1918F279">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nil"/>
            </w:tcBorders>
            <w:noWrap w:val="0"/>
            <w:vAlign w:val="center"/>
          </w:tcPr>
          <w:p w14:paraId="539C9604">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绩效 指标</w:t>
            </w:r>
          </w:p>
        </w:tc>
        <w:tc>
          <w:tcPr>
            <w:tcW w:w="1081" w:type="dxa"/>
            <w:tcBorders>
              <w:top w:val="single" w:color="000000" w:sz="4" w:space="0"/>
              <w:left w:val="single" w:color="000000" w:sz="4" w:space="0"/>
              <w:bottom w:val="single" w:color="auto" w:sz="4" w:space="0"/>
              <w:right w:val="single" w:color="000000" w:sz="4" w:space="0"/>
            </w:tcBorders>
            <w:noWrap w:val="0"/>
            <w:vAlign w:val="center"/>
          </w:tcPr>
          <w:p w14:paraId="4652EDB3">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一级指标</w:t>
            </w:r>
          </w:p>
        </w:tc>
        <w:tc>
          <w:tcPr>
            <w:tcW w:w="1250" w:type="dxa"/>
            <w:tcBorders>
              <w:top w:val="single" w:color="000000" w:sz="4" w:space="0"/>
              <w:left w:val="single" w:color="000000" w:sz="4" w:space="0"/>
              <w:bottom w:val="single" w:color="auto" w:sz="4" w:space="0"/>
              <w:right w:val="single" w:color="000000" w:sz="4" w:space="0"/>
            </w:tcBorders>
            <w:noWrap w:val="0"/>
            <w:vAlign w:val="center"/>
          </w:tcPr>
          <w:p w14:paraId="0DA9FEEA">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二级指标</w:t>
            </w:r>
          </w:p>
        </w:tc>
        <w:tc>
          <w:tcPr>
            <w:tcW w:w="1312" w:type="dxa"/>
            <w:tcBorders>
              <w:top w:val="single" w:color="000000" w:sz="4" w:space="0"/>
              <w:left w:val="single" w:color="000000" w:sz="4" w:space="0"/>
              <w:bottom w:val="single" w:color="auto" w:sz="4" w:space="0"/>
              <w:right w:val="single" w:color="000000" w:sz="4" w:space="0"/>
            </w:tcBorders>
            <w:noWrap w:val="0"/>
            <w:vAlign w:val="center"/>
          </w:tcPr>
          <w:p w14:paraId="6CE9CCB4">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三级指标</w:t>
            </w:r>
          </w:p>
        </w:tc>
        <w:tc>
          <w:tcPr>
            <w:tcW w:w="1375" w:type="dxa"/>
            <w:tcBorders>
              <w:top w:val="single" w:color="000000" w:sz="4" w:space="0"/>
              <w:left w:val="single" w:color="000000" w:sz="4" w:space="0"/>
              <w:bottom w:val="single" w:color="auto" w:sz="4" w:space="0"/>
              <w:right w:val="single" w:color="000000" w:sz="4" w:space="0"/>
            </w:tcBorders>
            <w:noWrap w:val="0"/>
            <w:vAlign w:val="center"/>
          </w:tcPr>
          <w:p w14:paraId="47346CA3">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指标性质</w:t>
            </w:r>
          </w:p>
        </w:tc>
        <w:tc>
          <w:tcPr>
            <w:tcW w:w="825" w:type="dxa"/>
            <w:tcBorders>
              <w:top w:val="single" w:color="000000" w:sz="4" w:space="0"/>
              <w:left w:val="single" w:color="000000" w:sz="4" w:space="0"/>
              <w:bottom w:val="single" w:color="auto" w:sz="4" w:space="0"/>
              <w:right w:val="single" w:color="000000" w:sz="4" w:space="0"/>
            </w:tcBorders>
            <w:noWrap w:val="0"/>
            <w:vAlign w:val="center"/>
          </w:tcPr>
          <w:p w14:paraId="09B9BD1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指标值</w:t>
            </w:r>
          </w:p>
        </w:tc>
        <w:tc>
          <w:tcPr>
            <w:tcW w:w="958" w:type="dxa"/>
            <w:tcBorders>
              <w:top w:val="single" w:color="000000" w:sz="4" w:space="0"/>
              <w:left w:val="single" w:color="000000" w:sz="4" w:space="0"/>
              <w:bottom w:val="single" w:color="auto" w:sz="4" w:space="0"/>
              <w:right w:val="single" w:color="000000" w:sz="4" w:space="0"/>
            </w:tcBorders>
            <w:noWrap w:val="0"/>
            <w:vAlign w:val="center"/>
          </w:tcPr>
          <w:p w14:paraId="3E0526A6">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度量单位</w:t>
            </w:r>
          </w:p>
        </w:tc>
        <w:tc>
          <w:tcPr>
            <w:tcW w:w="938" w:type="dxa"/>
            <w:tcBorders>
              <w:top w:val="single" w:color="000000" w:sz="4" w:space="0"/>
              <w:left w:val="single" w:color="000000" w:sz="4" w:space="0"/>
              <w:bottom w:val="single" w:color="auto" w:sz="4" w:space="0"/>
              <w:right w:val="single" w:color="000000" w:sz="4" w:space="0"/>
            </w:tcBorders>
            <w:noWrap w:val="0"/>
            <w:vAlign w:val="center"/>
          </w:tcPr>
          <w:p w14:paraId="58095C9D">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权重</w:t>
            </w:r>
          </w:p>
        </w:tc>
        <w:tc>
          <w:tcPr>
            <w:tcW w:w="2387" w:type="dxa"/>
            <w:tcBorders>
              <w:top w:val="single" w:color="000000" w:sz="4" w:space="0"/>
              <w:left w:val="single" w:color="000000" w:sz="4" w:space="0"/>
              <w:bottom w:val="single" w:color="auto" w:sz="4" w:space="0"/>
              <w:right w:val="single" w:color="000000" w:sz="4" w:space="0"/>
            </w:tcBorders>
            <w:noWrap w:val="0"/>
            <w:vAlign w:val="center"/>
          </w:tcPr>
          <w:p w14:paraId="303C0DC4">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实际完成指标值</w:t>
            </w:r>
          </w:p>
        </w:tc>
      </w:tr>
      <w:tr w14:paraId="77EC4D1B">
        <w:tblPrEx>
          <w:tblCellMar>
            <w:top w:w="15" w:type="dxa"/>
            <w:left w:w="15" w:type="dxa"/>
            <w:bottom w:w="15" w:type="dxa"/>
            <w:right w:w="15" w:type="dxa"/>
          </w:tblCellMar>
        </w:tblPrEx>
        <w:trPr>
          <w:trHeight w:val="1140" w:hRule="atLeast"/>
          <w:jc w:val="center"/>
        </w:trPr>
        <w:tc>
          <w:tcPr>
            <w:tcW w:w="652" w:type="dxa"/>
            <w:vMerge w:val="continue"/>
            <w:tcBorders>
              <w:top w:val="single" w:color="000000" w:sz="4" w:space="0"/>
              <w:left w:val="single" w:color="000000" w:sz="4" w:space="0"/>
              <w:bottom w:val="single" w:color="000000" w:sz="4" w:space="0"/>
              <w:right w:val="single" w:color="auto" w:sz="4" w:space="0"/>
            </w:tcBorders>
            <w:noWrap w:val="0"/>
            <w:vAlign w:val="center"/>
          </w:tcPr>
          <w:p w14:paraId="3A4E2D3A">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559A401E">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产出指标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2CA1901E">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数量指标</w:t>
            </w:r>
          </w:p>
        </w:tc>
        <w:tc>
          <w:tcPr>
            <w:tcW w:w="1312" w:type="dxa"/>
            <w:tcBorders>
              <w:top w:val="single" w:color="auto" w:sz="4" w:space="0"/>
              <w:left w:val="single" w:color="auto" w:sz="4" w:space="0"/>
              <w:bottom w:val="single" w:color="auto" w:sz="4" w:space="0"/>
              <w:right w:val="single" w:color="auto" w:sz="4" w:space="0"/>
            </w:tcBorders>
            <w:noWrap w:val="0"/>
            <w:vAlign w:val="center"/>
          </w:tcPr>
          <w:p w14:paraId="0BD933A2">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建设康复辅助器具租赁服务点</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62E08CC1">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定量</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36F566F6">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≥3</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1DB2FC6D">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个</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2349952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20%</w:t>
            </w:r>
          </w:p>
        </w:tc>
        <w:tc>
          <w:tcPr>
            <w:tcW w:w="2387" w:type="dxa"/>
            <w:tcBorders>
              <w:top w:val="single" w:color="auto" w:sz="4" w:space="0"/>
              <w:left w:val="single" w:color="auto" w:sz="4" w:space="0"/>
              <w:bottom w:val="single" w:color="auto" w:sz="4" w:space="0"/>
              <w:right w:val="single" w:color="auto" w:sz="4" w:space="0"/>
            </w:tcBorders>
            <w:noWrap w:val="0"/>
            <w:vAlign w:val="center"/>
          </w:tcPr>
          <w:p w14:paraId="7163554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3</w:t>
            </w:r>
          </w:p>
        </w:tc>
      </w:tr>
      <w:tr w14:paraId="62E2FCEA">
        <w:tblPrEx>
          <w:tblCellMar>
            <w:top w:w="15" w:type="dxa"/>
            <w:left w:w="15" w:type="dxa"/>
            <w:bottom w:w="15" w:type="dxa"/>
            <w:right w:w="15" w:type="dxa"/>
          </w:tblCellMar>
        </w:tblPrEx>
        <w:trPr>
          <w:trHeight w:val="1140" w:hRule="atLeast"/>
          <w:jc w:val="center"/>
        </w:trPr>
        <w:tc>
          <w:tcPr>
            <w:tcW w:w="652" w:type="dxa"/>
            <w:vMerge w:val="continue"/>
            <w:tcBorders>
              <w:top w:val="single" w:color="000000" w:sz="4" w:space="0"/>
              <w:left w:val="single" w:color="000000" w:sz="4" w:space="0"/>
              <w:bottom w:val="single" w:color="000000" w:sz="4" w:space="0"/>
              <w:right w:val="single" w:color="auto" w:sz="4" w:space="0"/>
            </w:tcBorders>
            <w:noWrap w:val="0"/>
            <w:vAlign w:val="center"/>
          </w:tcPr>
          <w:p w14:paraId="47603DBA">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cs="Times New Roman"/>
                <w:sz w:val="21"/>
                <w:szCs w:val="21"/>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2A32578E">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效益指标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73142CF2">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社会效益</w:t>
            </w:r>
          </w:p>
          <w:p w14:paraId="323ECCB0">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指标</w:t>
            </w:r>
          </w:p>
        </w:tc>
        <w:tc>
          <w:tcPr>
            <w:tcW w:w="1312" w:type="dxa"/>
            <w:tcBorders>
              <w:top w:val="single" w:color="auto" w:sz="4" w:space="0"/>
              <w:left w:val="single" w:color="auto" w:sz="4" w:space="0"/>
              <w:bottom w:val="single" w:color="auto" w:sz="4" w:space="0"/>
              <w:right w:val="single" w:color="auto" w:sz="4" w:space="0"/>
            </w:tcBorders>
            <w:noWrap w:val="0"/>
            <w:vAlign w:val="center"/>
          </w:tcPr>
          <w:p w14:paraId="26AB1FA6">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支持残疾人福利事业发展成效</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52597BC2">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定性</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2508A864">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成效显著</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0806EC8C">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p>
        </w:tc>
        <w:tc>
          <w:tcPr>
            <w:tcW w:w="938" w:type="dxa"/>
            <w:tcBorders>
              <w:top w:val="single" w:color="auto" w:sz="4" w:space="0"/>
              <w:left w:val="single" w:color="auto" w:sz="4" w:space="0"/>
              <w:bottom w:val="single" w:color="auto" w:sz="4" w:space="0"/>
              <w:right w:val="single" w:color="auto" w:sz="4" w:space="0"/>
            </w:tcBorders>
            <w:noWrap w:val="0"/>
            <w:vAlign w:val="center"/>
          </w:tcPr>
          <w:p w14:paraId="6CC76A28">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40%</w:t>
            </w:r>
          </w:p>
        </w:tc>
        <w:tc>
          <w:tcPr>
            <w:tcW w:w="2387" w:type="dxa"/>
            <w:tcBorders>
              <w:top w:val="single" w:color="auto" w:sz="4" w:space="0"/>
              <w:left w:val="single" w:color="auto" w:sz="4" w:space="0"/>
              <w:bottom w:val="single" w:color="auto" w:sz="4" w:space="0"/>
              <w:right w:val="single" w:color="auto" w:sz="4" w:space="0"/>
            </w:tcBorders>
            <w:noWrap w:val="0"/>
            <w:vAlign w:val="center"/>
          </w:tcPr>
          <w:p w14:paraId="6FB1C386">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成效显著</w:t>
            </w:r>
          </w:p>
        </w:tc>
      </w:tr>
      <w:tr w14:paraId="0FAC7498">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auto" w:sz="4" w:space="0"/>
            </w:tcBorders>
            <w:noWrap w:val="0"/>
            <w:vAlign w:val="center"/>
          </w:tcPr>
          <w:p w14:paraId="01391BF6">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cs="Times New Roman"/>
                <w:sz w:val="21"/>
                <w:szCs w:val="21"/>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0A58AD66">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满意度</w:t>
            </w:r>
          </w:p>
          <w:p w14:paraId="64B1BC02">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5F971554">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服务对象</w:t>
            </w:r>
          </w:p>
          <w:p w14:paraId="090647F5">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满意度指标</w:t>
            </w:r>
          </w:p>
        </w:tc>
        <w:tc>
          <w:tcPr>
            <w:tcW w:w="1312" w:type="dxa"/>
            <w:tcBorders>
              <w:top w:val="single" w:color="auto" w:sz="4" w:space="0"/>
              <w:left w:val="single" w:color="auto" w:sz="4" w:space="0"/>
              <w:bottom w:val="single" w:color="auto" w:sz="4" w:space="0"/>
              <w:right w:val="single" w:color="auto" w:sz="4" w:space="0"/>
            </w:tcBorders>
            <w:noWrap w:val="0"/>
            <w:vAlign w:val="center"/>
          </w:tcPr>
          <w:p w14:paraId="1361358A">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康复辅助器具租赁服务对象满意度</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3C9A7312">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定理</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1AB1D274">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≥90</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4B57FF2B">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52CED69C">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40%</w:t>
            </w:r>
          </w:p>
        </w:tc>
        <w:tc>
          <w:tcPr>
            <w:tcW w:w="2387" w:type="dxa"/>
            <w:tcBorders>
              <w:top w:val="single" w:color="auto" w:sz="4" w:space="0"/>
              <w:left w:val="single" w:color="auto" w:sz="4" w:space="0"/>
              <w:bottom w:val="single" w:color="auto" w:sz="4" w:space="0"/>
              <w:right w:val="single" w:color="auto" w:sz="4" w:space="0"/>
            </w:tcBorders>
            <w:noWrap w:val="0"/>
            <w:vAlign w:val="center"/>
          </w:tcPr>
          <w:p w14:paraId="587D894E">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90%</w:t>
            </w:r>
          </w:p>
        </w:tc>
      </w:tr>
    </w:tbl>
    <w:p w14:paraId="59980685">
      <w:pPr>
        <w:keepNext w:val="0"/>
        <w:keepLines w:val="0"/>
        <w:pageBreakBefore w:val="0"/>
        <w:kinsoku/>
        <w:wordWrap/>
        <w:overflowPunct/>
        <w:topLinePunct w:val="0"/>
        <w:autoSpaceDE/>
        <w:bidi w:val="0"/>
        <w:snapToGrid w:val="0"/>
        <w:spacing w:line="560" w:lineRule="exact"/>
        <w:rPr>
          <w:rFonts w:hint="default" w:ascii="Times New Roman" w:hAnsi="Times New Roman" w:eastAsia="黑体" w:cs="Times New Roman"/>
          <w:kern w:val="0"/>
          <w:shd w:val="clear" w:color="auto" w:fill="FFFFFF"/>
          <w:lang w:val="zh-CN" w:eastAsia="zh-CN"/>
        </w:rPr>
      </w:pPr>
    </w:p>
    <w:p w14:paraId="135BB715">
      <w:pPr>
        <w:keepNext w:val="0"/>
        <w:keepLines w:val="0"/>
        <w:pageBreakBefore w:val="0"/>
        <w:kinsoku/>
        <w:wordWrap/>
        <w:overflowPunct/>
        <w:topLinePunct w:val="0"/>
        <w:autoSpaceDE/>
        <w:bidi w:val="0"/>
        <w:snapToGrid w:val="0"/>
        <w:spacing w:line="560" w:lineRule="exact"/>
        <w:rPr>
          <w:rFonts w:hint="default" w:ascii="Times New Roman" w:hAnsi="Times New Roman" w:eastAsia="黑体" w:cs="Times New Roman"/>
          <w:kern w:val="0"/>
          <w:shd w:val="clear" w:color="auto" w:fill="FFFFFF"/>
          <w:lang w:val="en-US" w:eastAsia="zh-CN"/>
        </w:rPr>
      </w:pPr>
      <w:r>
        <w:rPr>
          <w:rFonts w:hint="default" w:ascii="Times New Roman" w:hAnsi="Times New Roman" w:eastAsia="黑体" w:cs="Times New Roman"/>
          <w:kern w:val="0"/>
          <w:shd w:val="clear" w:color="auto" w:fill="FFFFFF"/>
          <w:lang w:val="zh-CN" w:eastAsia="zh-CN"/>
        </w:rPr>
        <w:t>附表</w:t>
      </w:r>
      <w:r>
        <w:rPr>
          <w:rFonts w:hint="default" w:ascii="Times New Roman" w:hAnsi="Times New Roman" w:eastAsia="黑体" w:cs="Times New Roman"/>
          <w:kern w:val="0"/>
          <w:shd w:val="clear" w:color="auto" w:fill="FFFFFF"/>
        </w:rPr>
        <w:t>3</w:t>
      </w:r>
      <w:r>
        <w:rPr>
          <w:rFonts w:hint="default" w:ascii="Times New Roman" w:hAnsi="Times New Roman" w:eastAsia="黑体" w:cs="Times New Roman"/>
          <w:kern w:val="0"/>
          <w:shd w:val="clear" w:color="auto" w:fill="FFFFFF"/>
          <w:lang w:val="en-US" w:eastAsia="zh-CN"/>
        </w:rPr>
        <w:t>-3</w:t>
      </w:r>
    </w:p>
    <w:tbl>
      <w:tblPr>
        <w:tblStyle w:val="17"/>
        <w:tblW w:w="10233" w:type="dxa"/>
        <w:jc w:val="center"/>
        <w:tblLayout w:type="fixed"/>
        <w:tblCellMar>
          <w:top w:w="15" w:type="dxa"/>
          <w:left w:w="15" w:type="dxa"/>
          <w:bottom w:w="15" w:type="dxa"/>
          <w:right w:w="15" w:type="dxa"/>
        </w:tblCellMar>
      </w:tblPr>
      <w:tblGrid>
        <w:gridCol w:w="652"/>
        <w:gridCol w:w="1175"/>
        <w:gridCol w:w="1100"/>
        <w:gridCol w:w="1368"/>
        <w:gridCol w:w="1375"/>
        <w:gridCol w:w="1127"/>
        <w:gridCol w:w="657"/>
        <w:gridCol w:w="938"/>
        <w:gridCol w:w="1841"/>
      </w:tblGrid>
      <w:tr w14:paraId="62E315B6">
        <w:tblPrEx>
          <w:tblCellMar>
            <w:top w:w="15" w:type="dxa"/>
            <w:left w:w="15" w:type="dxa"/>
            <w:bottom w:w="15" w:type="dxa"/>
            <w:right w:w="15" w:type="dxa"/>
          </w:tblCellMar>
        </w:tblPrEx>
        <w:trPr>
          <w:trHeight w:val="576" w:hRule="atLeast"/>
          <w:jc w:val="center"/>
        </w:trPr>
        <w:tc>
          <w:tcPr>
            <w:tcW w:w="10233" w:type="dxa"/>
            <w:gridSpan w:val="9"/>
            <w:tcBorders>
              <w:top w:val="nil"/>
              <w:left w:val="nil"/>
              <w:bottom w:val="nil"/>
              <w:right w:val="nil"/>
            </w:tcBorders>
            <w:noWrap w:val="0"/>
            <w:vAlign w:val="center"/>
          </w:tcPr>
          <w:p w14:paraId="39498824">
            <w:pPr>
              <w:keepNext w:val="0"/>
              <w:keepLines w:val="0"/>
              <w:pageBreakBefore w:val="0"/>
              <w:widowControl/>
              <w:kinsoku/>
              <w:wordWrap/>
              <w:overflowPunct/>
              <w:topLinePunct w:val="0"/>
              <w:autoSpaceDE/>
              <w:bidi w:val="0"/>
              <w:spacing w:line="560" w:lineRule="exact"/>
              <w:jc w:val="center"/>
              <w:textAlignment w:val="center"/>
              <w:rPr>
                <w:rFonts w:hint="default" w:ascii="Times New Roman" w:hAnsi="Times New Roman" w:eastAsia="黑体" w:cs="Times New Roman"/>
                <w:color w:val="000000"/>
                <w:sz w:val="30"/>
                <w:szCs w:val="30"/>
              </w:rPr>
            </w:pPr>
            <w:r>
              <w:rPr>
                <w:rFonts w:hint="default" w:ascii="Times New Roman" w:hAnsi="Times New Roman" w:eastAsia="方正小标宋简体" w:cs="Times New Roman"/>
                <w:color w:val="000000"/>
                <w:kern w:val="0"/>
                <w:sz w:val="40"/>
                <w:szCs w:val="40"/>
                <w:lang w:bidi="ar"/>
              </w:rPr>
              <w:t>专项预算项目绩效目标完成情况自评表</w:t>
            </w:r>
          </w:p>
        </w:tc>
      </w:tr>
      <w:tr w14:paraId="4EC2AB52">
        <w:tblPrEx>
          <w:tblCellMar>
            <w:top w:w="15" w:type="dxa"/>
            <w:left w:w="15" w:type="dxa"/>
            <w:bottom w:w="15" w:type="dxa"/>
            <w:right w:w="15" w:type="dxa"/>
          </w:tblCellMar>
        </w:tblPrEx>
        <w:trPr>
          <w:trHeight w:val="292"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5F2780B7">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4A8C08E">
            <w:pPr>
              <w:keepNext w:val="0"/>
              <w:keepLines w:val="0"/>
              <w:pageBreakBefore w:val="0"/>
              <w:kinsoku/>
              <w:wordWrap/>
              <w:overflowPunct/>
              <w:topLinePunct w:val="0"/>
              <w:autoSpaceDE/>
              <w:autoSpaceDN/>
              <w:bidi w:val="0"/>
              <w:adjustRightInd/>
              <w:snapToGrid/>
              <w:spacing w:line="560" w:lineRule="exact"/>
              <w:ind w:firstLine="534" w:firstLineChars="300"/>
              <w:jc w:val="center"/>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spacing w:val="-16"/>
                <w:sz w:val="21"/>
                <w:szCs w:val="21"/>
                <w:lang w:bidi="ar-SA"/>
              </w:rPr>
              <w:t>福彩圆梦·孤儿助学工程</w:t>
            </w:r>
          </w:p>
        </w:tc>
      </w:tr>
      <w:tr w14:paraId="0217CA6E">
        <w:tblPrEx>
          <w:tblCellMar>
            <w:top w:w="15" w:type="dxa"/>
            <w:left w:w="15" w:type="dxa"/>
            <w:bottom w:w="15" w:type="dxa"/>
            <w:right w:w="15" w:type="dxa"/>
          </w:tblCellMar>
        </w:tblPrEx>
        <w:trPr>
          <w:trHeight w:val="280"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2FDE4DCE">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ED0F5C4">
            <w:pPr>
              <w:keepNext w:val="0"/>
              <w:keepLines w:val="0"/>
              <w:pageBreakBefore w:val="0"/>
              <w:kinsoku/>
              <w:wordWrap/>
              <w:overflowPunct/>
              <w:topLinePunct w:val="0"/>
              <w:autoSpaceDE/>
              <w:autoSpaceDN/>
              <w:bidi w:val="0"/>
              <w:adjustRightInd/>
              <w:snapToGrid/>
              <w:spacing w:line="560" w:lineRule="exact"/>
              <w:ind w:firstLine="630" w:firstLineChars="300"/>
              <w:jc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sz w:val="21"/>
                <w:szCs w:val="21"/>
                <w:lang w:bidi="ar-SA"/>
              </w:rPr>
              <w:t>攀枝花市民政局</w:t>
            </w:r>
          </w:p>
        </w:tc>
      </w:tr>
      <w:tr w14:paraId="0012CA7E">
        <w:tblPrEx>
          <w:tblCellMar>
            <w:top w:w="15" w:type="dxa"/>
            <w:left w:w="15" w:type="dxa"/>
            <w:bottom w:w="15" w:type="dxa"/>
            <w:right w:w="15" w:type="dxa"/>
          </w:tblCellMar>
        </w:tblPrEx>
        <w:trPr>
          <w:trHeight w:val="330"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685029D2">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5BB6703">
            <w:pPr>
              <w:keepNext w:val="0"/>
              <w:keepLines w:val="0"/>
              <w:pageBreakBefore w:val="0"/>
              <w:kinsoku/>
              <w:wordWrap/>
              <w:overflowPunct/>
              <w:topLinePunct w:val="0"/>
              <w:autoSpaceDE/>
              <w:autoSpaceDN/>
              <w:bidi w:val="0"/>
              <w:adjustRightInd/>
              <w:snapToGrid/>
              <w:spacing w:line="560" w:lineRule="exact"/>
              <w:ind w:firstLine="630" w:firstLineChars="300"/>
              <w:jc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sz w:val="21"/>
                <w:szCs w:val="21"/>
                <w:lang w:bidi="ar-SA"/>
              </w:rPr>
              <w:t>民政事业补助资金</w:t>
            </w:r>
          </w:p>
        </w:tc>
      </w:tr>
      <w:tr w14:paraId="48DCD46B">
        <w:tblPrEx>
          <w:tblCellMar>
            <w:top w:w="15" w:type="dxa"/>
            <w:left w:w="15" w:type="dxa"/>
            <w:bottom w:w="15" w:type="dxa"/>
            <w:right w:w="15" w:type="dxa"/>
          </w:tblCellMar>
        </w:tblPrEx>
        <w:trPr>
          <w:trHeight w:val="510"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E121012">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4D91D1F0">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中长期规划（名称、文号，仅指</w:t>
            </w:r>
          </w:p>
          <w:p w14:paraId="1A08BBE0">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5F4D42A">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民政部办公厅关于印发《“福彩圆梦·孤儿助学工程”项目实施暂行办法》的通知（民办发〔2019〕24号）</w:t>
            </w:r>
          </w:p>
          <w:p w14:paraId="3665823F">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四川省民政厅办公室《四川省民政厅办公室关于做好“福彩圆梦·孤儿助学工程”工作的通知》（厅办〔2019〕35号）</w:t>
            </w:r>
          </w:p>
        </w:tc>
      </w:tr>
      <w:tr w14:paraId="79A644E1">
        <w:tblPrEx>
          <w:tblCellMar>
            <w:top w:w="15" w:type="dxa"/>
            <w:left w:w="15" w:type="dxa"/>
            <w:bottom w:w="15" w:type="dxa"/>
            <w:right w:w="15" w:type="dxa"/>
          </w:tblCellMar>
        </w:tblPrEx>
        <w:trPr>
          <w:trHeight w:val="54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F6C12A">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cs="Times New Roman"/>
                <w:sz w:val="21"/>
                <w:szCs w:val="21"/>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53264CE">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AD0395F">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四川省民政厅办公室《四川省民政厅办公室关于做好“福彩圆梦·孤儿助学工程”工作的通知》（厅办〔2019〕35号）</w:t>
            </w:r>
          </w:p>
        </w:tc>
      </w:tr>
      <w:tr w14:paraId="38A4BB6D">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11DFC6">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cs="Times New Roman"/>
                <w:sz w:val="21"/>
                <w:szCs w:val="21"/>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601CEC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绩效分配方式</w:t>
            </w:r>
          </w:p>
        </w:tc>
        <w:tc>
          <w:tcPr>
            <w:tcW w:w="1375" w:type="dxa"/>
            <w:tcBorders>
              <w:top w:val="single" w:color="000000" w:sz="4" w:space="0"/>
              <w:left w:val="single" w:color="000000" w:sz="4" w:space="0"/>
              <w:bottom w:val="single" w:color="000000" w:sz="4" w:space="0"/>
              <w:right w:val="single" w:color="000000" w:sz="4" w:space="0"/>
            </w:tcBorders>
            <w:noWrap w:val="0"/>
            <w:vAlign w:val="center"/>
          </w:tcPr>
          <w:p w14:paraId="15107B77">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sym w:font="Wingdings 2" w:char="0052"/>
            </w:r>
            <w:r>
              <w:rPr>
                <w:rFonts w:hint="default" w:ascii="Times New Roman" w:hAnsi="Times New Roman" w:eastAsia="方正仿宋_GBK" w:cs="Times New Roman"/>
                <w:color w:val="000000"/>
                <w:kern w:val="0"/>
                <w:sz w:val="21"/>
                <w:szCs w:val="21"/>
                <w:lang w:bidi="ar"/>
              </w:rPr>
              <w:t>因素法</w:t>
            </w:r>
          </w:p>
        </w:tc>
        <w:tc>
          <w:tcPr>
            <w:tcW w:w="1784" w:type="dxa"/>
            <w:gridSpan w:val="2"/>
            <w:tcBorders>
              <w:top w:val="single" w:color="000000" w:sz="4" w:space="0"/>
              <w:left w:val="single" w:color="000000" w:sz="4" w:space="0"/>
              <w:bottom w:val="single" w:color="000000" w:sz="4" w:space="0"/>
              <w:right w:val="single" w:color="000000" w:sz="4" w:space="0"/>
            </w:tcBorders>
            <w:noWrap w:val="0"/>
            <w:vAlign w:val="center"/>
          </w:tcPr>
          <w:p w14:paraId="14F1CCD6">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1E4E102">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4249F8E">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£因素法与项目法相结合</w:t>
            </w:r>
          </w:p>
        </w:tc>
      </w:tr>
      <w:tr w14:paraId="0F2C86A9">
        <w:tblPrEx>
          <w:tblCellMar>
            <w:top w:w="15" w:type="dxa"/>
            <w:left w:w="15" w:type="dxa"/>
            <w:bottom w:w="15" w:type="dxa"/>
            <w:right w:w="15" w:type="dxa"/>
          </w:tblCellMar>
        </w:tblPrEx>
        <w:trPr>
          <w:trHeight w:val="53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FB1A99">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cs="Times New Roman"/>
                <w:sz w:val="21"/>
                <w:szCs w:val="21"/>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3B393B5">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F7D38F4">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民政部办公厅关于印发《“福彩圆梦·孤儿助学工程”项目实施暂行办法》的通知（民办发〔2019〕24号）</w:t>
            </w:r>
          </w:p>
          <w:p w14:paraId="053FA2E3">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bidi="ar"/>
              </w:rPr>
              <w:t>四川省民政厅办公室《四川省民政厅办公室关于做好“福彩圆梦·孤儿助学工程”工作的通知》（厅办〔2019〕35号）</w:t>
            </w:r>
          </w:p>
        </w:tc>
      </w:tr>
      <w:tr w14:paraId="5BBD0D05">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EA6355">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cs="Times New Roman"/>
                <w:sz w:val="21"/>
                <w:szCs w:val="21"/>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4ABEB5A">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FE3CA45">
            <w:pPr>
              <w:keepNext w:val="0"/>
              <w:keepLines w:val="0"/>
              <w:pageBreakBefore w:val="0"/>
              <w:kinsoku/>
              <w:wordWrap/>
              <w:overflowPunct/>
              <w:topLinePunct w:val="0"/>
              <w:autoSpaceDE/>
              <w:autoSpaceDN/>
              <w:bidi w:val="0"/>
              <w:adjustRightInd/>
              <w:snapToGrid/>
              <w:spacing w:line="560" w:lineRule="exact"/>
              <w:jc w:val="left"/>
              <w:rPr>
                <w:rFonts w:hint="default" w:ascii="Times New Roman" w:hAnsi="Times New Roman" w:eastAsia="方正仿宋_GBK" w:cs="Times New Roman"/>
                <w:color w:val="000000"/>
                <w:sz w:val="21"/>
                <w:szCs w:val="21"/>
                <w:lang w:val="en-US" w:eastAsia="zh-CN"/>
              </w:rPr>
            </w:pPr>
            <w:r>
              <w:rPr>
                <w:rFonts w:hint="default" w:ascii="Times New Roman" w:hAnsi="Times New Roman" w:eastAsia="方正仿宋_GBK" w:cs="Times New Roman"/>
                <w:color w:val="000000"/>
                <w:sz w:val="21"/>
                <w:szCs w:val="21"/>
                <w:lang w:bidi="ar-SA"/>
              </w:rPr>
              <w:t>资助孤</w:t>
            </w:r>
            <w:r>
              <w:rPr>
                <w:rFonts w:hint="default" w:ascii="Times New Roman" w:hAnsi="Times New Roman" w:eastAsia="方正仿宋_GBK" w:cs="Times New Roman"/>
                <w:color w:val="000000"/>
                <w:sz w:val="21"/>
                <w:szCs w:val="21"/>
                <w:lang w:val="en-US" w:eastAsia="zh-CN" w:bidi="ar-SA"/>
              </w:rPr>
              <w:t>就学，</w:t>
            </w:r>
            <w:r>
              <w:rPr>
                <w:rFonts w:hint="default" w:ascii="Times New Roman" w:hAnsi="Times New Roman" w:eastAsia="方正仿宋_GBK" w:cs="Times New Roman"/>
                <w:color w:val="000000"/>
                <w:sz w:val="21"/>
                <w:szCs w:val="21"/>
                <w:lang w:bidi="ar-SA"/>
              </w:rPr>
              <w:t>提升儿童福利保障水平</w:t>
            </w:r>
            <w:r>
              <w:rPr>
                <w:rFonts w:hint="default" w:ascii="Times New Roman" w:hAnsi="Times New Roman" w:eastAsia="方正仿宋_GBK" w:cs="Times New Roman"/>
                <w:color w:val="000000"/>
                <w:sz w:val="21"/>
                <w:szCs w:val="21"/>
                <w:lang w:eastAsia="zh-CN" w:bidi="ar-SA"/>
              </w:rPr>
              <w:t>。</w:t>
            </w:r>
          </w:p>
        </w:tc>
      </w:tr>
      <w:tr w14:paraId="64BFA0F4">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C40971">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cs="Times New Roman"/>
                <w:sz w:val="21"/>
                <w:szCs w:val="21"/>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2B03E83">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A4578D9">
            <w:pPr>
              <w:keepNext w:val="0"/>
              <w:keepLines w:val="0"/>
              <w:pageBreakBefore w:val="0"/>
              <w:kinsoku/>
              <w:wordWrap/>
              <w:overflowPunct/>
              <w:topLinePunct w:val="0"/>
              <w:autoSpaceDE/>
              <w:autoSpaceDN/>
              <w:bidi w:val="0"/>
              <w:adjustRightInd/>
              <w:snapToGrid/>
              <w:spacing w:line="560" w:lineRule="exact"/>
              <w:jc w:val="left"/>
              <w:rPr>
                <w:rFonts w:hint="default" w:ascii="Times New Roman" w:hAnsi="Times New Roman" w:eastAsia="宋体" w:cs="Times New Roman"/>
                <w:color w:val="000000"/>
                <w:sz w:val="21"/>
                <w:szCs w:val="21"/>
              </w:rPr>
            </w:pPr>
          </w:p>
        </w:tc>
      </w:tr>
      <w:tr w14:paraId="2F505F2A">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87E8C1">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cs="Times New Roman"/>
                <w:sz w:val="21"/>
                <w:szCs w:val="21"/>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997E996">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F39AA78">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eastAsia="宋体" w:cs="Times New Roman"/>
                <w:color w:val="000000"/>
                <w:sz w:val="21"/>
                <w:szCs w:val="21"/>
              </w:rPr>
            </w:pPr>
          </w:p>
        </w:tc>
      </w:tr>
      <w:tr w14:paraId="7D3A9CA0">
        <w:tblPrEx>
          <w:tblCellMar>
            <w:top w:w="15" w:type="dxa"/>
            <w:left w:w="15" w:type="dxa"/>
            <w:bottom w:w="15" w:type="dxa"/>
            <w:right w:w="15" w:type="dxa"/>
          </w:tblCellMar>
        </w:tblPrEx>
        <w:trPr>
          <w:trHeight w:val="23" w:hRule="atLeast"/>
          <w:jc w:val="center"/>
        </w:trPr>
        <w:tc>
          <w:tcPr>
            <w:tcW w:w="1827"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A49D7E7">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项目资金</w:t>
            </w:r>
          </w:p>
          <w:p w14:paraId="6A6E75BD">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（万元）</w:t>
            </w:r>
          </w:p>
        </w:tc>
        <w:tc>
          <w:tcPr>
            <w:tcW w:w="2468" w:type="dxa"/>
            <w:gridSpan w:val="2"/>
            <w:tcBorders>
              <w:top w:val="single" w:color="000000" w:sz="4" w:space="0"/>
              <w:left w:val="single" w:color="000000" w:sz="4" w:space="0"/>
              <w:bottom w:val="single" w:color="000000" w:sz="4" w:space="0"/>
              <w:right w:val="single" w:color="000000" w:sz="4" w:space="0"/>
            </w:tcBorders>
            <w:noWrap w:val="0"/>
            <w:vAlign w:val="center"/>
          </w:tcPr>
          <w:p w14:paraId="23C316F0">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448D79D">
            <w:pPr>
              <w:keepNext w:val="0"/>
              <w:keepLines w:val="0"/>
              <w:pageBreakBefore w:val="0"/>
              <w:kinsoku/>
              <w:wordWrap/>
              <w:overflowPunct/>
              <w:topLinePunct w:val="0"/>
              <w:autoSpaceDE/>
              <w:autoSpaceDN/>
              <w:bidi w:val="0"/>
              <w:adjustRightInd/>
              <w:snapToGrid/>
              <w:spacing w:line="560" w:lineRule="exact"/>
              <w:ind w:firstLine="1470" w:firstLineChars="700"/>
              <w:jc w:val="both"/>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 w:val="21"/>
                <w:szCs w:val="21"/>
                <w:lang w:val="en-US" w:eastAsia="zh-CN"/>
              </w:rPr>
              <w:t>40</w:t>
            </w:r>
            <w:r>
              <w:rPr>
                <w:rFonts w:hint="default" w:ascii="Times New Roman" w:hAnsi="Times New Roman" w:eastAsia="方正仿宋_GBK" w:cs="Times New Roman"/>
                <w:color w:val="000000"/>
                <w:sz w:val="21"/>
                <w:szCs w:val="21"/>
                <w:lang w:val="en-US" w:eastAsia="zh-CN" w:bidi="ar-SA"/>
              </w:rPr>
              <w:t>万元</w:t>
            </w:r>
          </w:p>
        </w:tc>
      </w:tr>
      <w:tr w14:paraId="7C2E2972">
        <w:tblPrEx>
          <w:tblCellMar>
            <w:top w:w="15" w:type="dxa"/>
            <w:left w:w="15" w:type="dxa"/>
            <w:bottom w:w="15" w:type="dxa"/>
            <w:right w:w="15" w:type="dxa"/>
          </w:tblCellMar>
        </w:tblPrEx>
        <w:trPr>
          <w:trHeight w:val="23" w:hRule="atLeast"/>
          <w:jc w:val="center"/>
        </w:trPr>
        <w:tc>
          <w:tcPr>
            <w:tcW w:w="1827"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155A25">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cs="Times New Roman"/>
                <w:sz w:val="21"/>
                <w:szCs w:val="21"/>
              </w:rPr>
            </w:pPr>
          </w:p>
        </w:tc>
        <w:tc>
          <w:tcPr>
            <w:tcW w:w="2468" w:type="dxa"/>
            <w:gridSpan w:val="2"/>
            <w:tcBorders>
              <w:top w:val="single" w:color="000000" w:sz="4" w:space="0"/>
              <w:left w:val="single" w:color="000000" w:sz="4" w:space="0"/>
              <w:bottom w:val="single" w:color="000000" w:sz="4" w:space="0"/>
              <w:right w:val="single" w:color="000000" w:sz="4" w:space="0"/>
            </w:tcBorders>
            <w:noWrap w:val="0"/>
            <w:vAlign w:val="center"/>
          </w:tcPr>
          <w:p w14:paraId="175B2A44">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1A133A8">
            <w:pPr>
              <w:keepNext w:val="0"/>
              <w:keepLines w:val="0"/>
              <w:pageBreakBefore w:val="0"/>
              <w:kinsoku/>
              <w:wordWrap/>
              <w:overflowPunct/>
              <w:topLinePunct w:val="0"/>
              <w:autoSpaceDE/>
              <w:autoSpaceDN/>
              <w:bidi w:val="0"/>
              <w:adjustRightInd/>
              <w:snapToGrid/>
              <w:spacing w:line="560" w:lineRule="exact"/>
              <w:ind w:firstLine="1470" w:firstLineChars="700"/>
              <w:jc w:val="both"/>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 w:val="21"/>
                <w:szCs w:val="21"/>
                <w:lang w:val="en-US" w:eastAsia="zh-CN"/>
              </w:rPr>
              <w:t>40</w:t>
            </w:r>
            <w:r>
              <w:rPr>
                <w:rFonts w:hint="default" w:ascii="Times New Roman" w:hAnsi="Times New Roman" w:eastAsia="方正仿宋_GBK" w:cs="Times New Roman"/>
                <w:color w:val="000000"/>
                <w:sz w:val="21"/>
                <w:szCs w:val="21"/>
                <w:lang w:val="en-US" w:eastAsia="zh-CN" w:bidi="ar-SA"/>
              </w:rPr>
              <w:t>万元</w:t>
            </w:r>
          </w:p>
        </w:tc>
      </w:tr>
      <w:tr w14:paraId="168999DE">
        <w:tblPrEx>
          <w:tblCellMar>
            <w:top w:w="15" w:type="dxa"/>
            <w:left w:w="15" w:type="dxa"/>
            <w:bottom w:w="15" w:type="dxa"/>
            <w:right w:w="15" w:type="dxa"/>
          </w:tblCellMar>
        </w:tblPrEx>
        <w:trPr>
          <w:trHeight w:val="23" w:hRule="atLeast"/>
          <w:jc w:val="center"/>
        </w:trPr>
        <w:tc>
          <w:tcPr>
            <w:tcW w:w="1827"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4F3FA2">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cs="Times New Roman"/>
                <w:sz w:val="21"/>
                <w:szCs w:val="21"/>
              </w:rPr>
            </w:pPr>
          </w:p>
        </w:tc>
        <w:tc>
          <w:tcPr>
            <w:tcW w:w="2468" w:type="dxa"/>
            <w:gridSpan w:val="2"/>
            <w:tcBorders>
              <w:top w:val="single" w:color="000000" w:sz="4" w:space="0"/>
              <w:left w:val="single" w:color="000000" w:sz="4" w:space="0"/>
              <w:bottom w:val="single" w:color="000000" w:sz="4" w:space="0"/>
              <w:right w:val="single" w:color="000000" w:sz="4" w:space="0"/>
            </w:tcBorders>
            <w:noWrap w:val="0"/>
            <w:vAlign w:val="center"/>
          </w:tcPr>
          <w:p w14:paraId="2A4B183B">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81339D2">
            <w:pPr>
              <w:keepNext w:val="0"/>
              <w:keepLines w:val="0"/>
              <w:pageBreakBefore w:val="0"/>
              <w:kinsoku/>
              <w:wordWrap/>
              <w:overflowPunct/>
              <w:topLinePunct w:val="0"/>
              <w:autoSpaceDE/>
              <w:autoSpaceDN/>
              <w:bidi w:val="0"/>
              <w:adjustRightInd/>
              <w:snapToGrid/>
              <w:spacing w:line="560" w:lineRule="exact"/>
              <w:ind w:firstLine="1470" w:firstLineChars="700"/>
              <w:jc w:val="both"/>
              <w:rPr>
                <w:rFonts w:hint="default" w:ascii="Times New Roman" w:hAnsi="Times New Roman" w:eastAsia="宋体" w:cs="Times New Roman"/>
                <w:color w:val="000000"/>
                <w:kern w:val="2"/>
                <w:sz w:val="21"/>
                <w:szCs w:val="21"/>
                <w:lang w:val="en-US" w:eastAsia="zh-CN" w:bidi="ar-SA"/>
              </w:rPr>
            </w:pPr>
          </w:p>
        </w:tc>
      </w:tr>
      <w:tr w14:paraId="6A1D81C5">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A611566">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4C7EC0D1">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年度目标</w:t>
            </w:r>
          </w:p>
        </w:tc>
      </w:tr>
      <w:tr w14:paraId="3F54606A">
        <w:tblPrEx>
          <w:tblCellMar>
            <w:top w:w="15" w:type="dxa"/>
            <w:left w:w="15" w:type="dxa"/>
            <w:bottom w:w="15" w:type="dxa"/>
            <w:right w:w="15" w:type="dxa"/>
          </w:tblCellMar>
        </w:tblPrEx>
        <w:trPr>
          <w:trHeight w:val="62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950EEA">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30C1A52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资助孤儿就</w:t>
            </w:r>
            <w:r>
              <w:rPr>
                <w:rFonts w:hint="default" w:ascii="Times New Roman" w:hAnsi="Times New Roman" w:eastAsia="方正仿宋_GBK" w:cs="Times New Roman"/>
                <w:color w:val="000000"/>
                <w:kern w:val="0"/>
                <w:sz w:val="21"/>
                <w:szCs w:val="21"/>
                <w:lang w:val="en-US" w:eastAsia="zh-CN" w:bidi="ar"/>
              </w:rPr>
              <w:t>学，</w:t>
            </w:r>
            <w:r>
              <w:rPr>
                <w:rFonts w:hint="default" w:ascii="Times New Roman" w:hAnsi="Times New Roman" w:eastAsia="方正仿宋_GBK" w:cs="Times New Roman"/>
                <w:color w:val="000000"/>
                <w:kern w:val="0"/>
                <w:sz w:val="21"/>
                <w:szCs w:val="21"/>
                <w:lang w:bidi="ar"/>
              </w:rPr>
              <w:t>提升儿童福利保障水平。</w:t>
            </w:r>
          </w:p>
        </w:tc>
      </w:tr>
      <w:tr w14:paraId="6AED3E88">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nil"/>
            </w:tcBorders>
            <w:noWrap w:val="0"/>
            <w:vAlign w:val="center"/>
          </w:tcPr>
          <w:p w14:paraId="11ABD32F">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绩效 指标</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14:paraId="2A973B02">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一级指标</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418C54FC">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二级指标</w:t>
            </w:r>
          </w:p>
        </w:tc>
        <w:tc>
          <w:tcPr>
            <w:tcW w:w="1368" w:type="dxa"/>
            <w:tcBorders>
              <w:top w:val="single" w:color="000000" w:sz="4" w:space="0"/>
              <w:left w:val="single" w:color="000000" w:sz="4" w:space="0"/>
              <w:bottom w:val="single" w:color="000000" w:sz="4" w:space="0"/>
              <w:right w:val="single" w:color="000000" w:sz="4" w:space="0"/>
            </w:tcBorders>
            <w:noWrap w:val="0"/>
            <w:vAlign w:val="center"/>
          </w:tcPr>
          <w:p w14:paraId="1C29076E">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三级指标</w:t>
            </w:r>
          </w:p>
        </w:tc>
        <w:tc>
          <w:tcPr>
            <w:tcW w:w="1375" w:type="dxa"/>
            <w:tcBorders>
              <w:top w:val="single" w:color="000000" w:sz="4" w:space="0"/>
              <w:left w:val="single" w:color="000000" w:sz="4" w:space="0"/>
              <w:bottom w:val="single" w:color="000000" w:sz="4" w:space="0"/>
              <w:right w:val="single" w:color="000000" w:sz="4" w:space="0"/>
            </w:tcBorders>
            <w:noWrap w:val="0"/>
            <w:vAlign w:val="center"/>
          </w:tcPr>
          <w:p w14:paraId="140C05EC">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指标性质</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DF66132">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指标值</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4F661B1E">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83C66FB">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883143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实际完成指标值</w:t>
            </w:r>
          </w:p>
        </w:tc>
      </w:tr>
      <w:tr w14:paraId="5464D9A4">
        <w:tblPrEx>
          <w:tblCellMar>
            <w:top w:w="15" w:type="dxa"/>
            <w:left w:w="15" w:type="dxa"/>
            <w:bottom w:w="15" w:type="dxa"/>
            <w:right w:w="15" w:type="dxa"/>
          </w:tblCellMar>
        </w:tblPrEx>
        <w:trPr>
          <w:trHeight w:val="1220"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333ABF1C">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p>
        </w:tc>
        <w:tc>
          <w:tcPr>
            <w:tcW w:w="1175" w:type="dxa"/>
            <w:tcBorders>
              <w:top w:val="single" w:color="000000" w:sz="4" w:space="0"/>
              <w:left w:val="single" w:color="000000" w:sz="4" w:space="0"/>
              <w:bottom w:val="single" w:color="000000" w:sz="4" w:space="0"/>
              <w:right w:val="single" w:color="000000" w:sz="4" w:space="0"/>
            </w:tcBorders>
            <w:noWrap w:val="0"/>
            <w:vAlign w:val="center"/>
          </w:tcPr>
          <w:p w14:paraId="656487D7">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产出指标</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7448D03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数量指标</w:t>
            </w:r>
          </w:p>
        </w:tc>
        <w:tc>
          <w:tcPr>
            <w:tcW w:w="1368" w:type="dxa"/>
            <w:tcBorders>
              <w:top w:val="single" w:color="000000" w:sz="4" w:space="0"/>
              <w:left w:val="single" w:color="000000" w:sz="4" w:space="0"/>
              <w:bottom w:val="nil"/>
              <w:right w:val="single" w:color="000000" w:sz="4" w:space="0"/>
            </w:tcBorders>
            <w:noWrap w:val="0"/>
            <w:vAlign w:val="center"/>
          </w:tcPr>
          <w:p w14:paraId="5461A5FA">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福彩圆梦·孤儿助学工程资助孤儿数</w:t>
            </w:r>
          </w:p>
        </w:tc>
        <w:tc>
          <w:tcPr>
            <w:tcW w:w="1375" w:type="dxa"/>
            <w:tcBorders>
              <w:top w:val="single" w:color="000000" w:sz="4" w:space="0"/>
              <w:left w:val="single" w:color="000000" w:sz="4" w:space="0"/>
              <w:bottom w:val="nil"/>
              <w:right w:val="single" w:color="000000" w:sz="4" w:space="0"/>
            </w:tcBorders>
            <w:noWrap w:val="0"/>
            <w:vAlign w:val="center"/>
          </w:tcPr>
          <w:p w14:paraId="3E03BEDF">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定量</w:t>
            </w:r>
          </w:p>
        </w:tc>
        <w:tc>
          <w:tcPr>
            <w:tcW w:w="1127" w:type="dxa"/>
            <w:tcBorders>
              <w:top w:val="single" w:color="000000" w:sz="4" w:space="0"/>
              <w:left w:val="single" w:color="000000" w:sz="4" w:space="0"/>
              <w:bottom w:val="nil"/>
              <w:right w:val="single" w:color="000000" w:sz="4" w:space="0"/>
            </w:tcBorders>
            <w:noWrap w:val="0"/>
            <w:vAlign w:val="center"/>
          </w:tcPr>
          <w:p w14:paraId="75BC50B3">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bidi="ar"/>
              </w:rPr>
              <w:t>≥</w:t>
            </w:r>
            <w:r>
              <w:rPr>
                <w:rFonts w:hint="default" w:ascii="Times New Roman" w:hAnsi="Times New Roman" w:eastAsia="方正仿宋_GBK" w:cs="Times New Roman"/>
                <w:color w:val="000000"/>
                <w:kern w:val="0"/>
                <w:sz w:val="21"/>
                <w:szCs w:val="21"/>
                <w:lang w:val="en-US" w:eastAsia="zh-CN" w:bidi="ar"/>
              </w:rPr>
              <w:t>40</w:t>
            </w:r>
          </w:p>
        </w:tc>
        <w:tc>
          <w:tcPr>
            <w:tcW w:w="657" w:type="dxa"/>
            <w:tcBorders>
              <w:top w:val="single" w:color="000000" w:sz="4" w:space="0"/>
              <w:left w:val="single" w:color="000000" w:sz="4" w:space="0"/>
              <w:bottom w:val="nil"/>
              <w:right w:val="single" w:color="000000" w:sz="4" w:space="0"/>
            </w:tcBorders>
            <w:noWrap w:val="0"/>
            <w:vAlign w:val="center"/>
          </w:tcPr>
          <w:p w14:paraId="3E05FF37">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人</w:t>
            </w:r>
          </w:p>
        </w:tc>
        <w:tc>
          <w:tcPr>
            <w:tcW w:w="938" w:type="dxa"/>
            <w:tcBorders>
              <w:top w:val="single" w:color="000000" w:sz="4" w:space="0"/>
              <w:left w:val="single" w:color="000000" w:sz="4" w:space="0"/>
              <w:bottom w:val="nil"/>
              <w:right w:val="single" w:color="000000" w:sz="4" w:space="0"/>
            </w:tcBorders>
            <w:noWrap w:val="0"/>
            <w:vAlign w:val="center"/>
          </w:tcPr>
          <w:p w14:paraId="4E839DE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FEC2EC0">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32</w:t>
            </w:r>
          </w:p>
        </w:tc>
      </w:tr>
      <w:tr w14:paraId="393F82C7">
        <w:tblPrEx>
          <w:tblCellMar>
            <w:top w:w="15" w:type="dxa"/>
            <w:left w:w="15" w:type="dxa"/>
            <w:bottom w:w="15" w:type="dxa"/>
            <w:right w:w="15" w:type="dxa"/>
          </w:tblCellMar>
        </w:tblPrEx>
        <w:trPr>
          <w:trHeight w:val="1138"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169B5B35">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p>
        </w:tc>
        <w:tc>
          <w:tcPr>
            <w:tcW w:w="1175" w:type="dxa"/>
            <w:tcBorders>
              <w:top w:val="single" w:color="000000" w:sz="4" w:space="0"/>
              <w:left w:val="single" w:color="000000" w:sz="4" w:space="0"/>
              <w:bottom w:val="nil"/>
              <w:right w:val="single" w:color="000000" w:sz="4" w:space="0"/>
            </w:tcBorders>
            <w:noWrap w:val="0"/>
            <w:vAlign w:val="center"/>
          </w:tcPr>
          <w:p w14:paraId="6520A7EE">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效益指标</w:t>
            </w:r>
          </w:p>
        </w:tc>
        <w:tc>
          <w:tcPr>
            <w:tcW w:w="1100" w:type="dxa"/>
            <w:tcBorders>
              <w:top w:val="single" w:color="000000" w:sz="4" w:space="0"/>
              <w:left w:val="single" w:color="000000" w:sz="4" w:space="0"/>
              <w:bottom w:val="nil"/>
              <w:right w:val="single" w:color="000000" w:sz="4" w:space="0"/>
            </w:tcBorders>
            <w:noWrap w:val="0"/>
            <w:vAlign w:val="center"/>
          </w:tcPr>
          <w:p w14:paraId="7817FF01">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社会效益</w:t>
            </w:r>
          </w:p>
        </w:tc>
        <w:tc>
          <w:tcPr>
            <w:tcW w:w="1368" w:type="dxa"/>
            <w:tcBorders>
              <w:top w:val="single" w:color="000000" w:sz="4" w:space="0"/>
              <w:left w:val="single" w:color="000000" w:sz="4" w:space="0"/>
              <w:bottom w:val="single" w:color="000000" w:sz="4" w:space="0"/>
              <w:right w:val="single" w:color="000000" w:sz="4" w:space="0"/>
            </w:tcBorders>
            <w:noWrap w:val="0"/>
            <w:vAlign w:val="center"/>
          </w:tcPr>
          <w:p w14:paraId="43C57AA2">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支持儿童福利事业发展成效</w:t>
            </w:r>
          </w:p>
        </w:tc>
        <w:tc>
          <w:tcPr>
            <w:tcW w:w="1375" w:type="dxa"/>
            <w:tcBorders>
              <w:top w:val="single" w:color="000000" w:sz="4" w:space="0"/>
              <w:left w:val="single" w:color="000000" w:sz="4" w:space="0"/>
              <w:bottom w:val="single" w:color="000000" w:sz="4" w:space="0"/>
              <w:right w:val="single" w:color="000000" w:sz="4" w:space="0"/>
            </w:tcBorders>
            <w:noWrap w:val="0"/>
            <w:vAlign w:val="center"/>
          </w:tcPr>
          <w:p w14:paraId="66AFF9B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定性</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1D5C81B">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成效显著</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0174D65C">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9FC5D96">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val="en-US" w:eastAsia="zh-CN" w:bidi="ar"/>
              </w:rPr>
              <w:t>40%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C242BEE">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val="en-US" w:eastAsia="zh-CN" w:bidi="ar"/>
              </w:rPr>
              <w:t>成效显著</w:t>
            </w:r>
          </w:p>
        </w:tc>
      </w:tr>
      <w:tr w14:paraId="20176A9C">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4B551301">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p>
        </w:tc>
        <w:tc>
          <w:tcPr>
            <w:tcW w:w="1175" w:type="dxa"/>
            <w:tcBorders>
              <w:top w:val="single" w:color="000000" w:sz="4" w:space="0"/>
              <w:left w:val="single" w:color="000000" w:sz="4" w:space="0"/>
              <w:bottom w:val="single" w:color="000000" w:sz="4" w:space="0"/>
              <w:right w:val="single" w:color="000000" w:sz="4" w:space="0"/>
            </w:tcBorders>
            <w:noWrap w:val="0"/>
            <w:vAlign w:val="center"/>
          </w:tcPr>
          <w:p w14:paraId="4F62A7FD">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满意度指标</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616F8922">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 xml:space="preserve">服务对象满意度指标 </w:t>
            </w:r>
          </w:p>
        </w:tc>
        <w:tc>
          <w:tcPr>
            <w:tcW w:w="1368" w:type="dxa"/>
            <w:tcBorders>
              <w:top w:val="single" w:color="000000" w:sz="4" w:space="0"/>
              <w:left w:val="nil"/>
              <w:bottom w:val="single" w:color="000000" w:sz="4" w:space="0"/>
              <w:right w:val="single" w:color="000000" w:sz="4" w:space="0"/>
            </w:tcBorders>
            <w:noWrap w:val="0"/>
            <w:vAlign w:val="center"/>
          </w:tcPr>
          <w:p w14:paraId="68A0495C">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接受资助和服务儿童满意度</w:t>
            </w:r>
          </w:p>
        </w:tc>
        <w:tc>
          <w:tcPr>
            <w:tcW w:w="1375" w:type="dxa"/>
            <w:tcBorders>
              <w:top w:val="single" w:color="000000" w:sz="4" w:space="0"/>
              <w:left w:val="single" w:color="000000" w:sz="4" w:space="0"/>
              <w:bottom w:val="single" w:color="000000" w:sz="4" w:space="0"/>
              <w:right w:val="single" w:color="000000" w:sz="4" w:space="0"/>
            </w:tcBorders>
            <w:noWrap w:val="0"/>
            <w:vAlign w:val="center"/>
          </w:tcPr>
          <w:p w14:paraId="4B42A4FB">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val="en-US" w:eastAsia="zh-CN" w:bidi="ar"/>
              </w:rPr>
              <w:t>定量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CAB0BFB">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en-US" w:bidi="ar"/>
              </w:rPr>
            </w:pPr>
            <w:r>
              <w:rPr>
                <w:rFonts w:hint="default" w:ascii="Times New Roman" w:hAnsi="Times New Roman" w:eastAsia="方正仿宋_GBK" w:cs="Times New Roman"/>
                <w:color w:val="000000"/>
                <w:kern w:val="0"/>
                <w:sz w:val="21"/>
                <w:szCs w:val="21"/>
                <w:lang w:bidi="ar"/>
              </w:rPr>
              <w:t>≥</w:t>
            </w:r>
            <w:r>
              <w:rPr>
                <w:rFonts w:hint="default" w:ascii="Times New Roman" w:hAnsi="Times New Roman" w:eastAsia="方正仿宋_GBK" w:cs="Times New Roman"/>
                <w:color w:val="000000"/>
                <w:kern w:val="0"/>
                <w:sz w:val="21"/>
                <w:szCs w:val="21"/>
                <w:lang w:val="en-US" w:eastAsia="zh-CN" w:bidi="ar"/>
              </w:rPr>
              <w:t>90</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4C6F0A8E">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68DA9EE">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40%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3C59961">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90%</w:t>
            </w:r>
          </w:p>
        </w:tc>
      </w:tr>
    </w:tbl>
    <w:p w14:paraId="081216B4">
      <w:pPr>
        <w:keepNext w:val="0"/>
        <w:keepLines w:val="0"/>
        <w:pageBreakBefore w:val="0"/>
        <w:kinsoku/>
        <w:wordWrap/>
        <w:overflowPunct/>
        <w:topLinePunct w:val="0"/>
        <w:autoSpaceDE/>
        <w:bidi w:val="0"/>
        <w:snapToGrid w:val="0"/>
        <w:spacing w:line="560" w:lineRule="exact"/>
        <w:rPr>
          <w:rFonts w:hint="default" w:ascii="Times New Roman" w:hAnsi="Times New Roman" w:eastAsia="黑体" w:cs="Times New Roman"/>
          <w:kern w:val="0"/>
          <w:sz w:val="21"/>
          <w:szCs w:val="21"/>
          <w:shd w:val="clear" w:color="auto" w:fill="FFFFFF"/>
          <w:lang w:val="zh-CN" w:eastAsia="zh-CN"/>
        </w:rPr>
      </w:pPr>
    </w:p>
    <w:p w14:paraId="3387F4F7">
      <w:pPr>
        <w:keepNext w:val="0"/>
        <w:keepLines w:val="0"/>
        <w:pageBreakBefore w:val="0"/>
        <w:kinsoku/>
        <w:wordWrap/>
        <w:overflowPunct/>
        <w:topLinePunct w:val="0"/>
        <w:autoSpaceDE/>
        <w:bidi w:val="0"/>
        <w:snapToGrid w:val="0"/>
        <w:spacing w:line="560" w:lineRule="exact"/>
        <w:rPr>
          <w:rFonts w:hint="default" w:ascii="Times New Roman" w:hAnsi="Times New Roman" w:eastAsia="黑体" w:cs="Times New Roman"/>
          <w:kern w:val="0"/>
          <w:shd w:val="clear" w:color="auto" w:fill="FFFFFF"/>
          <w:lang w:val="en-US" w:eastAsia="zh-CN"/>
        </w:rPr>
      </w:pPr>
      <w:r>
        <w:rPr>
          <w:rFonts w:hint="default" w:ascii="Times New Roman" w:hAnsi="Times New Roman" w:eastAsia="黑体" w:cs="Times New Roman"/>
          <w:kern w:val="0"/>
          <w:shd w:val="clear" w:color="auto" w:fill="FFFFFF"/>
          <w:lang w:val="zh-CN" w:eastAsia="zh-CN"/>
        </w:rPr>
        <w:t>附表</w:t>
      </w:r>
      <w:r>
        <w:rPr>
          <w:rFonts w:hint="default" w:ascii="Times New Roman" w:hAnsi="Times New Roman" w:eastAsia="黑体" w:cs="Times New Roman"/>
          <w:kern w:val="0"/>
          <w:shd w:val="clear" w:color="auto" w:fill="FFFFFF"/>
        </w:rPr>
        <w:t>3</w:t>
      </w:r>
      <w:r>
        <w:rPr>
          <w:rFonts w:hint="default" w:ascii="Times New Roman" w:hAnsi="Times New Roman" w:eastAsia="黑体" w:cs="Times New Roman"/>
          <w:kern w:val="0"/>
          <w:shd w:val="clear" w:color="auto" w:fill="FFFFFF"/>
          <w:lang w:val="en-US" w:eastAsia="zh-CN"/>
        </w:rPr>
        <w:t>-4</w:t>
      </w:r>
    </w:p>
    <w:tbl>
      <w:tblPr>
        <w:tblStyle w:val="17"/>
        <w:tblW w:w="10414" w:type="dxa"/>
        <w:jc w:val="center"/>
        <w:tblLayout w:type="fixed"/>
        <w:tblCellMar>
          <w:top w:w="15" w:type="dxa"/>
          <w:left w:w="15" w:type="dxa"/>
          <w:bottom w:w="15" w:type="dxa"/>
          <w:right w:w="15" w:type="dxa"/>
        </w:tblCellMar>
      </w:tblPr>
      <w:tblGrid>
        <w:gridCol w:w="652"/>
        <w:gridCol w:w="1081"/>
        <w:gridCol w:w="1250"/>
        <w:gridCol w:w="1312"/>
        <w:gridCol w:w="1375"/>
        <w:gridCol w:w="723"/>
        <w:gridCol w:w="1061"/>
        <w:gridCol w:w="938"/>
        <w:gridCol w:w="2022"/>
      </w:tblGrid>
      <w:tr w14:paraId="519EC691">
        <w:tblPrEx>
          <w:tblCellMar>
            <w:top w:w="15" w:type="dxa"/>
            <w:left w:w="15" w:type="dxa"/>
            <w:bottom w:w="15" w:type="dxa"/>
            <w:right w:w="15" w:type="dxa"/>
          </w:tblCellMar>
        </w:tblPrEx>
        <w:trPr>
          <w:trHeight w:val="576" w:hRule="atLeast"/>
          <w:jc w:val="center"/>
        </w:trPr>
        <w:tc>
          <w:tcPr>
            <w:tcW w:w="10414" w:type="dxa"/>
            <w:gridSpan w:val="9"/>
            <w:tcBorders>
              <w:top w:val="nil"/>
              <w:left w:val="nil"/>
              <w:bottom w:val="nil"/>
              <w:right w:val="nil"/>
            </w:tcBorders>
            <w:noWrap w:val="0"/>
            <w:vAlign w:val="center"/>
          </w:tcPr>
          <w:p w14:paraId="3C3B266F">
            <w:pPr>
              <w:keepNext w:val="0"/>
              <w:keepLines w:val="0"/>
              <w:pageBreakBefore w:val="0"/>
              <w:widowControl/>
              <w:kinsoku/>
              <w:wordWrap/>
              <w:overflowPunct/>
              <w:topLinePunct w:val="0"/>
              <w:autoSpaceDE/>
              <w:bidi w:val="0"/>
              <w:spacing w:line="560" w:lineRule="exact"/>
              <w:jc w:val="center"/>
              <w:textAlignment w:val="center"/>
              <w:rPr>
                <w:rFonts w:hint="default" w:ascii="Times New Roman" w:hAnsi="Times New Roman" w:eastAsia="黑体" w:cs="Times New Roman"/>
                <w:color w:val="000000"/>
                <w:sz w:val="30"/>
                <w:szCs w:val="30"/>
              </w:rPr>
            </w:pPr>
            <w:r>
              <w:rPr>
                <w:rFonts w:hint="default" w:ascii="Times New Roman" w:hAnsi="Times New Roman" w:eastAsia="方正小标宋简体" w:cs="Times New Roman"/>
                <w:color w:val="000000"/>
                <w:kern w:val="0"/>
                <w:sz w:val="40"/>
                <w:szCs w:val="40"/>
                <w:lang w:bidi="ar"/>
              </w:rPr>
              <w:t>专项预算项目绩效目标完成情况自评表</w:t>
            </w:r>
          </w:p>
        </w:tc>
      </w:tr>
      <w:tr w14:paraId="241CA9D8">
        <w:tblPrEx>
          <w:tblCellMar>
            <w:top w:w="15" w:type="dxa"/>
            <w:left w:w="15" w:type="dxa"/>
            <w:bottom w:w="15" w:type="dxa"/>
            <w:right w:w="15" w:type="dxa"/>
          </w:tblCellMar>
        </w:tblPrEx>
        <w:trPr>
          <w:trHeight w:val="292"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65E5A8D6">
            <w:pPr>
              <w:keepNext w:val="0"/>
              <w:keepLines w:val="0"/>
              <w:pageBreakBefore w:val="0"/>
              <w:widowControl/>
              <w:kinsoku/>
              <w:wordWrap/>
              <w:overflowPunct/>
              <w:topLinePunct w:val="0"/>
              <w:autoSpaceDE/>
              <w:bidi w:val="0"/>
              <w:spacing w:line="560" w:lineRule="exact"/>
              <w:jc w:val="left"/>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项目名称</w:t>
            </w:r>
          </w:p>
        </w:tc>
        <w:tc>
          <w:tcPr>
            <w:tcW w:w="6119" w:type="dxa"/>
            <w:gridSpan w:val="5"/>
            <w:tcBorders>
              <w:top w:val="single" w:color="000000" w:sz="4" w:space="0"/>
              <w:left w:val="single" w:color="000000" w:sz="4" w:space="0"/>
              <w:bottom w:val="single" w:color="000000" w:sz="4" w:space="0"/>
              <w:right w:val="single" w:color="000000" w:sz="4" w:space="0"/>
            </w:tcBorders>
            <w:noWrap w:val="0"/>
            <w:vAlign w:val="center"/>
          </w:tcPr>
          <w:p w14:paraId="14B9B991">
            <w:pPr>
              <w:keepNext w:val="0"/>
              <w:keepLines w:val="0"/>
              <w:pageBreakBefore w:val="0"/>
              <w:kinsoku/>
              <w:wordWrap/>
              <w:overflowPunct/>
              <w:topLinePunct w:val="0"/>
              <w:autoSpaceDE/>
              <w:bidi w:val="0"/>
              <w:spacing w:line="560" w:lineRule="exact"/>
              <w:ind w:firstLine="630" w:firstLineChars="300"/>
              <w:rPr>
                <w:rFonts w:hint="default" w:ascii="Times New Roman" w:hAnsi="Times New Roman" w:eastAsia="方正仿宋_GBK" w:cs="Times New Roman"/>
                <w:color w:val="000000"/>
                <w:sz w:val="21"/>
                <w:szCs w:val="21"/>
                <w:lang w:val="en-US" w:eastAsia="zh-CN" w:bidi="ar-SA"/>
              </w:rPr>
            </w:pPr>
            <w:r>
              <w:rPr>
                <w:rFonts w:hint="default" w:ascii="Times New Roman" w:hAnsi="Times New Roman" w:eastAsia="方正仿宋_GBK" w:cs="Times New Roman"/>
                <w:sz w:val="21"/>
                <w:szCs w:val="21"/>
                <w:lang w:bidi="ar-SA"/>
              </w:rPr>
              <w:t>孤儿医疗康复明天计划</w:t>
            </w:r>
          </w:p>
        </w:tc>
      </w:tr>
      <w:tr w14:paraId="46C49DE3">
        <w:tblPrEx>
          <w:tblCellMar>
            <w:top w:w="15" w:type="dxa"/>
            <w:left w:w="15" w:type="dxa"/>
            <w:bottom w:w="15" w:type="dxa"/>
            <w:right w:w="15" w:type="dxa"/>
          </w:tblCellMar>
        </w:tblPrEx>
        <w:trPr>
          <w:trHeight w:val="280"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3381CD63">
            <w:pPr>
              <w:keepNext w:val="0"/>
              <w:keepLines w:val="0"/>
              <w:pageBreakBefore w:val="0"/>
              <w:widowControl/>
              <w:kinsoku/>
              <w:wordWrap/>
              <w:overflowPunct/>
              <w:topLinePunct w:val="0"/>
              <w:autoSpaceDE/>
              <w:bidi w:val="0"/>
              <w:spacing w:line="560" w:lineRule="exact"/>
              <w:jc w:val="left"/>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预算单位</w:t>
            </w:r>
          </w:p>
        </w:tc>
        <w:tc>
          <w:tcPr>
            <w:tcW w:w="6119" w:type="dxa"/>
            <w:gridSpan w:val="5"/>
            <w:tcBorders>
              <w:top w:val="single" w:color="000000" w:sz="4" w:space="0"/>
              <w:left w:val="single" w:color="000000" w:sz="4" w:space="0"/>
              <w:bottom w:val="single" w:color="000000" w:sz="4" w:space="0"/>
              <w:right w:val="single" w:color="000000" w:sz="4" w:space="0"/>
            </w:tcBorders>
            <w:noWrap w:val="0"/>
            <w:vAlign w:val="center"/>
          </w:tcPr>
          <w:p w14:paraId="389487F6">
            <w:pPr>
              <w:keepNext w:val="0"/>
              <w:keepLines w:val="0"/>
              <w:pageBreakBefore w:val="0"/>
              <w:kinsoku/>
              <w:wordWrap/>
              <w:overflowPunct/>
              <w:topLinePunct w:val="0"/>
              <w:autoSpaceDE/>
              <w:bidi w:val="0"/>
              <w:spacing w:line="560" w:lineRule="exact"/>
              <w:ind w:firstLine="630" w:firstLineChars="300"/>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sz w:val="21"/>
                <w:szCs w:val="21"/>
                <w:lang w:bidi="ar-SA"/>
              </w:rPr>
              <w:t>攀枝花市民政局</w:t>
            </w:r>
          </w:p>
        </w:tc>
      </w:tr>
      <w:tr w14:paraId="3A45F9F9">
        <w:tblPrEx>
          <w:tblCellMar>
            <w:top w:w="15" w:type="dxa"/>
            <w:left w:w="15" w:type="dxa"/>
            <w:bottom w:w="15" w:type="dxa"/>
            <w:right w:w="15" w:type="dxa"/>
          </w:tblCellMar>
        </w:tblPrEx>
        <w:trPr>
          <w:trHeight w:val="330"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2BA8A358">
            <w:pPr>
              <w:keepNext w:val="0"/>
              <w:keepLines w:val="0"/>
              <w:pageBreakBefore w:val="0"/>
              <w:widowControl/>
              <w:kinsoku/>
              <w:wordWrap/>
              <w:overflowPunct/>
              <w:topLinePunct w:val="0"/>
              <w:autoSpaceDE/>
              <w:bidi w:val="0"/>
              <w:spacing w:line="560" w:lineRule="exact"/>
              <w:jc w:val="left"/>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项目类型</w:t>
            </w:r>
          </w:p>
        </w:tc>
        <w:tc>
          <w:tcPr>
            <w:tcW w:w="6119" w:type="dxa"/>
            <w:gridSpan w:val="5"/>
            <w:tcBorders>
              <w:top w:val="single" w:color="000000" w:sz="4" w:space="0"/>
              <w:left w:val="single" w:color="000000" w:sz="4" w:space="0"/>
              <w:bottom w:val="single" w:color="000000" w:sz="4" w:space="0"/>
              <w:right w:val="single" w:color="000000" w:sz="4" w:space="0"/>
            </w:tcBorders>
            <w:noWrap w:val="0"/>
            <w:vAlign w:val="center"/>
          </w:tcPr>
          <w:p w14:paraId="589C03F0">
            <w:pPr>
              <w:keepNext w:val="0"/>
              <w:keepLines w:val="0"/>
              <w:pageBreakBefore w:val="0"/>
              <w:kinsoku/>
              <w:wordWrap/>
              <w:overflowPunct/>
              <w:topLinePunct w:val="0"/>
              <w:autoSpaceDE/>
              <w:bidi w:val="0"/>
              <w:spacing w:line="560" w:lineRule="exact"/>
              <w:ind w:firstLine="630" w:firstLineChars="300"/>
              <w:jc w:val="left"/>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sz w:val="21"/>
                <w:szCs w:val="21"/>
                <w:lang w:bidi="ar-SA"/>
              </w:rPr>
              <w:t>民政事业补助资金</w:t>
            </w:r>
          </w:p>
        </w:tc>
      </w:tr>
      <w:tr w14:paraId="0BA4EECB">
        <w:tblPrEx>
          <w:tblCellMar>
            <w:top w:w="15" w:type="dxa"/>
            <w:left w:w="15" w:type="dxa"/>
            <w:bottom w:w="15" w:type="dxa"/>
            <w:right w:w="15" w:type="dxa"/>
          </w:tblCellMar>
        </w:tblPrEx>
        <w:trPr>
          <w:trHeight w:val="510"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C5F6779">
            <w:pPr>
              <w:keepNext w:val="0"/>
              <w:keepLines w:val="0"/>
              <w:pageBreakBefore w:val="0"/>
              <w:widowControl/>
              <w:kinsoku/>
              <w:wordWrap/>
              <w:overflowPunct/>
              <w:topLinePunct w:val="0"/>
              <w:autoSpaceDE/>
              <w:bidi w:val="0"/>
              <w:spacing w:line="560" w:lineRule="exact"/>
              <w:jc w:val="center"/>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89BB54C">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中长期规划（名称、文号，仅指</w:t>
            </w:r>
          </w:p>
          <w:p w14:paraId="2B9C762B">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常年项目）</w:t>
            </w:r>
          </w:p>
        </w:tc>
        <w:tc>
          <w:tcPr>
            <w:tcW w:w="6119" w:type="dxa"/>
            <w:gridSpan w:val="5"/>
            <w:tcBorders>
              <w:top w:val="single" w:color="000000" w:sz="4" w:space="0"/>
              <w:left w:val="single" w:color="000000" w:sz="4" w:space="0"/>
              <w:bottom w:val="single" w:color="000000" w:sz="4" w:space="0"/>
              <w:right w:val="single" w:color="000000" w:sz="4" w:space="0"/>
            </w:tcBorders>
            <w:noWrap w:val="0"/>
            <w:vAlign w:val="center"/>
          </w:tcPr>
          <w:p w14:paraId="3D3554CE">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 xml:space="preserve">四川省民政厅关于印发《四川省“孤儿医疗康复明天计划”项目实施细则》的通知（川民发〔2021〕120号） </w:t>
            </w:r>
          </w:p>
        </w:tc>
      </w:tr>
      <w:tr w14:paraId="79FD6A1E">
        <w:tblPrEx>
          <w:tblCellMar>
            <w:top w:w="15" w:type="dxa"/>
            <w:left w:w="15" w:type="dxa"/>
            <w:bottom w:w="15" w:type="dxa"/>
            <w:right w:w="15" w:type="dxa"/>
          </w:tblCellMar>
        </w:tblPrEx>
        <w:trPr>
          <w:trHeight w:val="90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CE6373">
            <w:pPr>
              <w:keepNext w:val="0"/>
              <w:keepLines w:val="0"/>
              <w:pageBreakBefore w:val="0"/>
              <w:kinsoku/>
              <w:wordWrap/>
              <w:overflowPunct/>
              <w:topLinePunct w:val="0"/>
              <w:autoSpaceDE/>
              <w:bidi w:val="0"/>
              <w:spacing w:line="560" w:lineRule="exact"/>
              <w:rPr>
                <w:rFonts w:hint="default" w:ascii="Times New Roman" w:hAnsi="Times New Roman" w:cs="Times New Roman"/>
                <w:sz w:val="21"/>
                <w:szCs w:val="21"/>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014D3AC">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资金管理办法（名称、文号）</w:t>
            </w:r>
          </w:p>
        </w:tc>
        <w:tc>
          <w:tcPr>
            <w:tcW w:w="6119" w:type="dxa"/>
            <w:gridSpan w:val="5"/>
            <w:tcBorders>
              <w:top w:val="single" w:color="000000" w:sz="4" w:space="0"/>
              <w:left w:val="single" w:color="000000" w:sz="4" w:space="0"/>
              <w:bottom w:val="single" w:color="000000" w:sz="4" w:space="0"/>
              <w:right w:val="single" w:color="000000" w:sz="4" w:space="0"/>
            </w:tcBorders>
            <w:noWrap w:val="0"/>
            <w:vAlign w:val="center"/>
          </w:tcPr>
          <w:p w14:paraId="0BF8B72C">
            <w:pPr>
              <w:keepNext w:val="0"/>
              <w:keepLines w:val="0"/>
              <w:pageBreakBefore w:val="0"/>
              <w:kinsoku/>
              <w:wordWrap/>
              <w:overflowPunct/>
              <w:topLinePunct w:val="0"/>
              <w:autoSpaceDE/>
              <w:autoSpaceDN/>
              <w:bidi w:val="0"/>
              <w:adjustRightInd/>
              <w:snapToGrid/>
              <w:spacing w:line="300" w:lineRule="exact"/>
              <w:jc w:val="left"/>
              <w:rPr>
                <w:rFonts w:hint="default" w:ascii="Times New Roman" w:hAnsi="Times New Roman" w:eastAsia="宋体" w:cs="Times New Roman"/>
                <w:color w:val="000000"/>
                <w:sz w:val="21"/>
                <w:szCs w:val="21"/>
              </w:rPr>
            </w:pPr>
            <w:r>
              <w:rPr>
                <w:rFonts w:hint="default" w:ascii="Times New Roman" w:hAnsi="Times New Roman" w:eastAsia="方正仿宋_GBK" w:cs="Times New Roman"/>
                <w:sz w:val="21"/>
                <w:szCs w:val="21"/>
                <w:lang w:bidi="ar-SA"/>
              </w:rPr>
              <w:t>四川省民政厅关于印发《四川省“孤儿医疗康复明天计划”项目实施细则》的通知（川民发〔</w:t>
            </w:r>
            <w:r>
              <w:rPr>
                <w:rFonts w:hint="default" w:ascii="Times New Roman" w:hAnsi="Times New Roman" w:cs="Times New Roman"/>
                <w:sz w:val="21"/>
                <w:szCs w:val="21"/>
              </w:rPr>
              <w:t>2021</w:t>
            </w:r>
            <w:r>
              <w:rPr>
                <w:rFonts w:hint="default" w:ascii="Times New Roman" w:hAnsi="Times New Roman" w:eastAsia="方正仿宋_GBK" w:cs="Times New Roman"/>
                <w:sz w:val="21"/>
                <w:szCs w:val="21"/>
                <w:lang w:bidi="ar-SA"/>
              </w:rPr>
              <w:t>〕</w:t>
            </w:r>
            <w:r>
              <w:rPr>
                <w:rFonts w:hint="default" w:ascii="Times New Roman" w:hAnsi="Times New Roman" w:cs="Times New Roman"/>
                <w:sz w:val="21"/>
                <w:szCs w:val="21"/>
              </w:rPr>
              <w:t>120</w:t>
            </w:r>
            <w:r>
              <w:rPr>
                <w:rFonts w:hint="default" w:ascii="Times New Roman" w:hAnsi="Times New Roman" w:eastAsia="方正仿宋_GBK" w:cs="Times New Roman"/>
                <w:sz w:val="21"/>
                <w:szCs w:val="21"/>
                <w:lang w:bidi="ar-SA"/>
              </w:rPr>
              <w:t>号）</w:t>
            </w:r>
          </w:p>
        </w:tc>
      </w:tr>
      <w:tr w14:paraId="37EB517E">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E89DE8">
            <w:pPr>
              <w:keepNext w:val="0"/>
              <w:keepLines w:val="0"/>
              <w:pageBreakBefore w:val="0"/>
              <w:kinsoku/>
              <w:wordWrap/>
              <w:overflowPunct/>
              <w:topLinePunct w:val="0"/>
              <w:autoSpaceDE/>
              <w:bidi w:val="0"/>
              <w:spacing w:line="560" w:lineRule="exact"/>
              <w:rPr>
                <w:rFonts w:hint="default" w:ascii="Times New Roman" w:hAnsi="Times New Roman" w:cs="Times New Roman"/>
                <w:sz w:val="21"/>
                <w:szCs w:val="21"/>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EF51210">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绩效分配方式</w:t>
            </w:r>
          </w:p>
        </w:tc>
        <w:tc>
          <w:tcPr>
            <w:tcW w:w="1375" w:type="dxa"/>
            <w:tcBorders>
              <w:top w:val="single" w:color="000000" w:sz="4" w:space="0"/>
              <w:left w:val="single" w:color="000000" w:sz="4" w:space="0"/>
              <w:bottom w:val="single" w:color="000000" w:sz="4" w:space="0"/>
              <w:right w:val="single" w:color="000000" w:sz="4" w:space="0"/>
            </w:tcBorders>
            <w:noWrap w:val="0"/>
            <w:vAlign w:val="center"/>
          </w:tcPr>
          <w:p w14:paraId="4896A621">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sym w:font="Wingdings 2" w:char="0052"/>
            </w:r>
            <w:r>
              <w:rPr>
                <w:rFonts w:hint="default" w:ascii="Times New Roman" w:hAnsi="Times New Roman" w:eastAsia="方正仿宋_GBK" w:cs="Times New Roman"/>
                <w:color w:val="000000"/>
                <w:kern w:val="0"/>
                <w:sz w:val="21"/>
                <w:szCs w:val="21"/>
                <w:lang w:bidi="ar"/>
              </w:rPr>
              <w:t>因素法</w:t>
            </w:r>
          </w:p>
        </w:tc>
        <w:tc>
          <w:tcPr>
            <w:tcW w:w="1784" w:type="dxa"/>
            <w:gridSpan w:val="2"/>
            <w:tcBorders>
              <w:top w:val="single" w:color="000000" w:sz="4" w:space="0"/>
              <w:left w:val="single" w:color="000000" w:sz="4" w:space="0"/>
              <w:bottom w:val="single" w:color="000000" w:sz="4" w:space="0"/>
              <w:right w:val="single" w:color="000000" w:sz="4" w:space="0"/>
            </w:tcBorders>
            <w:noWrap w:val="0"/>
            <w:vAlign w:val="center"/>
          </w:tcPr>
          <w:p w14:paraId="0DF67CF6">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F9AE0A8">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£据实据效</w:t>
            </w:r>
          </w:p>
        </w:tc>
        <w:tc>
          <w:tcPr>
            <w:tcW w:w="2022" w:type="dxa"/>
            <w:tcBorders>
              <w:top w:val="single" w:color="000000" w:sz="4" w:space="0"/>
              <w:left w:val="single" w:color="000000" w:sz="4" w:space="0"/>
              <w:bottom w:val="single" w:color="000000" w:sz="4" w:space="0"/>
              <w:right w:val="single" w:color="000000" w:sz="4" w:space="0"/>
            </w:tcBorders>
            <w:noWrap w:val="0"/>
            <w:vAlign w:val="center"/>
          </w:tcPr>
          <w:p w14:paraId="2090152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£因素法与项目法相结合</w:t>
            </w:r>
          </w:p>
        </w:tc>
      </w:tr>
      <w:tr w14:paraId="0F439E8C">
        <w:tblPrEx>
          <w:tblCellMar>
            <w:top w:w="15" w:type="dxa"/>
            <w:left w:w="15" w:type="dxa"/>
            <w:bottom w:w="15" w:type="dxa"/>
            <w:right w:w="15" w:type="dxa"/>
          </w:tblCellMar>
        </w:tblPrEx>
        <w:trPr>
          <w:trHeight w:val="1088"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E66D36">
            <w:pPr>
              <w:keepNext w:val="0"/>
              <w:keepLines w:val="0"/>
              <w:pageBreakBefore w:val="0"/>
              <w:kinsoku/>
              <w:wordWrap/>
              <w:overflowPunct/>
              <w:topLinePunct w:val="0"/>
              <w:autoSpaceDE/>
              <w:bidi w:val="0"/>
              <w:spacing w:line="560" w:lineRule="exact"/>
              <w:rPr>
                <w:rFonts w:hint="default" w:ascii="Times New Roman" w:hAnsi="Times New Roman" w:cs="Times New Roman"/>
                <w:sz w:val="21"/>
                <w:szCs w:val="21"/>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0427592">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立项依据</w:t>
            </w:r>
          </w:p>
        </w:tc>
        <w:tc>
          <w:tcPr>
            <w:tcW w:w="6119" w:type="dxa"/>
            <w:gridSpan w:val="5"/>
            <w:tcBorders>
              <w:top w:val="single" w:color="000000" w:sz="4" w:space="0"/>
              <w:left w:val="single" w:color="000000" w:sz="4" w:space="0"/>
              <w:bottom w:val="single" w:color="000000" w:sz="4" w:space="0"/>
              <w:right w:val="single" w:color="000000" w:sz="4" w:space="0"/>
            </w:tcBorders>
            <w:noWrap w:val="0"/>
            <w:vAlign w:val="center"/>
          </w:tcPr>
          <w:p w14:paraId="624CB867">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bidi="ar"/>
              </w:rPr>
              <w:t>四川省民政厅关于印发《四川省“孤儿医疗康复明天计划”项目实施细则》的通知（川民发〔2021〕120号）</w:t>
            </w:r>
          </w:p>
        </w:tc>
      </w:tr>
      <w:tr w14:paraId="1DE191D9">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37B445">
            <w:pPr>
              <w:keepNext w:val="0"/>
              <w:keepLines w:val="0"/>
              <w:pageBreakBefore w:val="0"/>
              <w:kinsoku/>
              <w:wordWrap/>
              <w:overflowPunct/>
              <w:topLinePunct w:val="0"/>
              <w:autoSpaceDE/>
              <w:bidi w:val="0"/>
              <w:spacing w:line="560" w:lineRule="exact"/>
              <w:rPr>
                <w:rFonts w:hint="default" w:ascii="Times New Roman" w:hAnsi="Times New Roman" w:cs="Times New Roman"/>
                <w:sz w:val="21"/>
                <w:szCs w:val="21"/>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D7E71A4">
            <w:pPr>
              <w:keepNext w:val="0"/>
              <w:keepLines w:val="0"/>
              <w:pageBreakBefore w:val="0"/>
              <w:widowControl/>
              <w:kinsoku/>
              <w:wordWrap/>
              <w:overflowPunct/>
              <w:topLinePunct w:val="0"/>
              <w:autoSpaceDE/>
              <w:bidi w:val="0"/>
              <w:spacing w:line="560" w:lineRule="exact"/>
              <w:jc w:val="left"/>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使用范围</w:t>
            </w:r>
          </w:p>
        </w:tc>
        <w:tc>
          <w:tcPr>
            <w:tcW w:w="6119" w:type="dxa"/>
            <w:gridSpan w:val="5"/>
            <w:tcBorders>
              <w:top w:val="single" w:color="000000" w:sz="4" w:space="0"/>
              <w:left w:val="single" w:color="000000" w:sz="4" w:space="0"/>
              <w:bottom w:val="single" w:color="000000" w:sz="4" w:space="0"/>
              <w:right w:val="single" w:color="000000" w:sz="4" w:space="0"/>
            </w:tcBorders>
            <w:noWrap w:val="0"/>
            <w:vAlign w:val="center"/>
          </w:tcPr>
          <w:p w14:paraId="1573DF77">
            <w:pPr>
              <w:keepNext w:val="0"/>
              <w:keepLines w:val="0"/>
              <w:pageBreakBefore w:val="0"/>
              <w:kinsoku/>
              <w:wordWrap/>
              <w:overflowPunct/>
              <w:topLinePunct w:val="0"/>
              <w:autoSpaceDE/>
              <w:bidi w:val="0"/>
              <w:spacing w:line="560" w:lineRule="exact"/>
              <w:jc w:val="left"/>
              <w:rPr>
                <w:rFonts w:hint="default" w:ascii="Times New Roman" w:hAnsi="Times New Roman" w:eastAsia="方正仿宋_GBK" w:cs="Times New Roman"/>
                <w:color w:val="000000"/>
                <w:sz w:val="21"/>
                <w:szCs w:val="21"/>
                <w:lang w:val="en-US" w:eastAsia="zh-CN"/>
              </w:rPr>
            </w:pPr>
            <w:r>
              <w:rPr>
                <w:rFonts w:hint="default" w:ascii="Times New Roman" w:hAnsi="Times New Roman" w:eastAsia="方正仿宋_GBK" w:cs="Times New Roman"/>
                <w:color w:val="000000"/>
                <w:sz w:val="21"/>
                <w:szCs w:val="21"/>
                <w:lang w:bidi="ar-SA"/>
              </w:rPr>
              <w:t>资助孤儿就</w:t>
            </w:r>
            <w:r>
              <w:rPr>
                <w:rFonts w:hint="default" w:ascii="Times New Roman" w:hAnsi="Times New Roman" w:eastAsia="方正仿宋_GBK" w:cs="Times New Roman"/>
                <w:color w:val="000000"/>
                <w:sz w:val="21"/>
                <w:szCs w:val="21"/>
                <w:lang w:val="en-US" w:eastAsia="zh-CN" w:bidi="ar-SA"/>
              </w:rPr>
              <w:t>医，</w:t>
            </w:r>
            <w:r>
              <w:rPr>
                <w:rFonts w:hint="default" w:ascii="Times New Roman" w:hAnsi="Times New Roman" w:eastAsia="方正仿宋_GBK" w:cs="Times New Roman"/>
                <w:color w:val="000000"/>
                <w:sz w:val="21"/>
                <w:szCs w:val="21"/>
                <w:lang w:bidi="ar-SA"/>
              </w:rPr>
              <w:t>提升儿童福利保障水平</w:t>
            </w:r>
            <w:r>
              <w:rPr>
                <w:rFonts w:hint="default" w:ascii="Times New Roman" w:hAnsi="Times New Roman" w:eastAsia="方正仿宋_GBK" w:cs="Times New Roman"/>
                <w:color w:val="000000"/>
                <w:sz w:val="21"/>
                <w:szCs w:val="21"/>
                <w:lang w:eastAsia="zh-CN" w:bidi="ar-SA"/>
              </w:rPr>
              <w:t>。</w:t>
            </w:r>
          </w:p>
        </w:tc>
      </w:tr>
      <w:tr w14:paraId="03B0A3DD">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296D45">
            <w:pPr>
              <w:keepNext w:val="0"/>
              <w:keepLines w:val="0"/>
              <w:pageBreakBefore w:val="0"/>
              <w:kinsoku/>
              <w:wordWrap/>
              <w:overflowPunct/>
              <w:topLinePunct w:val="0"/>
              <w:autoSpaceDE/>
              <w:bidi w:val="0"/>
              <w:spacing w:line="560" w:lineRule="exact"/>
              <w:rPr>
                <w:rFonts w:hint="default" w:ascii="Times New Roman" w:hAnsi="Times New Roman" w:cs="Times New Roman"/>
                <w:sz w:val="21"/>
                <w:szCs w:val="21"/>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31184B9">
            <w:pPr>
              <w:keepNext w:val="0"/>
              <w:keepLines w:val="0"/>
              <w:pageBreakBefore w:val="0"/>
              <w:widowControl/>
              <w:kinsoku/>
              <w:wordWrap/>
              <w:overflowPunct/>
              <w:topLinePunct w:val="0"/>
              <w:autoSpaceDE/>
              <w:bidi w:val="0"/>
              <w:spacing w:line="560" w:lineRule="exact"/>
              <w:jc w:val="left"/>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申报（补助）条件</w:t>
            </w:r>
          </w:p>
        </w:tc>
        <w:tc>
          <w:tcPr>
            <w:tcW w:w="6119" w:type="dxa"/>
            <w:gridSpan w:val="5"/>
            <w:tcBorders>
              <w:top w:val="single" w:color="000000" w:sz="4" w:space="0"/>
              <w:left w:val="single" w:color="000000" w:sz="4" w:space="0"/>
              <w:bottom w:val="single" w:color="000000" w:sz="4" w:space="0"/>
              <w:right w:val="single" w:color="000000" w:sz="4" w:space="0"/>
            </w:tcBorders>
            <w:noWrap w:val="0"/>
            <w:vAlign w:val="center"/>
          </w:tcPr>
          <w:p w14:paraId="5F1D492E">
            <w:pPr>
              <w:keepNext w:val="0"/>
              <w:keepLines w:val="0"/>
              <w:pageBreakBefore w:val="0"/>
              <w:kinsoku/>
              <w:wordWrap/>
              <w:overflowPunct/>
              <w:topLinePunct w:val="0"/>
              <w:autoSpaceDE/>
              <w:bidi w:val="0"/>
              <w:spacing w:line="560" w:lineRule="exact"/>
              <w:jc w:val="left"/>
              <w:rPr>
                <w:rFonts w:hint="default" w:ascii="Times New Roman" w:hAnsi="Times New Roman" w:eastAsia="宋体" w:cs="Times New Roman"/>
                <w:color w:val="000000"/>
                <w:sz w:val="21"/>
                <w:szCs w:val="21"/>
              </w:rPr>
            </w:pPr>
          </w:p>
        </w:tc>
      </w:tr>
      <w:tr w14:paraId="30A8DACC">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667359">
            <w:pPr>
              <w:keepNext w:val="0"/>
              <w:keepLines w:val="0"/>
              <w:pageBreakBefore w:val="0"/>
              <w:kinsoku/>
              <w:wordWrap/>
              <w:overflowPunct/>
              <w:topLinePunct w:val="0"/>
              <w:autoSpaceDE/>
              <w:bidi w:val="0"/>
              <w:spacing w:line="560" w:lineRule="exact"/>
              <w:rPr>
                <w:rFonts w:hint="default" w:ascii="Times New Roman" w:hAnsi="Times New Roman" w:cs="Times New Roman"/>
                <w:sz w:val="21"/>
                <w:szCs w:val="21"/>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52CBC2A">
            <w:pPr>
              <w:keepNext w:val="0"/>
              <w:keepLines w:val="0"/>
              <w:pageBreakBefore w:val="0"/>
              <w:widowControl/>
              <w:kinsoku/>
              <w:wordWrap/>
              <w:overflowPunct/>
              <w:topLinePunct w:val="0"/>
              <w:autoSpaceDE/>
              <w:bidi w:val="0"/>
              <w:spacing w:line="560" w:lineRule="exact"/>
              <w:jc w:val="left"/>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项目起止年限</w:t>
            </w:r>
          </w:p>
        </w:tc>
        <w:tc>
          <w:tcPr>
            <w:tcW w:w="6119" w:type="dxa"/>
            <w:gridSpan w:val="5"/>
            <w:tcBorders>
              <w:top w:val="single" w:color="000000" w:sz="4" w:space="0"/>
              <w:left w:val="single" w:color="000000" w:sz="4" w:space="0"/>
              <w:bottom w:val="single" w:color="000000" w:sz="4" w:space="0"/>
              <w:right w:val="single" w:color="000000" w:sz="4" w:space="0"/>
            </w:tcBorders>
            <w:noWrap w:val="0"/>
            <w:vAlign w:val="center"/>
          </w:tcPr>
          <w:p w14:paraId="16668F8E">
            <w:pPr>
              <w:keepNext w:val="0"/>
              <w:keepLines w:val="0"/>
              <w:pageBreakBefore w:val="0"/>
              <w:kinsoku/>
              <w:wordWrap/>
              <w:overflowPunct/>
              <w:topLinePunct w:val="0"/>
              <w:autoSpaceDE/>
              <w:bidi w:val="0"/>
              <w:spacing w:line="560" w:lineRule="exact"/>
              <w:rPr>
                <w:rFonts w:hint="default" w:ascii="Times New Roman" w:hAnsi="Times New Roman" w:eastAsia="宋体" w:cs="Times New Roman"/>
                <w:color w:val="000000"/>
                <w:sz w:val="21"/>
                <w:szCs w:val="21"/>
              </w:rPr>
            </w:pPr>
          </w:p>
        </w:tc>
      </w:tr>
      <w:tr w14:paraId="0501427E">
        <w:tblPrEx>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D3D3FAF">
            <w:pPr>
              <w:keepNext w:val="0"/>
              <w:keepLines w:val="0"/>
              <w:pageBreakBefore w:val="0"/>
              <w:widowControl/>
              <w:kinsoku/>
              <w:wordWrap/>
              <w:overflowPunct/>
              <w:topLinePunct w:val="0"/>
              <w:autoSpaceDE/>
              <w:bidi w:val="0"/>
              <w:spacing w:line="560" w:lineRule="exact"/>
              <w:jc w:val="center"/>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项目资金</w:t>
            </w:r>
          </w:p>
          <w:p w14:paraId="494CE671">
            <w:pPr>
              <w:keepNext w:val="0"/>
              <w:keepLines w:val="0"/>
              <w:pageBreakBefore w:val="0"/>
              <w:widowControl/>
              <w:kinsoku/>
              <w:wordWrap/>
              <w:overflowPunct/>
              <w:topLinePunct w:val="0"/>
              <w:autoSpaceDE/>
              <w:bidi w:val="0"/>
              <w:spacing w:line="560" w:lineRule="exact"/>
              <w:jc w:val="center"/>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07E11C90">
            <w:pPr>
              <w:keepNext w:val="0"/>
              <w:keepLines w:val="0"/>
              <w:pageBreakBefore w:val="0"/>
              <w:widowControl/>
              <w:kinsoku/>
              <w:wordWrap/>
              <w:overflowPunct/>
              <w:topLinePunct w:val="0"/>
              <w:autoSpaceDE/>
              <w:bidi w:val="0"/>
              <w:spacing w:line="560" w:lineRule="exact"/>
              <w:jc w:val="left"/>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年度资金总额：</w:t>
            </w:r>
          </w:p>
        </w:tc>
        <w:tc>
          <w:tcPr>
            <w:tcW w:w="6119" w:type="dxa"/>
            <w:gridSpan w:val="5"/>
            <w:tcBorders>
              <w:top w:val="single" w:color="000000" w:sz="4" w:space="0"/>
              <w:left w:val="single" w:color="000000" w:sz="4" w:space="0"/>
              <w:bottom w:val="single" w:color="000000" w:sz="4" w:space="0"/>
              <w:right w:val="single" w:color="000000" w:sz="4" w:space="0"/>
            </w:tcBorders>
            <w:noWrap w:val="0"/>
            <w:vAlign w:val="center"/>
          </w:tcPr>
          <w:p w14:paraId="1BCAD182">
            <w:pPr>
              <w:keepNext w:val="0"/>
              <w:keepLines w:val="0"/>
              <w:pageBreakBefore w:val="0"/>
              <w:kinsoku/>
              <w:wordWrap/>
              <w:overflowPunct/>
              <w:topLinePunct w:val="0"/>
              <w:autoSpaceDE/>
              <w:bidi w:val="0"/>
              <w:spacing w:line="560" w:lineRule="exact"/>
              <w:ind w:firstLine="1470" w:firstLineChars="700"/>
              <w:jc w:val="both"/>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40</w:t>
            </w:r>
            <w:r>
              <w:rPr>
                <w:rFonts w:hint="default" w:ascii="Times New Roman" w:hAnsi="Times New Roman" w:eastAsia="方正仿宋_GBK" w:cs="Times New Roman"/>
                <w:color w:val="000000"/>
                <w:sz w:val="21"/>
                <w:szCs w:val="21"/>
                <w:lang w:val="en-US" w:eastAsia="zh-CN" w:bidi="ar-SA"/>
              </w:rPr>
              <w:t>万元</w:t>
            </w:r>
          </w:p>
        </w:tc>
      </w:tr>
      <w:tr w14:paraId="23747099">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B2B91F">
            <w:pPr>
              <w:keepNext w:val="0"/>
              <w:keepLines w:val="0"/>
              <w:pageBreakBefore w:val="0"/>
              <w:kinsoku/>
              <w:wordWrap/>
              <w:overflowPunct/>
              <w:topLinePunct w:val="0"/>
              <w:autoSpaceDE/>
              <w:bidi w:val="0"/>
              <w:spacing w:line="560" w:lineRule="exact"/>
              <w:rPr>
                <w:rFonts w:hint="default" w:ascii="Times New Roman" w:hAnsi="Times New Roman" w:cs="Times New Roman"/>
                <w:sz w:val="21"/>
                <w:szCs w:val="21"/>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20BE5005">
            <w:pPr>
              <w:keepNext w:val="0"/>
              <w:keepLines w:val="0"/>
              <w:pageBreakBefore w:val="0"/>
              <w:widowControl/>
              <w:kinsoku/>
              <w:wordWrap/>
              <w:overflowPunct/>
              <w:topLinePunct w:val="0"/>
              <w:autoSpaceDE/>
              <w:bidi w:val="0"/>
              <w:spacing w:line="560" w:lineRule="exact"/>
              <w:jc w:val="left"/>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其中：财政拨款</w:t>
            </w:r>
          </w:p>
        </w:tc>
        <w:tc>
          <w:tcPr>
            <w:tcW w:w="6119" w:type="dxa"/>
            <w:gridSpan w:val="5"/>
            <w:tcBorders>
              <w:top w:val="single" w:color="000000" w:sz="4" w:space="0"/>
              <w:left w:val="single" w:color="000000" w:sz="4" w:space="0"/>
              <w:bottom w:val="single" w:color="000000" w:sz="4" w:space="0"/>
              <w:right w:val="single" w:color="000000" w:sz="4" w:space="0"/>
            </w:tcBorders>
            <w:noWrap w:val="0"/>
            <w:vAlign w:val="center"/>
          </w:tcPr>
          <w:p w14:paraId="4BA9FE86">
            <w:pPr>
              <w:keepNext w:val="0"/>
              <w:keepLines w:val="0"/>
              <w:pageBreakBefore w:val="0"/>
              <w:kinsoku/>
              <w:wordWrap/>
              <w:overflowPunct/>
              <w:topLinePunct w:val="0"/>
              <w:autoSpaceDE/>
              <w:bidi w:val="0"/>
              <w:spacing w:line="560" w:lineRule="exact"/>
              <w:ind w:firstLine="1470" w:firstLineChars="700"/>
              <w:jc w:val="both"/>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lang w:val="en-US" w:eastAsia="zh-CN"/>
              </w:rPr>
              <w:t>40</w:t>
            </w:r>
            <w:r>
              <w:rPr>
                <w:rFonts w:hint="default" w:ascii="Times New Roman" w:hAnsi="Times New Roman" w:eastAsia="方正仿宋_GBK" w:cs="Times New Roman"/>
                <w:color w:val="000000"/>
                <w:sz w:val="21"/>
                <w:szCs w:val="21"/>
                <w:lang w:val="en-US" w:eastAsia="zh-CN" w:bidi="ar-SA"/>
              </w:rPr>
              <w:t>万元</w:t>
            </w:r>
          </w:p>
        </w:tc>
      </w:tr>
      <w:tr w14:paraId="78D4F5B6">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auto" w:sz="4" w:space="0"/>
              <w:right w:val="single" w:color="000000" w:sz="4" w:space="0"/>
            </w:tcBorders>
            <w:noWrap w:val="0"/>
            <w:vAlign w:val="center"/>
          </w:tcPr>
          <w:p w14:paraId="5872A817">
            <w:pPr>
              <w:keepNext w:val="0"/>
              <w:keepLines w:val="0"/>
              <w:pageBreakBefore w:val="0"/>
              <w:kinsoku/>
              <w:wordWrap/>
              <w:overflowPunct/>
              <w:topLinePunct w:val="0"/>
              <w:autoSpaceDE/>
              <w:bidi w:val="0"/>
              <w:spacing w:line="560" w:lineRule="exact"/>
              <w:rPr>
                <w:rFonts w:hint="default" w:ascii="Times New Roman" w:hAnsi="Times New Roman" w:cs="Times New Roman"/>
                <w:sz w:val="21"/>
                <w:szCs w:val="21"/>
              </w:rPr>
            </w:pPr>
          </w:p>
        </w:tc>
        <w:tc>
          <w:tcPr>
            <w:tcW w:w="2562" w:type="dxa"/>
            <w:gridSpan w:val="2"/>
            <w:tcBorders>
              <w:top w:val="single" w:color="000000" w:sz="4" w:space="0"/>
              <w:left w:val="single" w:color="000000" w:sz="4" w:space="0"/>
              <w:bottom w:val="single" w:color="auto" w:sz="4" w:space="0"/>
              <w:right w:val="single" w:color="000000" w:sz="4" w:space="0"/>
            </w:tcBorders>
            <w:noWrap w:val="0"/>
            <w:vAlign w:val="center"/>
          </w:tcPr>
          <w:p w14:paraId="4FE20F18">
            <w:pPr>
              <w:keepNext w:val="0"/>
              <w:keepLines w:val="0"/>
              <w:pageBreakBefore w:val="0"/>
              <w:widowControl/>
              <w:kinsoku/>
              <w:wordWrap/>
              <w:overflowPunct/>
              <w:topLinePunct w:val="0"/>
              <w:autoSpaceDE/>
              <w:bidi w:val="0"/>
              <w:spacing w:line="560" w:lineRule="exact"/>
              <w:jc w:val="left"/>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其他资金</w:t>
            </w:r>
          </w:p>
        </w:tc>
        <w:tc>
          <w:tcPr>
            <w:tcW w:w="6119" w:type="dxa"/>
            <w:gridSpan w:val="5"/>
            <w:tcBorders>
              <w:top w:val="single" w:color="000000" w:sz="4" w:space="0"/>
              <w:left w:val="single" w:color="000000" w:sz="4" w:space="0"/>
              <w:bottom w:val="single" w:color="auto" w:sz="4" w:space="0"/>
              <w:right w:val="single" w:color="000000" w:sz="4" w:space="0"/>
            </w:tcBorders>
            <w:noWrap w:val="0"/>
            <w:vAlign w:val="center"/>
          </w:tcPr>
          <w:p w14:paraId="3AF55477">
            <w:pPr>
              <w:keepNext w:val="0"/>
              <w:keepLines w:val="0"/>
              <w:pageBreakBefore w:val="0"/>
              <w:kinsoku/>
              <w:wordWrap/>
              <w:overflowPunct/>
              <w:topLinePunct w:val="0"/>
              <w:autoSpaceDE/>
              <w:bidi w:val="0"/>
              <w:spacing w:line="560" w:lineRule="exact"/>
              <w:ind w:firstLine="1470" w:firstLineChars="700"/>
              <w:jc w:val="both"/>
              <w:rPr>
                <w:rFonts w:hint="default" w:ascii="Times New Roman" w:hAnsi="Times New Roman" w:eastAsia="宋体" w:cs="Times New Roman"/>
                <w:color w:val="000000"/>
                <w:sz w:val="21"/>
                <w:szCs w:val="21"/>
                <w:lang w:val="en-US" w:eastAsia="zh-CN"/>
              </w:rPr>
            </w:pPr>
          </w:p>
        </w:tc>
      </w:tr>
      <w:tr w14:paraId="19EAF6CE">
        <w:tblPrEx>
          <w:tblCellMar>
            <w:top w:w="15" w:type="dxa"/>
            <w:left w:w="15" w:type="dxa"/>
            <w:bottom w:w="15" w:type="dxa"/>
            <w:right w:w="15" w:type="dxa"/>
          </w:tblCellMar>
        </w:tblPrEx>
        <w:trPr>
          <w:trHeight w:val="23" w:hRule="atLeast"/>
          <w:jc w:val="center"/>
        </w:trPr>
        <w:tc>
          <w:tcPr>
            <w:tcW w:w="652" w:type="dxa"/>
            <w:vMerge w:val="restart"/>
            <w:tcBorders>
              <w:top w:val="single" w:color="auto" w:sz="4" w:space="0"/>
              <w:left w:val="single" w:color="auto" w:sz="4" w:space="0"/>
              <w:bottom w:val="single" w:color="auto" w:sz="4" w:space="0"/>
              <w:right w:val="single" w:color="auto" w:sz="4" w:space="0"/>
            </w:tcBorders>
            <w:noWrap w:val="0"/>
            <w:vAlign w:val="center"/>
          </w:tcPr>
          <w:p w14:paraId="650642A2">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总体 目标</w:t>
            </w:r>
          </w:p>
        </w:tc>
        <w:tc>
          <w:tcPr>
            <w:tcW w:w="9762" w:type="dxa"/>
            <w:gridSpan w:val="8"/>
            <w:tcBorders>
              <w:top w:val="single" w:color="auto" w:sz="4" w:space="0"/>
              <w:left w:val="single" w:color="auto" w:sz="4" w:space="0"/>
              <w:bottom w:val="single" w:color="auto" w:sz="4" w:space="0"/>
              <w:right w:val="single" w:color="auto" w:sz="4" w:space="0"/>
            </w:tcBorders>
            <w:noWrap w:val="0"/>
            <w:vAlign w:val="center"/>
          </w:tcPr>
          <w:p w14:paraId="40EF7607">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年度目标</w:t>
            </w:r>
          </w:p>
        </w:tc>
      </w:tr>
      <w:tr w14:paraId="7E097ABE">
        <w:tblPrEx>
          <w:tblCellMar>
            <w:top w:w="15" w:type="dxa"/>
            <w:left w:w="15" w:type="dxa"/>
            <w:bottom w:w="15" w:type="dxa"/>
            <w:right w:w="15" w:type="dxa"/>
          </w:tblCellMar>
        </w:tblPrEx>
        <w:trPr>
          <w:trHeight w:val="620"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1FA0E9DF">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p>
        </w:tc>
        <w:tc>
          <w:tcPr>
            <w:tcW w:w="9762" w:type="dxa"/>
            <w:gridSpan w:val="8"/>
            <w:tcBorders>
              <w:top w:val="single" w:color="auto" w:sz="4" w:space="0"/>
              <w:left w:val="single" w:color="auto" w:sz="4" w:space="0"/>
              <w:bottom w:val="single" w:color="auto" w:sz="4" w:space="0"/>
              <w:right w:val="single" w:color="auto" w:sz="4" w:space="0"/>
            </w:tcBorders>
            <w:noWrap w:val="0"/>
            <w:vAlign w:val="center"/>
          </w:tcPr>
          <w:p w14:paraId="1F0B0237">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en-US" w:bidi="ar"/>
              </w:rPr>
            </w:pPr>
            <w:r>
              <w:rPr>
                <w:rFonts w:hint="default" w:ascii="Times New Roman" w:hAnsi="Times New Roman" w:eastAsia="方正仿宋_GBK" w:cs="Times New Roman"/>
                <w:color w:val="000000"/>
                <w:kern w:val="0"/>
                <w:sz w:val="21"/>
                <w:szCs w:val="21"/>
                <w:lang w:bidi="ar"/>
              </w:rPr>
              <w:t>资助孤儿就</w:t>
            </w:r>
            <w:r>
              <w:rPr>
                <w:rFonts w:hint="default" w:ascii="Times New Roman" w:hAnsi="Times New Roman" w:eastAsia="方正仿宋_GBK" w:cs="Times New Roman"/>
                <w:color w:val="000000"/>
                <w:kern w:val="0"/>
                <w:sz w:val="21"/>
                <w:szCs w:val="21"/>
                <w:lang w:val="en-US" w:eastAsia="zh-CN" w:bidi="ar"/>
              </w:rPr>
              <w:t>医，</w:t>
            </w:r>
            <w:r>
              <w:rPr>
                <w:rFonts w:hint="default" w:ascii="Times New Roman" w:hAnsi="Times New Roman" w:eastAsia="方正仿宋_GBK" w:cs="Times New Roman"/>
                <w:color w:val="000000"/>
                <w:kern w:val="0"/>
                <w:sz w:val="21"/>
                <w:szCs w:val="21"/>
                <w:lang w:bidi="ar"/>
              </w:rPr>
              <w:t>提升儿童福利保障水平。</w:t>
            </w:r>
          </w:p>
        </w:tc>
      </w:tr>
      <w:tr w14:paraId="0EC0A213">
        <w:tblPrEx>
          <w:tblCellMar>
            <w:top w:w="15" w:type="dxa"/>
            <w:left w:w="15" w:type="dxa"/>
            <w:bottom w:w="15" w:type="dxa"/>
            <w:right w:w="15" w:type="dxa"/>
          </w:tblCellMar>
        </w:tblPrEx>
        <w:trPr>
          <w:trHeight w:val="23" w:hRule="atLeast"/>
          <w:jc w:val="center"/>
        </w:trPr>
        <w:tc>
          <w:tcPr>
            <w:tcW w:w="652" w:type="dxa"/>
            <w:vMerge w:val="restart"/>
            <w:tcBorders>
              <w:top w:val="single" w:color="auto" w:sz="4" w:space="0"/>
              <w:left w:val="single" w:color="auto" w:sz="4" w:space="0"/>
              <w:bottom w:val="single" w:color="auto" w:sz="4" w:space="0"/>
              <w:right w:val="single" w:color="auto" w:sz="4" w:space="0"/>
            </w:tcBorders>
            <w:noWrap w:val="0"/>
            <w:vAlign w:val="center"/>
          </w:tcPr>
          <w:p w14:paraId="13CC7615">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绩效 指标</w:t>
            </w:r>
          </w:p>
        </w:tc>
        <w:tc>
          <w:tcPr>
            <w:tcW w:w="1081" w:type="dxa"/>
            <w:tcBorders>
              <w:top w:val="single" w:color="auto" w:sz="4" w:space="0"/>
              <w:left w:val="single" w:color="auto" w:sz="4" w:space="0"/>
              <w:bottom w:val="single" w:color="auto" w:sz="4" w:space="0"/>
              <w:right w:val="single" w:color="auto" w:sz="4" w:space="0"/>
            </w:tcBorders>
            <w:noWrap w:val="0"/>
            <w:vAlign w:val="center"/>
          </w:tcPr>
          <w:p w14:paraId="44EC9498">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一级指标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5ABA59DC">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二级指标</w:t>
            </w:r>
          </w:p>
        </w:tc>
        <w:tc>
          <w:tcPr>
            <w:tcW w:w="1312" w:type="dxa"/>
            <w:tcBorders>
              <w:top w:val="single" w:color="auto" w:sz="4" w:space="0"/>
              <w:left w:val="single" w:color="auto" w:sz="4" w:space="0"/>
              <w:bottom w:val="single" w:color="auto" w:sz="4" w:space="0"/>
              <w:right w:val="single" w:color="auto" w:sz="4" w:space="0"/>
            </w:tcBorders>
            <w:noWrap w:val="0"/>
            <w:vAlign w:val="center"/>
          </w:tcPr>
          <w:p w14:paraId="3B7B0BAD">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三级指标</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4093B7F5">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指标性质</w:t>
            </w:r>
          </w:p>
        </w:tc>
        <w:tc>
          <w:tcPr>
            <w:tcW w:w="723" w:type="dxa"/>
            <w:tcBorders>
              <w:top w:val="single" w:color="auto" w:sz="4" w:space="0"/>
              <w:left w:val="single" w:color="auto" w:sz="4" w:space="0"/>
              <w:bottom w:val="single" w:color="auto" w:sz="4" w:space="0"/>
              <w:right w:val="single" w:color="auto" w:sz="4" w:space="0"/>
            </w:tcBorders>
            <w:noWrap w:val="0"/>
            <w:vAlign w:val="center"/>
          </w:tcPr>
          <w:p w14:paraId="37B06F3F">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指标值</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0968B1ED">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度量单位</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086E7C5A">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权重</w:t>
            </w:r>
          </w:p>
        </w:tc>
        <w:tc>
          <w:tcPr>
            <w:tcW w:w="2022" w:type="dxa"/>
            <w:tcBorders>
              <w:top w:val="single" w:color="auto" w:sz="4" w:space="0"/>
              <w:left w:val="single" w:color="auto" w:sz="4" w:space="0"/>
              <w:bottom w:val="single" w:color="auto" w:sz="4" w:space="0"/>
              <w:right w:val="single" w:color="auto" w:sz="4" w:space="0"/>
            </w:tcBorders>
            <w:noWrap w:val="0"/>
            <w:vAlign w:val="center"/>
          </w:tcPr>
          <w:p w14:paraId="52BF5BED">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实际完成指标值</w:t>
            </w:r>
          </w:p>
        </w:tc>
      </w:tr>
      <w:tr w14:paraId="74277A21">
        <w:tblPrEx>
          <w:tblCellMar>
            <w:top w:w="15" w:type="dxa"/>
            <w:left w:w="15" w:type="dxa"/>
            <w:bottom w:w="15" w:type="dxa"/>
            <w:right w:w="15" w:type="dxa"/>
          </w:tblCellMar>
        </w:tblPrEx>
        <w:trPr>
          <w:trHeight w:val="1440"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46A9D435">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2DE2CB27">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产出指标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42478317">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数量指标</w:t>
            </w:r>
          </w:p>
        </w:tc>
        <w:tc>
          <w:tcPr>
            <w:tcW w:w="1312" w:type="dxa"/>
            <w:tcBorders>
              <w:top w:val="single" w:color="auto" w:sz="4" w:space="0"/>
              <w:left w:val="single" w:color="auto" w:sz="4" w:space="0"/>
              <w:bottom w:val="single" w:color="auto" w:sz="4" w:space="0"/>
              <w:right w:val="single" w:color="auto" w:sz="4" w:space="0"/>
            </w:tcBorders>
            <w:noWrap w:val="0"/>
            <w:vAlign w:val="center"/>
          </w:tcPr>
          <w:p w14:paraId="308CCA93">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“孤儿医疗康复明天计划”资助孤儿数</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29A01023">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定量</w:t>
            </w:r>
          </w:p>
        </w:tc>
        <w:tc>
          <w:tcPr>
            <w:tcW w:w="723" w:type="dxa"/>
            <w:tcBorders>
              <w:top w:val="single" w:color="auto" w:sz="4" w:space="0"/>
              <w:left w:val="single" w:color="auto" w:sz="4" w:space="0"/>
              <w:bottom w:val="single" w:color="auto" w:sz="4" w:space="0"/>
              <w:right w:val="single" w:color="auto" w:sz="4" w:space="0"/>
            </w:tcBorders>
            <w:noWrap w:val="0"/>
            <w:vAlign w:val="center"/>
          </w:tcPr>
          <w:p w14:paraId="4E5F2F45">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bidi="ar"/>
              </w:rPr>
              <w:t>≥</w:t>
            </w:r>
            <w:r>
              <w:rPr>
                <w:rFonts w:hint="default" w:ascii="Times New Roman" w:hAnsi="Times New Roman" w:eastAsia="方正仿宋_GBK" w:cs="Times New Roman"/>
                <w:color w:val="000000"/>
                <w:kern w:val="0"/>
                <w:sz w:val="21"/>
                <w:szCs w:val="21"/>
                <w:lang w:val="en-US" w:eastAsia="zh-CN" w:bidi="ar"/>
              </w:rPr>
              <w:t>50</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74040D73">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人</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3E0A8706">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en-US" w:bidi="ar"/>
              </w:rPr>
            </w:pPr>
            <w:r>
              <w:rPr>
                <w:rFonts w:hint="default" w:ascii="Times New Roman" w:hAnsi="Times New Roman" w:eastAsia="方正仿宋_GBK" w:cs="Times New Roman"/>
                <w:color w:val="000000"/>
                <w:kern w:val="0"/>
                <w:sz w:val="21"/>
                <w:szCs w:val="21"/>
                <w:lang w:val="en-US" w:eastAsia="zh-CN" w:bidi="ar"/>
              </w:rPr>
              <w:t>20%</w:t>
            </w:r>
          </w:p>
        </w:tc>
        <w:tc>
          <w:tcPr>
            <w:tcW w:w="2022" w:type="dxa"/>
            <w:tcBorders>
              <w:top w:val="single" w:color="auto" w:sz="4" w:space="0"/>
              <w:left w:val="single" w:color="auto" w:sz="4" w:space="0"/>
              <w:bottom w:val="single" w:color="auto" w:sz="4" w:space="0"/>
              <w:right w:val="single" w:color="auto" w:sz="4" w:space="0"/>
            </w:tcBorders>
            <w:noWrap w:val="0"/>
            <w:vAlign w:val="center"/>
          </w:tcPr>
          <w:p w14:paraId="1EA401CD">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49人</w:t>
            </w:r>
          </w:p>
        </w:tc>
      </w:tr>
      <w:tr w14:paraId="67ACAD66">
        <w:tblPrEx>
          <w:tblCellMar>
            <w:top w:w="15" w:type="dxa"/>
            <w:left w:w="15" w:type="dxa"/>
            <w:bottom w:w="15" w:type="dxa"/>
            <w:right w:w="15" w:type="dxa"/>
          </w:tblCellMar>
        </w:tblPrEx>
        <w:trPr>
          <w:trHeight w:val="660"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28949B8B">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5E7A5C97">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效益指标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6DE9C5BA">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社会效益</w:t>
            </w:r>
          </w:p>
          <w:p w14:paraId="6A043743">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指标</w:t>
            </w:r>
          </w:p>
        </w:tc>
        <w:tc>
          <w:tcPr>
            <w:tcW w:w="1312" w:type="dxa"/>
            <w:tcBorders>
              <w:top w:val="single" w:color="auto" w:sz="4" w:space="0"/>
              <w:left w:val="single" w:color="auto" w:sz="4" w:space="0"/>
              <w:bottom w:val="single" w:color="auto" w:sz="4" w:space="0"/>
              <w:right w:val="single" w:color="auto" w:sz="4" w:space="0"/>
            </w:tcBorders>
            <w:noWrap w:val="0"/>
            <w:vAlign w:val="center"/>
          </w:tcPr>
          <w:p w14:paraId="4FCA6943">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支持儿童福利事业发展成效</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7D84C3A0">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定性</w:t>
            </w:r>
          </w:p>
        </w:tc>
        <w:tc>
          <w:tcPr>
            <w:tcW w:w="723" w:type="dxa"/>
            <w:tcBorders>
              <w:top w:val="single" w:color="auto" w:sz="4" w:space="0"/>
              <w:left w:val="single" w:color="auto" w:sz="4" w:space="0"/>
              <w:bottom w:val="single" w:color="auto" w:sz="4" w:space="0"/>
              <w:right w:val="single" w:color="auto" w:sz="4" w:space="0"/>
            </w:tcBorders>
            <w:noWrap w:val="0"/>
            <w:vAlign w:val="center"/>
          </w:tcPr>
          <w:p w14:paraId="5804FD95">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成效显著</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315A4202">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p>
        </w:tc>
        <w:tc>
          <w:tcPr>
            <w:tcW w:w="938" w:type="dxa"/>
            <w:tcBorders>
              <w:top w:val="single" w:color="auto" w:sz="4" w:space="0"/>
              <w:left w:val="single" w:color="auto" w:sz="4" w:space="0"/>
              <w:bottom w:val="single" w:color="auto" w:sz="4" w:space="0"/>
              <w:right w:val="single" w:color="auto" w:sz="4" w:space="0"/>
            </w:tcBorders>
            <w:noWrap w:val="0"/>
            <w:vAlign w:val="center"/>
          </w:tcPr>
          <w:p w14:paraId="5B9381D4">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val="en-US" w:eastAsia="zh-CN" w:bidi="ar"/>
              </w:rPr>
              <w:t>40%</w:t>
            </w:r>
          </w:p>
        </w:tc>
        <w:tc>
          <w:tcPr>
            <w:tcW w:w="2022" w:type="dxa"/>
            <w:tcBorders>
              <w:top w:val="single" w:color="auto" w:sz="4" w:space="0"/>
              <w:left w:val="single" w:color="auto" w:sz="4" w:space="0"/>
              <w:bottom w:val="single" w:color="auto" w:sz="4" w:space="0"/>
              <w:right w:val="single" w:color="auto" w:sz="4" w:space="0"/>
            </w:tcBorders>
            <w:noWrap w:val="0"/>
            <w:vAlign w:val="center"/>
          </w:tcPr>
          <w:p w14:paraId="39BC0166">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成效显著</w:t>
            </w:r>
          </w:p>
        </w:tc>
      </w:tr>
      <w:tr w14:paraId="25638FAD">
        <w:tblPrEx>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33766977">
            <w:pPr>
              <w:keepNext w:val="0"/>
              <w:keepLines w:val="0"/>
              <w:pageBreakBefore w:val="0"/>
              <w:kinsoku/>
              <w:wordWrap/>
              <w:overflowPunct/>
              <w:topLinePunct w:val="0"/>
              <w:autoSpaceDE/>
              <w:bidi w:val="0"/>
              <w:spacing w:line="560" w:lineRule="exact"/>
              <w:rPr>
                <w:rFonts w:hint="default" w:ascii="Times New Roman" w:hAnsi="Times New Roman" w:cs="Times New Roman"/>
                <w:sz w:val="21"/>
                <w:szCs w:val="21"/>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282F6E3D">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满意度</w:t>
            </w:r>
          </w:p>
          <w:p w14:paraId="428DFA7D">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05F09F12">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服务对象</w:t>
            </w:r>
          </w:p>
          <w:p w14:paraId="06F0C3B9">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满意度指标</w:t>
            </w:r>
          </w:p>
        </w:tc>
        <w:tc>
          <w:tcPr>
            <w:tcW w:w="1312" w:type="dxa"/>
            <w:tcBorders>
              <w:top w:val="single" w:color="auto" w:sz="4" w:space="0"/>
              <w:left w:val="single" w:color="auto" w:sz="4" w:space="0"/>
              <w:bottom w:val="single" w:color="auto" w:sz="4" w:space="0"/>
              <w:right w:val="single" w:color="auto" w:sz="4" w:space="0"/>
            </w:tcBorders>
            <w:noWrap w:val="0"/>
            <w:vAlign w:val="center"/>
          </w:tcPr>
          <w:p w14:paraId="7966F31A">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bidi="ar"/>
              </w:rPr>
              <w:t>接受资助和服务儿童满意度</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76593863">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val="en-US" w:eastAsia="zh-CN" w:bidi="ar"/>
              </w:rPr>
              <w:t>定量</w:t>
            </w:r>
          </w:p>
        </w:tc>
        <w:tc>
          <w:tcPr>
            <w:tcW w:w="723" w:type="dxa"/>
            <w:tcBorders>
              <w:top w:val="single" w:color="auto" w:sz="4" w:space="0"/>
              <w:left w:val="single" w:color="auto" w:sz="4" w:space="0"/>
              <w:bottom w:val="single" w:color="auto" w:sz="4" w:space="0"/>
              <w:right w:val="single" w:color="auto" w:sz="4" w:space="0"/>
            </w:tcBorders>
            <w:noWrap w:val="0"/>
            <w:vAlign w:val="center"/>
          </w:tcPr>
          <w:p w14:paraId="4AB5FE7B">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en-US" w:bidi="ar"/>
              </w:rPr>
            </w:pPr>
            <w:r>
              <w:rPr>
                <w:rFonts w:hint="default" w:ascii="Times New Roman" w:hAnsi="Times New Roman" w:eastAsia="方正仿宋_GBK" w:cs="Times New Roman"/>
                <w:color w:val="000000"/>
                <w:kern w:val="0"/>
                <w:sz w:val="21"/>
                <w:szCs w:val="21"/>
                <w:lang w:bidi="ar"/>
              </w:rPr>
              <w:t>≥</w:t>
            </w:r>
            <w:r>
              <w:rPr>
                <w:rFonts w:hint="default" w:ascii="Times New Roman" w:hAnsi="Times New Roman" w:eastAsia="方正仿宋_GBK" w:cs="Times New Roman"/>
                <w:color w:val="000000"/>
                <w:kern w:val="0"/>
                <w:sz w:val="21"/>
                <w:szCs w:val="21"/>
                <w:lang w:val="en-US" w:eastAsia="zh-CN" w:bidi="ar"/>
              </w:rPr>
              <w:t>90</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1747E1F2">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4CBBB293">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bidi="ar"/>
              </w:rPr>
            </w:pPr>
            <w:r>
              <w:rPr>
                <w:rFonts w:hint="default" w:ascii="Times New Roman" w:hAnsi="Times New Roman" w:eastAsia="方正仿宋_GBK" w:cs="Times New Roman"/>
                <w:color w:val="000000"/>
                <w:kern w:val="0"/>
                <w:sz w:val="21"/>
                <w:szCs w:val="21"/>
                <w:lang w:val="en-US" w:eastAsia="zh-CN" w:bidi="ar"/>
              </w:rPr>
              <w:t>40%</w:t>
            </w:r>
          </w:p>
        </w:tc>
        <w:tc>
          <w:tcPr>
            <w:tcW w:w="2022" w:type="dxa"/>
            <w:tcBorders>
              <w:top w:val="single" w:color="auto" w:sz="4" w:space="0"/>
              <w:left w:val="single" w:color="auto" w:sz="4" w:space="0"/>
              <w:bottom w:val="single" w:color="auto" w:sz="4" w:space="0"/>
              <w:right w:val="single" w:color="auto" w:sz="4" w:space="0"/>
            </w:tcBorders>
            <w:noWrap w:val="0"/>
            <w:vAlign w:val="center"/>
          </w:tcPr>
          <w:p w14:paraId="4E7F2C0F">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90%</w:t>
            </w:r>
          </w:p>
        </w:tc>
      </w:tr>
    </w:tbl>
    <w:p w14:paraId="7D5C8CD1">
      <w:pPr>
        <w:keepNext w:val="0"/>
        <w:keepLines w:val="0"/>
        <w:pageBreakBefore w:val="0"/>
        <w:kinsoku/>
        <w:wordWrap/>
        <w:overflowPunct/>
        <w:topLinePunct w:val="0"/>
        <w:autoSpaceDE/>
        <w:bidi w:val="0"/>
        <w:snapToGrid w:val="0"/>
        <w:spacing w:line="560" w:lineRule="exact"/>
        <w:rPr>
          <w:rFonts w:hint="default" w:ascii="Times New Roman" w:hAnsi="Times New Roman" w:eastAsia="黑体" w:cs="Times New Roman"/>
          <w:kern w:val="0"/>
          <w:shd w:val="clear" w:color="auto" w:fill="FFFFFF"/>
          <w:lang w:val="en-US" w:eastAsia="zh-CN"/>
        </w:rPr>
      </w:pPr>
      <w:r>
        <w:rPr>
          <w:rFonts w:hint="default" w:ascii="Times New Roman" w:hAnsi="Times New Roman" w:eastAsia="黑体" w:cs="Times New Roman"/>
          <w:kern w:val="0"/>
          <w:shd w:val="clear" w:color="auto" w:fill="FFFFFF"/>
          <w:lang w:val="zh-CN" w:eastAsia="zh-CN"/>
        </w:rPr>
        <w:t>附表</w:t>
      </w:r>
      <w:r>
        <w:rPr>
          <w:rFonts w:hint="default" w:ascii="Times New Roman" w:hAnsi="Times New Roman" w:eastAsia="黑体" w:cs="Times New Roman"/>
          <w:kern w:val="0"/>
          <w:shd w:val="clear" w:color="auto" w:fill="FFFFFF"/>
        </w:rPr>
        <w:t>3</w:t>
      </w:r>
      <w:r>
        <w:rPr>
          <w:rFonts w:hint="default" w:ascii="Times New Roman" w:hAnsi="Times New Roman" w:eastAsia="黑体" w:cs="Times New Roman"/>
          <w:kern w:val="0"/>
          <w:shd w:val="clear" w:color="auto" w:fill="FFFFFF"/>
          <w:lang w:val="en-US" w:eastAsia="zh-CN"/>
        </w:rPr>
        <w:t>-5</w:t>
      </w:r>
    </w:p>
    <w:tbl>
      <w:tblPr>
        <w:tblStyle w:val="17"/>
        <w:tblW w:w="10233" w:type="dxa"/>
        <w:jc w:val="center"/>
        <w:tblLayout w:type="fixed"/>
        <w:tblCellMar>
          <w:top w:w="15" w:type="dxa"/>
          <w:left w:w="15" w:type="dxa"/>
          <w:bottom w:w="15" w:type="dxa"/>
          <w:right w:w="15" w:type="dxa"/>
        </w:tblCellMar>
      </w:tblPr>
      <w:tblGrid>
        <w:gridCol w:w="652"/>
        <w:gridCol w:w="1081"/>
        <w:gridCol w:w="1250"/>
        <w:gridCol w:w="1517"/>
        <w:gridCol w:w="1170"/>
        <w:gridCol w:w="1110"/>
        <w:gridCol w:w="1060"/>
        <w:gridCol w:w="850"/>
        <w:gridCol w:w="1543"/>
      </w:tblGrid>
      <w:tr w14:paraId="6C9184E6">
        <w:tblPrEx>
          <w:tblCellMar>
            <w:top w:w="15" w:type="dxa"/>
            <w:left w:w="15" w:type="dxa"/>
            <w:bottom w:w="15" w:type="dxa"/>
            <w:right w:w="15" w:type="dxa"/>
          </w:tblCellMar>
        </w:tblPrEx>
        <w:trPr>
          <w:trHeight w:val="576" w:hRule="atLeast"/>
          <w:jc w:val="center"/>
        </w:trPr>
        <w:tc>
          <w:tcPr>
            <w:tcW w:w="10233" w:type="dxa"/>
            <w:gridSpan w:val="9"/>
            <w:tcBorders>
              <w:top w:val="nil"/>
              <w:left w:val="nil"/>
              <w:bottom w:val="nil"/>
              <w:right w:val="nil"/>
            </w:tcBorders>
            <w:noWrap w:val="0"/>
            <w:vAlign w:val="center"/>
          </w:tcPr>
          <w:p w14:paraId="0DFF3E0B">
            <w:pPr>
              <w:keepNext w:val="0"/>
              <w:keepLines w:val="0"/>
              <w:pageBreakBefore w:val="0"/>
              <w:widowControl/>
              <w:kinsoku/>
              <w:wordWrap/>
              <w:overflowPunct/>
              <w:topLinePunct w:val="0"/>
              <w:autoSpaceDE/>
              <w:bidi w:val="0"/>
              <w:spacing w:line="560" w:lineRule="exact"/>
              <w:jc w:val="center"/>
              <w:textAlignment w:val="center"/>
              <w:rPr>
                <w:rFonts w:hint="default" w:ascii="Times New Roman" w:hAnsi="Times New Roman" w:eastAsia="黑体" w:cs="Times New Roman"/>
                <w:color w:val="000000"/>
                <w:sz w:val="30"/>
                <w:szCs w:val="30"/>
              </w:rPr>
            </w:pPr>
            <w:r>
              <w:rPr>
                <w:rFonts w:hint="default" w:ascii="Times New Roman" w:hAnsi="Times New Roman" w:eastAsia="方正小标宋简体" w:cs="Times New Roman"/>
                <w:color w:val="000000"/>
                <w:kern w:val="0"/>
                <w:sz w:val="40"/>
                <w:szCs w:val="40"/>
                <w:lang w:bidi="ar"/>
              </w:rPr>
              <w:t>专项预算项目绩效目标完成情况自评表</w:t>
            </w:r>
          </w:p>
        </w:tc>
      </w:tr>
      <w:tr w14:paraId="2C49215F">
        <w:tblPrEx>
          <w:tblCellMar>
            <w:top w:w="15" w:type="dxa"/>
            <w:left w:w="15" w:type="dxa"/>
            <w:bottom w:w="15" w:type="dxa"/>
            <w:right w:w="15" w:type="dxa"/>
          </w:tblCellMar>
        </w:tblPrEx>
        <w:trPr>
          <w:trHeight w:val="292" w:hRule="atLeast"/>
          <w:jc w:val="center"/>
        </w:trPr>
        <w:tc>
          <w:tcPr>
            <w:tcW w:w="4500" w:type="dxa"/>
            <w:gridSpan w:val="4"/>
            <w:tcBorders>
              <w:top w:val="single" w:color="000000" w:sz="4" w:space="0"/>
              <w:left w:val="single" w:color="000000" w:sz="4" w:space="0"/>
              <w:bottom w:val="single" w:color="000000" w:sz="4" w:space="0"/>
              <w:right w:val="single" w:color="000000" w:sz="4" w:space="0"/>
            </w:tcBorders>
            <w:noWrap w:val="0"/>
            <w:vAlign w:val="center"/>
          </w:tcPr>
          <w:p w14:paraId="40B8DC4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项目名称</w:t>
            </w:r>
          </w:p>
        </w:tc>
        <w:tc>
          <w:tcPr>
            <w:tcW w:w="5733" w:type="dxa"/>
            <w:gridSpan w:val="5"/>
            <w:tcBorders>
              <w:top w:val="single" w:color="000000" w:sz="4" w:space="0"/>
              <w:left w:val="single" w:color="000000" w:sz="4" w:space="0"/>
              <w:bottom w:val="single" w:color="000000" w:sz="4" w:space="0"/>
              <w:right w:val="single" w:color="000000" w:sz="4" w:space="0"/>
            </w:tcBorders>
            <w:noWrap w:val="0"/>
            <w:vAlign w:val="center"/>
          </w:tcPr>
          <w:p w14:paraId="5EE2020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孤儿、事实无人抚养儿童年满18周岁后助学</w:t>
            </w:r>
          </w:p>
        </w:tc>
      </w:tr>
      <w:tr w14:paraId="01C89D8A">
        <w:tblPrEx>
          <w:tblCellMar>
            <w:top w:w="15" w:type="dxa"/>
            <w:left w:w="15" w:type="dxa"/>
            <w:bottom w:w="15" w:type="dxa"/>
            <w:right w:w="15" w:type="dxa"/>
          </w:tblCellMar>
        </w:tblPrEx>
        <w:trPr>
          <w:trHeight w:val="280" w:hRule="atLeast"/>
          <w:jc w:val="center"/>
        </w:trPr>
        <w:tc>
          <w:tcPr>
            <w:tcW w:w="4500" w:type="dxa"/>
            <w:gridSpan w:val="4"/>
            <w:tcBorders>
              <w:top w:val="single" w:color="000000" w:sz="4" w:space="0"/>
              <w:left w:val="single" w:color="000000" w:sz="4" w:space="0"/>
              <w:bottom w:val="single" w:color="000000" w:sz="4" w:space="0"/>
              <w:right w:val="single" w:color="000000" w:sz="4" w:space="0"/>
            </w:tcBorders>
            <w:noWrap w:val="0"/>
            <w:vAlign w:val="center"/>
          </w:tcPr>
          <w:p w14:paraId="2C5E187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预算单位</w:t>
            </w:r>
          </w:p>
        </w:tc>
        <w:tc>
          <w:tcPr>
            <w:tcW w:w="5733" w:type="dxa"/>
            <w:gridSpan w:val="5"/>
            <w:tcBorders>
              <w:top w:val="single" w:color="000000" w:sz="4" w:space="0"/>
              <w:left w:val="single" w:color="000000" w:sz="4" w:space="0"/>
              <w:bottom w:val="single" w:color="000000" w:sz="4" w:space="0"/>
              <w:right w:val="single" w:color="000000" w:sz="4" w:space="0"/>
            </w:tcBorders>
            <w:noWrap w:val="0"/>
            <w:vAlign w:val="center"/>
          </w:tcPr>
          <w:p w14:paraId="1DA15AB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攀枝花市民政局</w:t>
            </w:r>
          </w:p>
        </w:tc>
      </w:tr>
      <w:tr w14:paraId="0447513C">
        <w:tblPrEx>
          <w:tblCellMar>
            <w:top w:w="15" w:type="dxa"/>
            <w:left w:w="15" w:type="dxa"/>
            <w:bottom w:w="15" w:type="dxa"/>
            <w:right w:w="15" w:type="dxa"/>
          </w:tblCellMar>
        </w:tblPrEx>
        <w:trPr>
          <w:trHeight w:val="330" w:hRule="atLeast"/>
          <w:jc w:val="center"/>
        </w:trPr>
        <w:tc>
          <w:tcPr>
            <w:tcW w:w="4500" w:type="dxa"/>
            <w:gridSpan w:val="4"/>
            <w:tcBorders>
              <w:top w:val="single" w:color="000000" w:sz="4" w:space="0"/>
              <w:left w:val="single" w:color="000000" w:sz="4" w:space="0"/>
              <w:bottom w:val="single" w:color="000000" w:sz="4" w:space="0"/>
              <w:right w:val="single" w:color="000000" w:sz="4" w:space="0"/>
            </w:tcBorders>
            <w:noWrap w:val="0"/>
            <w:vAlign w:val="center"/>
          </w:tcPr>
          <w:p w14:paraId="6142CB4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项目类型</w:t>
            </w:r>
          </w:p>
        </w:tc>
        <w:tc>
          <w:tcPr>
            <w:tcW w:w="5733" w:type="dxa"/>
            <w:gridSpan w:val="5"/>
            <w:tcBorders>
              <w:top w:val="single" w:color="000000" w:sz="4" w:space="0"/>
              <w:left w:val="single" w:color="000000" w:sz="4" w:space="0"/>
              <w:bottom w:val="single" w:color="000000" w:sz="4" w:space="0"/>
              <w:right w:val="single" w:color="000000" w:sz="4" w:space="0"/>
            </w:tcBorders>
            <w:noWrap w:val="0"/>
            <w:vAlign w:val="center"/>
          </w:tcPr>
          <w:p w14:paraId="68EB339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民政事业补助资金</w:t>
            </w:r>
          </w:p>
        </w:tc>
      </w:tr>
      <w:tr w14:paraId="6568540C">
        <w:tblPrEx>
          <w:tblCellMar>
            <w:top w:w="15" w:type="dxa"/>
            <w:left w:w="15" w:type="dxa"/>
            <w:bottom w:w="15" w:type="dxa"/>
            <w:right w:w="15" w:type="dxa"/>
          </w:tblCellMar>
        </w:tblPrEx>
        <w:trPr>
          <w:trHeight w:val="90"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C524F2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 概况</w:t>
            </w:r>
          </w:p>
        </w:tc>
        <w:tc>
          <w:tcPr>
            <w:tcW w:w="3848" w:type="dxa"/>
            <w:gridSpan w:val="3"/>
            <w:tcBorders>
              <w:top w:val="single" w:color="000000" w:sz="4" w:space="0"/>
              <w:left w:val="single" w:color="000000" w:sz="4" w:space="0"/>
              <w:bottom w:val="single" w:color="000000" w:sz="4" w:space="0"/>
              <w:right w:val="single" w:color="000000" w:sz="4" w:space="0"/>
            </w:tcBorders>
            <w:noWrap w:val="0"/>
            <w:vAlign w:val="center"/>
          </w:tcPr>
          <w:p w14:paraId="2BF4053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中长期规划（名称、文号，仅指</w:t>
            </w:r>
          </w:p>
          <w:p w14:paraId="6A6DADA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常年项目）</w:t>
            </w:r>
          </w:p>
        </w:tc>
        <w:tc>
          <w:tcPr>
            <w:tcW w:w="5733" w:type="dxa"/>
            <w:gridSpan w:val="5"/>
            <w:tcBorders>
              <w:top w:val="single" w:color="000000" w:sz="4" w:space="0"/>
              <w:left w:val="single" w:color="000000" w:sz="4" w:space="0"/>
              <w:bottom w:val="single" w:color="000000" w:sz="4" w:space="0"/>
              <w:right w:val="single" w:color="000000" w:sz="4" w:space="0"/>
            </w:tcBorders>
            <w:noWrap w:val="0"/>
            <w:vAlign w:val="center"/>
          </w:tcPr>
          <w:p w14:paraId="61C9E08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 xml:space="preserve">四川省民政厅 四川省教育厅 四川省财政厅 四川省人力资源和社会保障厅《关于进一步做好孤儿、事实无人抚养儿童年满18周岁后助学工作的通知》（川民发〔2023〕37号） </w:t>
            </w:r>
          </w:p>
        </w:tc>
      </w:tr>
      <w:tr w14:paraId="18B537BA">
        <w:tblPrEx>
          <w:tblCellMar>
            <w:top w:w="15" w:type="dxa"/>
            <w:left w:w="15" w:type="dxa"/>
            <w:bottom w:w="15" w:type="dxa"/>
            <w:right w:w="15" w:type="dxa"/>
          </w:tblCellMar>
        </w:tblPrEx>
        <w:trPr>
          <w:trHeight w:val="138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4EE3A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3848" w:type="dxa"/>
            <w:gridSpan w:val="3"/>
            <w:tcBorders>
              <w:top w:val="single" w:color="000000" w:sz="4" w:space="0"/>
              <w:left w:val="single" w:color="000000" w:sz="4" w:space="0"/>
              <w:bottom w:val="single" w:color="000000" w:sz="4" w:space="0"/>
              <w:right w:val="single" w:color="000000" w:sz="4" w:space="0"/>
            </w:tcBorders>
            <w:noWrap w:val="0"/>
            <w:vAlign w:val="center"/>
          </w:tcPr>
          <w:p w14:paraId="424ADD0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资金管理办法（名称、文号）</w:t>
            </w:r>
          </w:p>
        </w:tc>
        <w:tc>
          <w:tcPr>
            <w:tcW w:w="5733" w:type="dxa"/>
            <w:gridSpan w:val="5"/>
            <w:tcBorders>
              <w:top w:val="single" w:color="000000" w:sz="4" w:space="0"/>
              <w:left w:val="single" w:color="000000" w:sz="4" w:space="0"/>
              <w:bottom w:val="single" w:color="000000" w:sz="4" w:space="0"/>
              <w:right w:val="single" w:color="000000" w:sz="4" w:space="0"/>
            </w:tcBorders>
            <w:noWrap w:val="0"/>
            <w:vAlign w:val="center"/>
          </w:tcPr>
          <w:p w14:paraId="0693CC1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 xml:space="preserve">四川省民政厅 四川省教育厅 四川省财政厅 四川省人力资源和社会保障厅《关于进一步做好孤儿、事实无人抚养儿童年满18周岁后助学工作的通知》（川民发〔2023〕37号） </w:t>
            </w:r>
          </w:p>
        </w:tc>
      </w:tr>
      <w:tr w14:paraId="1D0056F3">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A4F2F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3848" w:type="dxa"/>
            <w:gridSpan w:val="3"/>
            <w:tcBorders>
              <w:top w:val="single" w:color="000000" w:sz="4" w:space="0"/>
              <w:left w:val="single" w:color="000000" w:sz="4" w:space="0"/>
              <w:bottom w:val="single" w:color="000000" w:sz="4" w:space="0"/>
              <w:right w:val="single" w:color="000000" w:sz="4" w:space="0"/>
            </w:tcBorders>
            <w:noWrap w:val="0"/>
            <w:vAlign w:val="center"/>
          </w:tcPr>
          <w:p w14:paraId="7B02EC6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绩效分配方式</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2215EEA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sym w:font="Wingdings 2" w:char="0052"/>
            </w:r>
            <w:r>
              <w:rPr>
                <w:rFonts w:hint="default" w:ascii="Times New Roman" w:hAnsi="Times New Roman" w:eastAsia="方正仿宋_GBK" w:cs="Times New Roman"/>
                <w:color w:val="000000"/>
                <w:kern w:val="0"/>
                <w:sz w:val="21"/>
                <w:szCs w:val="21"/>
                <w:lang w:val="en-US" w:eastAsia="zh-CN" w:bidi="ar"/>
              </w:rPr>
              <w:t>因素法</w:t>
            </w:r>
          </w:p>
        </w:tc>
        <w:tc>
          <w:tcPr>
            <w:tcW w:w="2170" w:type="dxa"/>
            <w:gridSpan w:val="2"/>
            <w:tcBorders>
              <w:top w:val="single" w:color="000000" w:sz="4" w:space="0"/>
              <w:left w:val="single" w:color="000000" w:sz="4" w:space="0"/>
              <w:bottom w:val="single" w:color="000000" w:sz="4" w:space="0"/>
              <w:right w:val="single" w:color="000000" w:sz="4" w:space="0"/>
            </w:tcBorders>
            <w:noWrap w:val="0"/>
            <w:vAlign w:val="center"/>
          </w:tcPr>
          <w:p w14:paraId="528292B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£项目法</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2CC988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£据实据效</w:t>
            </w:r>
          </w:p>
        </w:tc>
        <w:tc>
          <w:tcPr>
            <w:tcW w:w="1543" w:type="dxa"/>
            <w:tcBorders>
              <w:top w:val="single" w:color="000000" w:sz="4" w:space="0"/>
              <w:left w:val="single" w:color="000000" w:sz="4" w:space="0"/>
              <w:bottom w:val="single" w:color="000000" w:sz="4" w:space="0"/>
              <w:right w:val="single" w:color="000000" w:sz="4" w:space="0"/>
            </w:tcBorders>
            <w:noWrap w:val="0"/>
            <w:vAlign w:val="center"/>
          </w:tcPr>
          <w:p w14:paraId="23FD6C5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£因素法与项目法相结合</w:t>
            </w:r>
          </w:p>
        </w:tc>
      </w:tr>
      <w:tr w14:paraId="46CA0EFE">
        <w:tblPrEx>
          <w:tblCellMar>
            <w:top w:w="15" w:type="dxa"/>
            <w:left w:w="15" w:type="dxa"/>
            <w:bottom w:w="15" w:type="dxa"/>
            <w:right w:w="15" w:type="dxa"/>
          </w:tblCellMar>
        </w:tblPrEx>
        <w:trPr>
          <w:trHeight w:val="53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9971E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3848" w:type="dxa"/>
            <w:gridSpan w:val="3"/>
            <w:tcBorders>
              <w:top w:val="single" w:color="000000" w:sz="4" w:space="0"/>
              <w:left w:val="single" w:color="000000" w:sz="4" w:space="0"/>
              <w:bottom w:val="single" w:color="000000" w:sz="4" w:space="0"/>
              <w:right w:val="single" w:color="000000" w:sz="4" w:space="0"/>
            </w:tcBorders>
            <w:noWrap w:val="0"/>
            <w:vAlign w:val="center"/>
          </w:tcPr>
          <w:p w14:paraId="5241BF6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立项依据</w:t>
            </w:r>
          </w:p>
        </w:tc>
        <w:tc>
          <w:tcPr>
            <w:tcW w:w="5733" w:type="dxa"/>
            <w:gridSpan w:val="5"/>
            <w:tcBorders>
              <w:top w:val="single" w:color="000000" w:sz="4" w:space="0"/>
              <w:left w:val="single" w:color="000000" w:sz="4" w:space="0"/>
              <w:bottom w:val="single" w:color="000000" w:sz="4" w:space="0"/>
              <w:right w:val="single" w:color="000000" w:sz="4" w:space="0"/>
            </w:tcBorders>
            <w:noWrap w:val="0"/>
            <w:vAlign w:val="center"/>
          </w:tcPr>
          <w:p w14:paraId="4E63711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 xml:space="preserve">四川省民政厅 四川省教育厅 四川省财政厅 四川省人力资源和社会保障厅《关于进一步做好孤儿、事实无人抚养儿童年满18周岁后助学工作的通知》（川民发〔2023〕37号） </w:t>
            </w:r>
          </w:p>
        </w:tc>
      </w:tr>
      <w:tr w14:paraId="38730E33">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617AB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3848" w:type="dxa"/>
            <w:gridSpan w:val="3"/>
            <w:tcBorders>
              <w:top w:val="single" w:color="000000" w:sz="4" w:space="0"/>
              <w:left w:val="single" w:color="000000" w:sz="4" w:space="0"/>
              <w:bottom w:val="single" w:color="000000" w:sz="4" w:space="0"/>
              <w:right w:val="single" w:color="000000" w:sz="4" w:space="0"/>
            </w:tcBorders>
            <w:noWrap w:val="0"/>
            <w:vAlign w:val="center"/>
          </w:tcPr>
          <w:p w14:paraId="780DA74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使用范围</w:t>
            </w:r>
          </w:p>
        </w:tc>
        <w:tc>
          <w:tcPr>
            <w:tcW w:w="5733" w:type="dxa"/>
            <w:gridSpan w:val="5"/>
            <w:tcBorders>
              <w:top w:val="single" w:color="000000" w:sz="4" w:space="0"/>
              <w:left w:val="single" w:color="000000" w:sz="4" w:space="0"/>
              <w:bottom w:val="single" w:color="000000" w:sz="4" w:space="0"/>
              <w:right w:val="single" w:color="000000" w:sz="4" w:space="0"/>
            </w:tcBorders>
            <w:noWrap w:val="0"/>
            <w:vAlign w:val="center"/>
          </w:tcPr>
          <w:p w14:paraId="1C55926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资助孤儿、事实无人抚养儿童就学，提升儿童福利保障水平。</w:t>
            </w:r>
          </w:p>
        </w:tc>
      </w:tr>
      <w:tr w14:paraId="7A334765">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6EC85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3848" w:type="dxa"/>
            <w:gridSpan w:val="3"/>
            <w:tcBorders>
              <w:top w:val="single" w:color="000000" w:sz="4" w:space="0"/>
              <w:left w:val="single" w:color="000000" w:sz="4" w:space="0"/>
              <w:bottom w:val="single" w:color="000000" w:sz="4" w:space="0"/>
              <w:right w:val="single" w:color="000000" w:sz="4" w:space="0"/>
            </w:tcBorders>
            <w:noWrap w:val="0"/>
            <w:vAlign w:val="center"/>
          </w:tcPr>
          <w:p w14:paraId="3F5348F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申报（补助）条件</w:t>
            </w:r>
          </w:p>
        </w:tc>
        <w:tc>
          <w:tcPr>
            <w:tcW w:w="5733" w:type="dxa"/>
            <w:gridSpan w:val="5"/>
            <w:tcBorders>
              <w:top w:val="single" w:color="000000" w:sz="4" w:space="0"/>
              <w:left w:val="single" w:color="000000" w:sz="4" w:space="0"/>
              <w:bottom w:val="single" w:color="000000" w:sz="4" w:space="0"/>
              <w:right w:val="single" w:color="000000" w:sz="4" w:space="0"/>
            </w:tcBorders>
            <w:noWrap w:val="0"/>
            <w:vAlign w:val="center"/>
          </w:tcPr>
          <w:p w14:paraId="76D64EBF">
            <w:pPr>
              <w:keepNext w:val="0"/>
              <w:keepLines w:val="0"/>
              <w:pageBreakBefore w:val="0"/>
              <w:kinsoku/>
              <w:wordWrap/>
              <w:overflowPunct/>
              <w:topLinePunct w:val="0"/>
              <w:autoSpaceDE/>
              <w:autoSpaceDN/>
              <w:bidi w:val="0"/>
              <w:adjustRightInd/>
              <w:snapToGrid/>
              <w:spacing w:line="560" w:lineRule="exact"/>
              <w:jc w:val="left"/>
              <w:rPr>
                <w:rFonts w:hint="default" w:ascii="Times New Roman" w:hAnsi="Times New Roman" w:eastAsia="宋体" w:cs="Times New Roman"/>
                <w:color w:val="000000"/>
                <w:sz w:val="21"/>
                <w:szCs w:val="21"/>
              </w:rPr>
            </w:pPr>
          </w:p>
        </w:tc>
      </w:tr>
      <w:tr w14:paraId="53DDCD4E">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E71DEB">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cs="Times New Roman"/>
                <w:sz w:val="21"/>
                <w:szCs w:val="21"/>
              </w:rPr>
            </w:pPr>
          </w:p>
        </w:tc>
        <w:tc>
          <w:tcPr>
            <w:tcW w:w="3848" w:type="dxa"/>
            <w:gridSpan w:val="3"/>
            <w:tcBorders>
              <w:top w:val="single" w:color="000000" w:sz="4" w:space="0"/>
              <w:left w:val="single" w:color="000000" w:sz="4" w:space="0"/>
              <w:bottom w:val="single" w:color="000000" w:sz="4" w:space="0"/>
              <w:right w:val="single" w:color="000000" w:sz="4" w:space="0"/>
            </w:tcBorders>
            <w:noWrap w:val="0"/>
            <w:vAlign w:val="center"/>
          </w:tcPr>
          <w:p w14:paraId="1704F45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项目起止年限</w:t>
            </w:r>
          </w:p>
        </w:tc>
        <w:tc>
          <w:tcPr>
            <w:tcW w:w="5733" w:type="dxa"/>
            <w:gridSpan w:val="5"/>
            <w:tcBorders>
              <w:top w:val="single" w:color="000000" w:sz="4" w:space="0"/>
              <w:left w:val="single" w:color="000000" w:sz="4" w:space="0"/>
              <w:bottom w:val="single" w:color="000000" w:sz="4" w:space="0"/>
              <w:right w:val="single" w:color="000000" w:sz="4" w:space="0"/>
            </w:tcBorders>
            <w:noWrap w:val="0"/>
            <w:vAlign w:val="center"/>
          </w:tcPr>
          <w:p w14:paraId="1A05233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r>
      <w:tr w14:paraId="0BBB1456">
        <w:tblPrEx>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F9C0E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项目资金</w:t>
            </w:r>
          </w:p>
          <w:p w14:paraId="3F3A7C9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（万元）</w:t>
            </w:r>
          </w:p>
        </w:tc>
        <w:tc>
          <w:tcPr>
            <w:tcW w:w="2767" w:type="dxa"/>
            <w:gridSpan w:val="2"/>
            <w:tcBorders>
              <w:top w:val="single" w:color="000000" w:sz="4" w:space="0"/>
              <w:left w:val="single" w:color="000000" w:sz="4" w:space="0"/>
              <w:bottom w:val="single" w:color="000000" w:sz="4" w:space="0"/>
              <w:right w:val="single" w:color="000000" w:sz="4" w:space="0"/>
            </w:tcBorders>
            <w:noWrap w:val="0"/>
            <w:vAlign w:val="center"/>
          </w:tcPr>
          <w:p w14:paraId="7AFA2FA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年度资金总额：</w:t>
            </w:r>
          </w:p>
        </w:tc>
        <w:tc>
          <w:tcPr>
            <w:tcW w:w="5733" w:type="dxa"/>
            <w:gridSpan w:val="5"/>
            <w:tcBorders>
              <w:top w:val="single" w:color="000000" w:sz="4" w:space="0"/>
              <w:left w:val="single" w:color="000000" w:sz="4" w:space="0"/>
              <w:bottom w:val="single" w:color="000000" w:sz="4" w:space="0"/>
              <w:right w:val="single" w:color="000000" w:sz="4" w:space="0"/>
            </w:tcBorders>
            <w:noWrap w:val="0"/>
            <w:vAlign w:val="center"/>
          </w:tcPr>
          <w:p w14:paraId="7A37F9A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3万元</w:t>
            </w:r>
          </w:p>
        </w:tc>
      </w:tr>
      <w:tr w14:paraId="49E865D7">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65865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2767" w:type="dxa"/>
            <w:gridSpan w:val="2"/>
            <w:tcBorders>
              <w:top w:val="single" w:color="000000" w:sz="4" w:space="0"/>
              <w:left w:val="single" w:color="000000" w:sz="4" w:space="0"/>
              <w:bottom w:val="single" w:color="000000" w:sz="4" w:space="0"/>
              <w:right w:val="single" w:color="000000" w:sz="4" w:space="0"/>
            </w:tcBorders>
            <w:noWrap w:val="0"/>
            <w:vAlign w:val="center"/>
          </w:tcPr>
          <w:p w14:paraId="5A0337B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其中：财政拨款</w:t>
            </w:r>
          </w:p>
        </w:tc>
        <w:tc>
          <w:tcPr>
            <w:tcW w:w="5733" w:type="dxa"/>
            <w:gridSpan w:val="5"/>
            <w:tcBorders>
              <w:top w:val="single" w:color="000000" w:sz="4" w:space="0"/>
              <w:left w:val="single" w:color="000000" w:sz="4" w:space="0"/>
              <w:bottom w:val="single" w:color="000000" w:sz="4" w:space="0"/>
              <w:right w:val="single" w:color="000000" w:sz="4" w:space="0"/>
            </w:tcBorders>
            <w:noWrap w:val="0"/>
            <w:vAlign w:val="center"/>
          </w:tcPr>
          <w:p w14:paraId="4A733DA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3万元</w:t>
            </w:r>
          </w:p>
        </w:tc>
      </w:tr>
      <w:tr w14:paraId="331AE728">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57196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2767" w:type="dxa"/>
            <w:gridSpan w:val="2"/>
            <w:tcBorders>
              <w:top w:val="single" w:color="000000" w:sz="4" w:space="0"/>
              <w:left w:val="single" w:color="000000" w:sz="4" w:space="0"/>
              <w:bottom w:val="single" w:color="000000" w:sz="4" w:space="0"/>
              <w:right w:val="single" w:color="000000" w:sz="4" w:space="0"/>
            </w:tcBorders>
            <w:noWrap w:val="0"/>
            <w:vAlign w:val="center"/>
          </w:tcPr>
          <w:p w14:paraId="234BAEC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其他资金</w:t>
            </w:r>
          </w:p>
        </w:tc>
        <w:tc>
          <w:tcPr>
            <w:tcW w:w="5733" w:type="dxa"/>
            <w:gridSpan w:val="5"/>
            <w:tcBorders>
              <w:top w:val="single" w:color="000000" w:sz="4" w:space="0"/>
              <w:left w:val="single" w:color="000000" w:sz="4" w:space="0"/>
              <w:bottom w:val="single" w:color="000000" w:sz="4" w:space="0"/>
              <w:right w:val="single" w:color="000000" w:sz="4" w:space="0"/>
            </w:tcBorders>
            <w:noWrap w:val="0"/>
            <w:vAlign w:val="center"/>
          </w:tcPr>
          <w:p w14:paraId="7E3CCFD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r>
      <w:tr w14:paraId="06F5851A">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28BD975">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总体 目标</w:t>
            </w:r>
          </w:p>
        </w:tc>
        <w:tc>
          <w:tcPr>
            <w:tcW w:w="9581" w:type="dxa"/>
            <w:gridSpan w:val="8"/>
            <w:tcBorders>
              <w:top w:val="single" w:color="000000" w:sz="4" w:space="0"/>
              <w:left w:val="single" w:color="000000" w:sz="4" w:space="0"/>
              <w:bottom w:val="single" w:color="auto" w:sz="4" w:space="0"/>
              <w:right w:val="single" w:color="000000" w:sz="4" w:space="0"/>
            </w:tcBorders>
            <w:noWrap w:val="0"/>
            <w:vAlign w:val="center"/>
          </w:tcPr>
          <w:p w14:paraId="7BD31CC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年度目标</w:t>
            </w:r>
          </w:p>
        </w:tc>
      </w:tr>
      <w:tr w14:paraId="1D280EFC">
        <w:tblPrEx>
          <w:tblCellMar>
            <w:top w:w="15" w:type="dxa"/>
            <w:left w:w="15" w:type="dxa"/>
            <w:bottom w:w="15" w:type="dxa"/>
            <w:right w:w="15" w:type="dxa"/>
          </w:tblCellMar>
        </w:tblPrEx>
        <w:trPr>
          <w:trHeight w:val="620" w:hRule="atLeast"/>
          <w:jc w:val="center"/>
        </w:trPr>
        <w:tc>
          <w:tcPr>
            <w:tcW w:w="652" w:type="dxa"/>
            <w:vMerge w:val="continue"/>
            <w:tcBorders>
              <w:top w:val="single" w:color="000000" w:sz="4" w:space="0"/>
              <w:left w:val="single" w:color="000000" w:sz="4" w:space="0"/>
              <w:bottom w:val="single" w:color="000000" w:sz="4" w:space="0"/>
              <w:right w:val="single" w:color="auto" w:sz="4" w:space="0"/>
            </w:tcBorders>
            <w:noWrap w:val="0"/>
            <w:vAlign w:val="center"/>
          </w:tcPr>
          <w:p w14:paraId="5C362958">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cs="Times New Roman"/>
                <w:sz w:val="21"/>
                <w:szCs w:val="21"/>
              </w:rPr>
            </w:pPr>
          </w:p>
        </w:tc>
        <w:tc>
          <w:tcPr>
            <w:tcW w:w="9581" w:type="dxa"/>
            <w:gridSpan w:val="8"/>
            <w:tcBorders>
              <w:top w:val="single" w:color="auto" w:sz="4" w:space="0"/>
              <w:left w:val="single" w:color="auto" w:sz="4" w:space="0"/>
              <w:bottom w:val="single" w:color="auto" w:sz="4" w:space="0"/>
              <w:right w:val="single" w:color="auto" w:sz="4" w:space="0"/>
            </w:tcBorders>
            <w:noWrap w:val="0"/>
            <w:vAlign w:val="center"/>
          </w:tcPr>
          <w:p w14:paraId="09B76A5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资助孤儿、事实无人抚养儿童就学，提升儿童福利保障水平。</w:t>
            </w:r>
          </w:p>
        </w:tc>
      </w:tr>
      <w:tr w14:paraId="7BC053D8">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auto" w:sz="4" w:space="0"/>
            </w:tcBorders>
            <w:noWrap w:val="0"/>
            <w:vAlign w:val="center"/>
          </w:tcPr>
          <w:p w14:paraId="7C49EF1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color w:val="000000"/>
                <w:sz w:val="21"/>
                <w:szCs w:val="21"/>
              </w:rPr>
            </w:pPr>
            <w:r>
              <w:rPr>
                <w:rFonts w:hint="default" w:ascii="Times New Roman" w:hAnsi="Times New Roman" w:eastAsia="方正仿宋_GBK" w:cs="Times New Roman"/>
                <w:color w:val="000000"/>
                <w:kern w:val="0"/>
                <w:sz w:val="21"/>
                <w:szCs w:val="21"/>
                <w:lang w:val="en-US" w:eastAsia="zh-CN" w:bidi="ar"/>
              </w:rPr>
              <w:t>绩效 指标</w:t>
            </w:r>
          </w:p>
        </w:tc>
        <w:tc>
          <w:tcPr>
            <w:tcW w:w="1081" w:type="dxa"/>
            <w:tcBorders>
              <w:top w:val="single" w:color="auto" w:sz="4" w:space="0"/>
              <w:left w:val="single" w:color="auto" w:sz="4" w:space="0"/>
              <w:bottom w:val="single" w:color="auto" w:sz="4" w:space="0"/>
              <w:right w:val="single" w:color="auto" w:sz="4" w:space="0"/>
            </w:tcBorders>
            <w:noWrap w:val="0"/>
            <w:vAlign w:val="center"/>
          </w:tcPr>
          <w:p w14:paraId="01DFB45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一级指标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2055D1B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二级指标</w:t>
            </w:r>
          </w:p>
        </w:tc>
        <w:tc>
          <w:tcPr>
            <w:tcW w:w="1517" w:type="dxa"/>
            <w:tcBorders>
              <w:top w:val="single" w:color="auto" w:sz="4" w:space="0"/>
              <w:left w:val="single" w:color="auto" w:sz="4" w:space="0"/>
              <w:bottom w:val="single" w:color="auto" w:sz="4" w:space="0"/>
              <w:right w:val="single" w:color="auto" w:sz="4" w:space="0"/>
            </w:tcBorders>
            <w:noWrap w:val="0"/>
            <w:vAlign w:val="center"/>
          </w:tcPr>
          <w:p w14:paraId="37A52C7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三级指标</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13F45A5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指标性质</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0AAE134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指标值</w:t>
            </w:r>
          </w:p>
        </w:tc>
        <w:tc>
          <w:tcPr>
            <w:tcW w:w="1060" w:type="dxa"/>
            <w:tcBorders>
              <w:top w:val="single" w:color="auto" w:sz="4" w:space="0"/>
              <w:left w:val="single" w:color="auto" w:sz="4" w:space="0"/>
              <w:bottom w:val="single" w:color="auto" w:sz="4" w:space="0"/>
              <w:right w:val="single" w:color="auto" w:sz="4" w:space="0"/>
            </w:tcBorders>
            <w:noWrap w:val="0"/>
            <w:vAlign w:val="center"/>
          </w:tcPr>
          <w:p w14:paraId="0984441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度量单位</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29BE819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权重</w:t>
            </w:r>
          </w:p>
        </w:tc>
        <w:tc>
          <w:tcPr>
            <w:tcW w:w="1543" w:type="dxa"/>
            <w:tcBorders>
              <w:top w:val="single" w:color="auto" w:sz="4" w:space="0"/>
              <w:left w:val="single" w:color="auto" w:sz="4" w:space="0"/>
              <w:bottom w:val="single" w:color="auto" w:sz="4" w:space="0"/>
              <w:right w:val="single" w:color="auto" w:sz="4" w:space="0"/>
            </w:tcBorders>
            <w:noWrap w:val="0"/>
            <w:vAlign w:val="center"/>
          </w:tcPr>
          <w:p w14:paraId="1D18032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实际完成指标值</w:t>
            </w:r>
          </w:p>
        </w:tc>
      </w:tr>
      <w:tr w14:paraId="2464A257">
        <w:tblPrEx>
          <w:tblCellMar>
            <w:top w:w="15" w:type="dxa"/>
            <w:left w:w="15" w:type="dxa"/>
            <w:bottom w:w="15" w:type="dxa"/>
            <w:right w:w="15" w:type="dxa"/>
          </w:tblCellMar>
        </w:tblPrEx>
        <w:trPr>
          <w:trHeight w:val="1380" w:hRule="atLeast"/>
          <w:jc w:val="center"/>
        </w:trPr>
        <w:tc>
          <w:tcPr>
            <w:tcW w:w="652" w:type="dxa"/>
            <w:vMerge w:val="continue"/>
            <w:tcBorders>
              <w:top w:val="single" w:color="000000" w:sz="4" w:space="0"/>
              <w:left w:val="single" w:color="000000" w:sz="4" w:space="0"/>
              <w:bottom w:val="single" w:color="000000" w:sz="4" w:space="0"/>
              <w:right w:val="single" w:color="auto" w:sz="4" w:space="0"/>
            </w:tcBorders>
            <w:noWrap w:val="0"/>
            <w:vAlign w:val="center"/>
          </w:tcPr>
          <w:p w14:paraId="57706043">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cs="Times New Roman"/>
                <w:sz w:val="21"/>
                <w:szCs w:val="21"/>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3EB77A7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产出指标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674EAAC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数量指标</w:t>
            </w:r>
          </w:p>
        </w:tc>
        <w:tc>
          <w:tcPr>
            <w:tcW w:w="1517" w:type="dxa"/>
            <w:tcBorders>
              <w:top w:val="single" w:color="auto" w:sz="4" w:space="0"/>
              <w:left w:val="single" w:color="auto" w:sz="4" w:space="0"/>
              <w:bottom w:val="single" w:color="auto" w:sz="4" w:space="0"/>
              <w:right w:val="single" w:color="auto" w:sz="4" w:space="0"/>
            </w:tcBorders>
            <w:noWrap w:val="0"/>
            <w:vAlign w:val="center"/>
          </w:tcPr>
          <w:p w14:paraId="3140AF7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事实无人抚养儿童年满18周岁后助学资助人数</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0F04B16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定量</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1614D15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≥24</w:t>
            </w:r>
          </w:p>
        </w:tc>
        <w:tc>
          <w:tcPr>
            <w:tcW w:w="1060" w:type="dxa"/>
            <w:tcBorders>
              <w:top w:val="single" w:color="auto" w:sz="4" w:space="0"/>
              <w:left w:val="single" w:color="auto" w:sz="4" w:space="0"/>
              <w:bottom w:val="single" w:color="auto" w:sz="4" w:space="0"/>
              <w:right w:val="single" w:color="auto" w:sz="4" w:space="0"/>
            </w:tcBorders>
            <w:noWrap w:val="0"/>
            <w:vAlign w:val="center"/>
          </w:tcPr>
          <w:p w14:paraId="183D455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人</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2089E20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20%</w:t>
            </w:r>
          </w:p>
        </w:tc>
        <w:tc>
          <w:tcPr>
            <w:tcW w:w="1543" w:type="dxa"/>
            <w:tcBorders>
              <w:top w:val="single" w:color="auto" w:sz="4" w:space="0"/>
              <w:left w:val="single" w:color="auto" w:sz="4" w:space="0"/>
              <w:bottom w:val="single" w:color="auto" w:sz="4" w:space="0"/>
              <w:right w:val="single" w:color="auto" w:sz="4" w:space="0"/>
            </w:tcBorders>
            <w:noWrap w:val="0"/>
            <w:vAlign w:val="center"/>
          </w:tcPr>
          <w:p w14:paraId="58D322A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23人</w:t>
            </w:r>
          </w:p>
        </w:tc>
      </w:tr>
      <w:tr w14:paraId="79B58E92">
        <w:tblPrEx>
          <w:tblCellMar>
            <w:top w:w="15" w:type="dxa"/>
            <w:left w:w="15" w:type="dxa"/>
            <w:bottom w:w="15" w:type="dxa"/>
            <w:right w:w="15" w:type="dxa"/>
          </w:tblCellMar>
        </w:tblPrEx>
        <w:trPr>
          <w:trHeight w:val="920" w:hRule="atLeast"/>
          <w:jc w:val="center"/>
        </w:trPr>
        <w:tc>
          <w:tcPr>
            <w:tcW w:w="652" w:type="dxa"/>
            <w:vMerge w:val="continue"/>
            <w:tcBorders>
              <w:top w:val="single" w:color="000000" w:sz="4" w:space="0"/>
              <w:left w:val="single" w:color="000000" w:sz="4" w:space="0"/>
              <w:bottom w:val="single" w:color="000000" w:sz="4" w:space="0"/>
              <w:right w:val="single" w:color="auto" w:sz="4" w:space="0"/>
            </w:tcBorders>
            <w:noWrap w:val="0"/>
            <w:vAlign w:val="center"/>
          </w:tcPr>
          <w:p w14:paraId="2C9F2920">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cs="Times New Roman"/>
                <w:sz w:val="21"/>
                <w:szCs w:val="21"/>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0FD3DF4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效益指标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6C313A0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社会效益</w:t>
            </w:r>
          </w:p>
          <w:p w14:paraId="7B84E86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指标</w:t>
            </w:r>
          </w:p>
        </w:tc>
        <w:tc>
          <w:tcPr>
            <w:tcW w:w="1517" w:type="dxa"/>
            <w:tcBorders>
              <w:top w:val="single" w:color="auto" w:sz="4" w:space="0"/>
              <w:left w:val="single" w:color="auto" w:sz="4" w:space="0"/>
              <w:bottom w:val="single" w:color="auto" w:sz="4" w:space="0"/>
              <w:right w:val="single" w:color="auto" w:sz="4" w:space="0"/>
            </w:tcBorders>
            <w:noWrap w:val="0"/>
            <w:vAlign w:val="center"/>
          </w:tcPr>
          <w:p w14:paraId="0F129EC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支持儿童福利事业发展成效</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1B762DD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定性</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2F293A1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成效显著</w:t>
            </w:r>
          </w:p>
        </w:tc>
        <w:tc>
          <w:tcPr>
            <w:tcW w:w="1060" w:type="dxa"/>
            <w:tcBorders>
              <w:top w:val="single" w:color="auto" w:sz="4" w:space="0"/>
              <w:left w:val="single" w:color="auto" w:sz="4" w:space="0"/>
              <w:bottom w:val="single" w:color="auto" w:sz="4" w:space="0"/>
              <w:right w:val="single" w:color="auto" w:sz="4" w:space="0"/>
            </w:tcBorders>
            <w:noWrap w:val="0"/>
            <w:vAlign w:val="center"/>
          </w:tcPr>
          <w:p w14:paraId="1BD1743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6775908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40%</w:t>
            </w:r>
          </w:p>
        </w:tc>
        <w:tc>
          <w:tcPr>
            <w:tcW w:w="1543" w:type="dxa"/>
            <w:tcBorders>
              <w:top w:val="single" w:color="auto" w:sz="4" w:space="0"/>
              <w:left w:val="single" w:color="auto" w:sz="4" w:space="0"/>
              <w:bottom w:val="single" w:color="auto" w:sz="4" w:space="0"/>
              <w:right w:val="single" w:color="auto" w:sz="4" w:space="0"/>
            </w:tcBorders>
            <w:noWrap w:val="0"/>
            <w:vAlign w:val="center"/>
          </w:tcPr>
          <w:p w14:paraId="3ADBE69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成效显著</w:t>
            </w:r>
          </w:p>
        </w:tc>
      </w:tr>
      <w:tr w14:paraId="08DE2222">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auto" w:sz="4" w:space="0"/>
            </w:tcBorders>
            <w:noWrap w:val="0"/>
            <w:vAlign w:val="center"/>
          </w:tcPr>
          <w:p w14:paraId="3756C2E7">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cs="Times New Roman"/>
                <w:sz w:val="21"/>
                <w:szCs w:val="21"/>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4333083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满意度</w:t>
            </w:r>
          </w:p>
          <w:p w14:paraId="1209578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1FA0CB3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服务对象</w:t>
            </w:r>
          </w:p>
          <w:p w14:paraId="7B3AF86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满意度指标</w:t>
            </w:r>
          </w:p>
        </w:tc>
        <w:tc>
          <w:tcPr>
            <w:tcW w:w="1517" w:type="dxa"/>
            <w:tcBorders>
              <w:top w:val="single" w:color="auto" w:sz="4" w:space="0"/>
              <w:left w:val="single" w:color="auto" w:sz="4" w:space="0"/>
              <w:bottom w:val="single" w:color="auto" w:sz="4" w:space="0"/>
              <w:right w:val="single" w:color="auto" w:sz="4" w:space="0"/>
            </w:tcBorders>
            <w:noWrap w:val="0"/>
            <w:vAlign w:val="center"/>
          </w:tcPr>
          <w:p w14:paraId="6E7B8A1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接受资助和服务儿童满意度</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BD6BDA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定量</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44C503E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≥90</w:t>
            </w:r>
          </w:p>
        </w:tc>
        <w:tc>
          <w:tcPr>
            <w:tcW w:w="1060" w:type="dxa"/>
            <w:tcBorders>
              <w:top w:val="single" w:color="auto" w:sz="4" w:space="0"/>
              <w:left w:val="single" w:color="auto" w:sz="4" w:space="0"/>
              <w:bottom w:val="single" w:color="auto" w:sz="4" w:space="0"/>
              <w:right w:val="single" w:color="auto" w:sz="4" w:space="0"/>
            </w:tcBorders>
            <w:noWrap w:val="0"/>
            <w:vAlign w:val="center"/>
          </w:tcPr>
          <w:p w14:paraId="4ADD9A3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5FA3FA2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40%</w:t>
            </w:r>
          </w:p>
        </w:tc>
        <w:tc>
          <w:tcPr>
            <w:tcW w:w="1543" w:type="dxa"/>
            <w:tcBorders>
              <w:top w:val="single" w:color="auto" w:sz="4" w:space="0"/>
              <w:left w:val="single" w:color="auto" w:sz="4" w:space="0"/>
              <w:bottom w:val="single" w:color="auto" w:sz="4" w:space="0"/>
              <w:right w:val="single" w:color="auto" w:sz="4" w:space="0"/>
            </w:tcBorders>
            <w:noWrap w:val="0"/>
            <w:vAlign w:val="center"/>
          </w:tcPr>
          <w:p w14:paraId="38FCD28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en-US" w:bidi="ar"/>
              </w:rPr>
            </w:pPr>
            <w:r>
              <w:rPr>
                <w:rFonts w:hint="default" w:ascii="Times New Roman" w:hAnsi="Times New Roman" w:eastAsia="方正仿宋_GBK" w:cs="Times New Roman"/>
                <w:color w:val="000000"/>
                <w:kern w:val="0"/>
                <w:sz w:val="21"/>
                <w:szCs w:val="21"/>
                <w:lang w:val="en-US" w:eastAsia="zh-CN" w:bidi="ar"/>
              </w:rPr>
              <w:t>90%</w:t>
            </w:r>
          </w:p>
        </w:tc>
      </w:tr>
    </w:tbl>
    <w:p w14:paraId="7EEF2A82">
      <w:pPr>
        <w:keepNext w:val="0"/>
        <w:keepLines w:val="0"/>
        <w:pageBreakBefore w:val="0"/>
        <w:kinsoku/>
        <w:wordWrap/>
        <w:overflowPunct/>
        <w:topLinePunct w:val="0"/>
        <w:autoSpaceDE/>
        <w:bidi w:val="0"/>
        <w:snapToGrid w:val="0"/>
        <w:spacing w:line="560" w:lineRule="exact"/>
        <w:rPr>
          <w:rFonts w:hint="default" w:ascii="Times New Roman" w:hAnsi="Times New Roman" w:eastAsia="黑体" w:cs="Times New Roman"/>
          <w:kern w:val="0"/>
          <w:shd w:val="clear" w:color="auto" w:fill="FFFFFF"/>
          <w:lang w:val="zh-CN" w:eastAsia="zh-CN"/>
        </w:rPr>
      </w:pPr>
    </w:p>
    <w:p w14:paraId="625D39DF">
      <w:pPr>
        <w:rPr>
          <w:rFonts w:hint="default" w:ascii="Times New Roman" w:hAnsi="Times New Roman" w:eastAsia="黑体" w:cs="Times New Roman"/>
          <w:kern w:val="0"/>
          <w:shd w:val="clear" w:color="auto" w:fill="FFFFFF"/>
          <w:lang w:val="zh-CN" w:eastAsia="zh-CN"/>
        </w:rPr>
      </w:pPr>
      <w:r>
        <w:rPr>
          <w:rFonts w:hint="default" w:ascii="Times New Roman" w:hAnsi="Times New Roman" w:eastAsia="黑体" w:cs="Times New Roman"/>
          <w:kern w:val="0"/>
          <w:shd w:val="clear" w:color="auto" w:fill="FFFFFF"/>
          <w:lang w:val="zh-CN" w:eastAsia="zh-CN"/>
        </w:rPr>
        <w:br w:type="page"/>
      </w:r>
    </w:p>
    <w:p w14:paraId="5B6AA8E2">
      <w:pPr>
        <w:keepNext w:val="0"/>
        <w:keepLines w:val="0"/>
        <w:pageBreakBefore w:val="0"/>
        <w:kinsoku/>
        <w:wordWrap/>
        <w:overflowPunct/>
        <w:topLinePunct w:val="0"/>
        <w:autoSpaceDE/>
        <w:bidi w:val="0"/>
        <w:snapToGrid w:val="0"/>
        <w:spacing w:line="560" w:lineRule="exact"/>
        <w:rPr>
          <w:rFonts w:hint="default" w:ascii="Times New Roman" w:hAnsi="Times New Roman" w:eastAsia="黑体" w:cs="Times New Roman"/>
          <w:kern w:val="0"/>
          <w:shd w:val="clear" w:color="auto" w:fill="FFFFFF"/>
          <w:lang w:val="en-US" w:eastAsia="zh-CN"/>
        </w:rPr>
      </w:pPr>
      <w:r>
        <w:rPr>
          <w:rFonts w:hint="default" w:ascii="Times New Roman" w:hAnsi="Times New Roman" w:eastAsia="黑体" w:cs="Times New Roman"/>
          <w:kern w:val="0"/>
          <w:shd w:val="clear" w:color="auto" w:fill="FFFFFF"/>
          <w:lang w:val="zh-CN" w:eastAsia="zh-CN"/>
        </w:rPr>
        <w:t>附表</w:t>
      </w:r>
      <w:r>
        <w:rPr>
          <w:rFonts w:hint="default" w:ascii="Times New Roman" w:hAnsi="Times New Roman" w:eastAsia="黑体" w:cs="Times New Roman"/>
          <w:kern w:val="0"/>
          <w:shd w:val="clear" w:color="auto" w:fill="FFFFFF"/>
        </w:rPr>
        <w:t>3</w:t>
      </w:r>
      <w:r>
        <w:rPr>
          <w:rFonts w:hint="default" w:ascii="Times New Roman" w:hAnsi="Times New Roman" w:eastAsia="黑体" w:cs="Times New Roman"/>
          <w:kern w:val="0"/>
          <w:shd w:val="clear" w:color="auto" w:fill="FFFFFF"/>
          <w:lang w:val="en-US" w:eastAsia="zh-CN"/>
        </w:rPr>
        <w:t>-6</w:t>
      </w:r>
    </w:p>
    <w:tbl>
      <w:tblPr>
        <w:tblStyle w:val="17"/>
        <w:tblW w:w="11209" w:type="dxa"/>
        <w:jc w:val="center"/>
        <w:tblLayout w:type="fixed"/>
        <w:tblCellMar>
          <w:top w:w="15" w:type="dxa"/>
          <w:left w:w="15" w:type="dxa"/>
          <w:bottom w:w="15" w:type="dxa"/>
          <w:right w:w="15" w:type="dxa"/>
        </w:tblCellMar>
      </w:tblPr>
      <w:tblGrid>
        <w:gridCol w:w="652"/>
        <w:gridCol w:w="1081"/>
        <w:gridCol w:w="1250"/>
        <w:gridCol w:w="1312"/>
        <w:gridCol w:w="1089"/>
        <w:gridCol w:w="1075"/>
        <w:gridCol w:w="994"/>
        <w:gridCol w:w="938"/>
        <w:gridCol w:w="2820"/>
      </w:tblGrid>
      <w:tr w14:paraId="1C864FDD">
        <w:tblPrEx>
          <w:tblCellMar>
            <w:top w:w="15" w:type="dxa"/>
            <w:left w:w="15" w:type="dxa"/>
            <w:bottom w:w="15" w:type="dxa"/>
            <w:right w:w="15" w:type="dxa"/>
          </w:tblCellMar>
        </w:tblPrEx>
        <w:trPr>
          <w:trHeight w:val="576" w:hRule="atLeast"/>
          <w:jc w:val="center"/>
        </w:trPr>
        <w:tc>
          <w:tcPr>
            <w:tcW w:w="11211" w:type="dxa"/>
            <w:gridSpan w:val="9"/>
            <w:tcBorders>
              <w:top w:val="nil"/>
              <w:left w:val="nil"/>
              <w:bottom w:val="nil"/>
              <w:right w:val="nil"/>
            </w:tcBorders>
            <w:noWrap w:val="0"/>
            <w:vAlign w:val="center"/>
          </w:tcPr>
          <w:p w14:paraId="370CB3DF">
            <w:pPr>
              <w:keepNext w:val="0"/>
              <w:keepLines w:val="0"/>
              <w:pageBreakBefore w:val="0"/>
              <w:widowControl/>
              <w:kinsoku/>
              <w:wordWrap/>
              <w:overflowPunct/>
              <w:topLinePunct w:val="0"/>
              <w:autoSpaceDE/>
              <w:bidi w:val="0"/>
              <w:spacing w:line="560" w:lineRule="exact"/>
              <w:jc w:val="center"/>
              <w:textAlignment w:val="center"/>
              <w:rPr>
                <w:rFonts w:hint="default" w:ascii="Times New Roman" w:hAnsi="Times New Roman" w:eastAsia="黑体" w:cs="Times New Roman"/>
                <w:color w:val="000000"/>
                <w:sz w:val="30"/>
                <w:szCs w:val="30"/>
              </w:rPr>
            </w:pPr>
            <w:r>
              <w:rPr>
                <w:rFonts w:hint="default" w:ascii="Times New Roman" w:hAnsi="Times New Roman" w:eastAsia="方正小标宋简体" w:cs="Times New Roman"/>
                <w:color w:val="000000"/>
                <w:kern w:val="0"/>
                <w:sz w:val="40"/>
                <w:szCs w:val="40"/>
                <w:lang w:bidi="ar"/>
              </w:rPr>
              <w:t>专项预算项目绩效目标完成情况自评表</w:t>
            </w:r>
          </w:p>
        </w:tc>
      </w:tr>
      <w:tr w14:paraId="0D21A0DD">
        <w:tblPrEx>
          <w:tblCellMar>
            <w:top w:w="15" w:type="dxa"/>
            <w:left w:w="15" w:type="dxa"/>
            <w:bottom w:w="15" w:type="dxa"/>
            <w:right w:w="15" w:type="dxa"/>
          </w:tblCellMar>
        </w:tblPrEx>
        <w:trPr>
          <w:trHeight w:val="292"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464DA03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项目名称</w:t>
            </w:r>
          </w:p>
        </w:tc>
        <w:tc>
          <w:tcPr>
            <w:tcW w:w="6916" w:type="dxa"/>
            <w:gridSpan w:val="5"/>
            <w:tcBorders>
              <w:top w:val="single" w:color="000000" w:sz="4" w:space="0"/>
              <w:left w:val="single" w:color="000000" w:sz="4" w:space="0"/>
              <w:bottom w:val="single" w:color="000000" w:sz="4" w:space="0"/>
              <w:right w:val="single" w:color="000000" w:sz="4" w:space="0"/>
            </w:tcBorders>
            <w:noWrap w:val="0"/>
            <w:vAlign w:val="center"/>
          </w:tcPr>
          <w:p w14:paraId="2B68F76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为你而来·相伴成长儿童关爱保护项目</w:t>
            </w:r>
          </w:p>
        </w:tc>
      </w:tr>
      <w:tr w14:paraId="15F70DB5">
        <w:tblPrEx>
          <w:tblCellMar>
            <w:top w:w="15" w:type="dxa"/>
            <w:left w:w="15" w:type="dxa"/>
            <w:bottom w:w="15" w:type="dxa"/>
            <w:right w:w="15" w:type="dxa"/>
          </w:tblCellMar>
        </w:tblPrEx>
        <w:trPr>
          <w:trHeight w:val="280"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55FF776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预算单位</w:t>
            </w:r>
          </w:p>
        </w:tc>
        <w:tc>
          <w:tcPr>
            <w:tcW w:w="6916" w:type="dxa"/>
            <w:gridSpan w:val="5"/>
            <w:tcBorders>
              <w:top w:val="single" w:color="000000" w:sz="4" w:space="0"/>
              <w:left w:val="single" w:color="000000" w:sz="4" w:space="0"/>
              <w:bottom w:val="single" w:color="000000" w:sz="4" w:space="0"/>
              <w:right w:val="single" w:color="000000" w:sz="4" w:space="0"/>
            </w:tcBorders>
            <w:noWrap w:val="0"/>
            <w:vAlign w:val="center"/>
          </w:tcPr>
          <w:p w14:paraId="63014EC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攀枝花市民政局</w:t>
            </w:r>
          </w:p>
        </w:tc>
      </w:tr>
      <w:tr w14:paraId="2D9C0F9D">
        <w:tblPrEx>
          <w:tblCellMar>
            <w:top w:w="15" w:type="dxa"/>
            <w:left w:w="15" w:type="dxa"/>
            <w:bottom w:w="15" w:type="dxa"/>
            <w:right w:w="15" w:type="dxa"/>
          </w:tblCellMar>
        </w:tblPrEx>
        <w:trPr>
          <w:trHeight w:val="330"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3C18E5F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项目类型</w:t>
            </w:r>
          </w:p>
        </w:tc>
        <w:tc>
          <w:tcPr>
            <w:tcW w:w="6916" w:type="dxa"/>
            <w:gridSpan w:val="5"/>
            <w:tcBorders>
              <w:top w:val="single" w:color="000000" w:sz="4" w:space="0"/>
              <w:left w:val="single" w:color="000000" w:sz="4" w:space="0"/>
              <w:bottom w:val="single" w:color="000000" w:sz="4" w:space="0"/>
              <w:right w:val="single" w:color="000000" w:sz="4" w:space="0"/>
            </w:tcBorders>
            <w:noWrap w:val="0"/>
            <w:vAlign w:val="center"/>
          </w:tcPr>
          <w:p w14:paraId="04A79F4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民政事业补助资金</w:t>
            </w:r>
          </w:p>
        </w:tc>
      </w:tr>
      <w:tr w14:paraId="05F4CB9F">
        <w:tblPrEx>
          <w:tblCellMar>
            <w:top w:w="15" w:type="dxa"/>
            <w:left w:w="15" w:type="dxa"/>
            <w:bottom w:w="15" w:type="dxa"/>
            <w:right w:w="15" w:type="dxa"/>
          </w:tblCellMar>
        </w:tblPrEx>
        <w:trPr>
          <w:trHeight w:val="510"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5BBBAC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FD99F0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中长期规划（名称、文号，仅指</w:t>
            </w:r>
          </w:p>
          <w:p w14:paraId="5ED2624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常年项目）</w:t>
            </w:r>
          </w:p>
        </w:tc>
        <w:tc>
          <w:tcPr>
            <w:tcW w:w="6916" w:type="dxa"/>
            <w:gridSpan w:val="5"/>
            <w:tcBorders>
              <w:top w:val="single" w:color="000000" w:sz="4" w:space="0"/>
              <w:left w:val="single" w:color="000000" w:sz="4" w:space="0"/>
              <w:bottom w:val="single" w:color="000000" w:sz="4" w:space="0"/>
              <w:right w:val="single" w:color="000000" w:sz="4" w:space="0"/>
            </w:tcBorders>
            <w:noWrap w:val="0"/>
            <w:vAlign w:val="center"/>
          </w:tcPr>
          <w:p w14:paraId="6A1CEF3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四川省民政厅关于开展“为你而来·相伴成长”品牌主题活动的通知(川民发〔2024〕65号)</w:t>
            </w:r>
          </w:p>
        </w:tc>
      </w:tr>
      <w:tr w14:paraId="379A11EB">
        <w:tblPrEx>
          <w:tblCellMar>
            <w:top w:w="15" w:type="dxa"/>
            <w:left w:w="15" w:type="dxa"/>
            <w:bottom w:w="15" w:type="dxa"/>
            <w:right w:w="15" w:type="dxa"/>
          </w:tblCellMar>
        </w:tblPrEx>
        <w:trPr>
          <w:trHeight w:val="70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CD2EE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345BC0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资金管理办法（名称、文号）</w:t>
            </w:r>
          </w:p>
        </w:tc>
        <w:tc>
          <w:tcPr>
            <w:tcW w:w="6916" w:type="dxa"/>
            <w:gridSpan w:val="5"/>
            <w:tcBorders>
              <w:top w:val="single" w:color="000000" w:sz="4" w:space="0"/>
              <w:left w:val="single" w:color="000000" w:sz="4" w:space="0"/>
              <w:bottom w:val="single" w:color="000000" w:sz="4" w:space="0"/>
              <w:right w:val="single" w:color="000000" w:sz="4" w:space="0"/>
            </w:tcBorders>
            <w:noWrap w:val="0"/>
            <w:vAlign w:val="center"/>
          </w:tcPr>
          <w:p w14:paraId="282E162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四川省民政厅关于印发《四川省“为你而来·相伴成长”儿童关爱保护项目管理办法》的通知(川民发〔2024〕87号)</w:t>
            </w:r>
          </w:p>
        </w:tc>
      </w:tr>
      <w:tr w14:paraId="3B8E385F">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349D0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26767F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绩效分配方式</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0EE53F8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sym w:font="Wingdings 2" w:char="0052"/>
            </w:r>
            <w:r>
              <w:rPr>
                <w:rFonts w:hint="default" w:ascii="Times New Roman" w:hAnsi="Times New Roman" w:eastAsia="方正仿宋_GBK" w:cs="Times New Roman"/>
                <w:color w:val="000000"/>
                <w:kern w:val="0"/>
                <w:sz w:val="21"/>
                <w:szCs w:val="21"/>
                <w:lang w:val="en-US" w:eastAsia="zh-CN" w:bidi="ar"/>
              </w:rPr>
              <w:t>因素法</w:t>
            </w:r>
          </w:p>
        </w:tc>
        <w:tc>
          <w:tcPr>
            <w:tcW w:w="2069" w:type="dxa"/>
            <w:gridSpan w:val="2"/>
            <w:tcBorders>
              <w:top w:val="single" w:color="000000" w:sz="4" w:space="0"/>
              <w:left w:val="single" w:color="000000" w:sz="4" w:space="0"/>
              <w:bottom w:val="single" w:color="000000" w:sz="4" w:space="0"/>
              <w:right w:val="single" w:color="000000" w:sz="4" w:space="0"/>
            </w:tcBorders>
            <w:noWrap w:val="0"/>
            <w:vAlign w:val="center"/>
          </w:tcPr>
          <w:p w14:paraId="22ED761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8A5BA0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£据实据效</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7B89665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£因素法与项目法相结合</w:t>
            </w:r>
          </w:p>
        </w:tc>
      </w:tr>
      <w:tr w14:paraId="20DD4C56">
        <w:tblPrEx>
          <w:tblCellMar>
            <w:top w:w="15" w:type="dxa"/>
            <w:left w:w="15" w:type="dxa"/>
            <w:bottom w:w="15" w:type="dxa"/>
            <w:right w:w="15" w:type="dxa"/>
          </w:tblCellMar>
        </w:tblPrEx>
        <w:trPr>
          <w:trHeight w:val="171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1FC3E0">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cs="Times New Roman"/>
                <w:sz w:val="21"/>
                <w:szCs w:val="21"/>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40A97B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立项依据</w:t>
            </w:r>
          </w:p>
        </w:tc>
        <w:tc>
          <w:tcPr>
            <w:tcW w:w="6916" w:type="dxa"/>
            <w:gridSpan w:val="5"/>
            <w:tcBorders>
              <w:top w:val="single" w:color="000000" w:sz="4" w:space="0"/>
              <w:left w:val="single" w:color="000000" w:sz="4" w:space="0"/>
              <w:bottom w:val="single" w:color="000000" w:sz="4" w:space="0"/>
              <w:right w:val="single" w:color="000000" w:sz="4" w:space="0"/>
            </w:tcBorders>
            <w:noWrap w:val="0"/>
            <w:vAlign w:val="center"/>
          </w:tcPr>
          <w:p w14:paraId="77BE226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四川省民政厅关于开展“为你而来·相伴成长”品牌主题活动的通知(川民发〔2024〕65号)。</w:t>
            </w:r>
          </w:p>
          <w:p w14:paraId="153145A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四川省民政厅关于实施“为你而来 相伴成长”儿童关爱保护项目的通知(川民发〔2024〕86号)。</w:t>
            </w:r>
          </w:p>
        </w:tc>
      </w:tr>
      <w:tr w14:paraId="7CEC8BDD">
        <w:tblPrEx>
          <w:tblCellMar>
            <w:top w:w="15" w:type="dxa"/>
            <w:left w:w="15" w:type="dxa"/>
            <w:bottom w:w="15" w:type="dxa"/>
            <w:right w:w="15" w:type="dxa"/>
          </w:tblCellMar>
        </w:tblPrEx>
        <w:trPr>
          <w:trHeight w:val="45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E43069">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cs="Times New Roman"/>
                <w:sz w:val="21"/>
                <w:szCs w:val="21"/>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ECAB60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使用范围</w:t>
            </w:r>
          </w:p>
        </w:tc>
        <w:tc>
          <w:tcPr>
            <w:tcW w:w="6916" w:type="dxa"/>
            <w:gridSpan w:val="5"/>
            <w:tcBorders>
              <w:top w:val="single" w:color="000000" w:sz="4" w:space="0"/>
              <w:left w:val="single" w:color="000000" w:sz="4" w:space="0"/>
              <w:bottom w:val="single" w:color="000000" w:sz="4" w:space="0"/>
              <w:right w:val="single" w:color="000000" w:sz="4" w:space="0"/>
            </w:tcBorders>
            <w:noWrap w:val="0"/>
            <w:vAlign w:val="center"/>
          </w:tcPr>
          <w:p w14:paraId="3533E4D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保护特殊困难儿童身心健康、保障特殊困难儿童合法权益为目的。</w:t>
            </w:r>
          </w:p>
        </w:tc>
      </w:tr>
      <w:tr w14:paraId="52A9CB80">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D78723">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cs="Times New Roman"/>
                <w:sz w:val="21"/>
                <w:szCs w:val="21"/>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316B25B">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申报（补助）条件</w:t>
            </w:r>
          </w:p>
        </w:tc>
        <w:tc>
          <w:tcPr>
            <w:tcW w:w="6916" w:type="dxa"/>
            <w:gridSpan w:val="5"/>
            <w:tcBorders>
              <w:top w:val="single" w:color="000000" w:sz="4" w:space="0"/>
              <w:left w:val="single" w:color="000000" w:sz="4" w:space="0"/>
              <w:bottom w:val="single" w:color="000000" w:sz="4" w:space="0"/>
              <w:right w:val="single" w:color="000000" w:sz="4" w:space="0"/>
            </w:tcBorders>
            <w:noWrap w:val="0"/>
            <w:vAlign w:val="center"/>
          </w:tcPr>
          <w:p w14:paraId="617EE28F">
            <w:pPr>
              <w:keepNext w:val="0"/>
              <w:keepLines w:val="0"/>
              <w:pageBreakBefore w:val="0"/>
              <w:kinsoku/>
              <w:wordWrap/>
              <w:overflowPunct/>
              <w:topLinePunct w:val="0"/>
              <w:autoSpaceDE/>
              <w:autoSpaceDN/>
              <w:bidi w:val="0"/>
              <w:adjustRightInd/>
              <w:snapToGrid/>
              <w:spacing w:line="560" w:lineRule="exact"/>
              <w:jc w:val="left"/>
              <w:rPr>
                <w:rFonts w:hint="default" w:ascii="Times New Roman" w:hAnsi="Times New Roman" w:eastAsia="宋体" w:cs="Times New Roman"/>
                <w:color w:val="000000"/>
                <w:sz w:val="21"/>
                <w:szCs w:val="21"/>
              </w:rPr>
            </w:pPr>
          </w:p>
        </w:tc>
      </w:tr>
      <w:tr w14:paraId="6AEB721B">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CB6962">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cs="Times New Roman"/>
                <w:sz w:val="21"/>
                <w:szCs w:val="21"/>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AEA6608">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default" w:ascii="Times New Roman" w:hAnsi="Times New Roman" w:eastAsia="方正仿宋_GBK" w:cs="Times New Roman"/>
                <w:color w:val="000000"/>
                <w:sz w:val="21"/>
                <w:szCs w:val="21"/>
                <w:lang w:bidi="ar-SA"/>
              </w:rPr>
            </w:pPr>
            <w:r>
              <w:rPr>
                <w:rFonts w:hint="default" w:ascii="Times New Roman" w:hAnsi="Times New Roman" w:eastAsia="方正仿宋_GBK" w:cs="Times New Roman"/>
                <w:color w:val="000000"/>
                <w:kern w:val="0"/>
                <w:sz w:val="21"/>
                <w:szCs w:val="21"/>
                <w:lang w:bidi="ar"/>
              </w:rPr>
              <w:t>项目起止年限</w:t>
            </w:r>
          </w:p>
        </w:tc>
        <w:tc>
          <w:tcPr>
            <w:tcW w:w="6916" w:type="dxa"/>
            <w:gridSpan w:val="5"/>
            <w:tcBorders>
              <w:top w:val="single" w:color="000000" w:sz="4" w:space="0"/>
              <w:left w:val="single" w:color="000000" w:sz="4" w:space="0"/>
              <w:bottom w:val="single" w:color="000000" w:sz="4" w:space="0"/>
              <w:right w:val="single" w:color="000000" w:sz="4" w:space="0"/>
            </w:tcBorders>
            <w:noWrap w:val="0"/>
            <w:vAlign w:val="center"/>
          </w:tcPr>
          <w:p w14:paraId="10717828">
            <w:pPr>
              <w:keepNext w:val="0"/>
              <w:keepLines w:val="0"/>
              <w:pageBreakBefore w:val="0"/>
              <w:kinsoku/>
              <w:wordWrap/>
              <w:overflowPunct/>
              <w:topLinePunct w:val="0"/>
              <w:autoSpaceDE/>
              <w:autoSpaceDN/>
              <w:bidi w:val="0"/>
              <w:adjustRightInd/>
              <w:snapToGrid/>
              <w:spacing w:line="560" w:lineRule="exact"/>
              <w:rPr>
                <w:rFonts w:hint="default" w:ascii="Times New Roman" w:hAnsi="Times New Roman" w:eastAsia="宋体" w:cs="Times New Roman"/>
                <w:color w:val="000000"/>
                <w:sz w:val="21"/>
                <w:szCs w:val="21"/>
              </w:rPr>
            </w:pPr>
          </w:p>
        </w:tc>
      </w:tr>
      <w:tr w14:paraId="68D12344">
        <w:tblPrEx>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144431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项目资金</w:t>
            </w:r>
          </w:p>
          <w:p w14:paraId="7AEB6EF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4FC48C9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年度资金总额：</w:t>
            </w:r>
          </w:p>
        </w:tc>
        <w:tc>
          <w:tcPr>
            <w:tcW w:w="6916" w:type="dxa"/>
            <w:gridSpan w:val="5"/>
            <w:tcBorders>
              <w:top w:val="single" w:color="000000" w:sz="4" w:space="0"/>
              <w:left w:val="single" w:color="000000" w:sz="4" w:space="0"/>
              <w:bottom w:val="single" w:color="000000" w:sz="4" w:space="0"/>
              <w:right w:val="single" w:color="000000" w:sz="4" w:space="0"/>
            </w:tcBorders>
            <w:noWrap w:val="0"/>
            <w:vAlign w:val="center"/>
          </w:tcPr>
          <w:p w14:paraId="75E47D6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35万元</w:t>
            </w:r>
          </w:p>
        </w:tc>
      </w:tr>
      <w:tr w14:paraId="2129E002">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210DE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1F19CDE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其中：财政拨款</w:t>
            </w:r>
          </w:p>
        </w:tc>
        <w:tc>
          <w:tcPr>
            <w:tcW w:w="6916" w:type="dxa"/>
            <w:gridSpan w:val="5"/>
            <w:tcBorders>
              <w:top w:val="single" w:color="000000" w:sz="4" w:space="0"/>
              <w:left w:val="single" w:color="000000" w:sz="4" w:space="0"/>
              <w:bottom w:val="single" w:color="000000" w:sz="4" w:space="0"/>
              <w:right w:val="single" w:color="000000" w:sz="4" w:space="0"/>
            </w:tcBorders>
            <w:noWrap w:val="0"/>
            <w:vAlign w:val="center"/>
          </w:tcPr>
          <w:p w14:paraId="62EA928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35万元</w:t>
            </w:r>
          </w:p>
        </w:tc>
      </w:tr>
      <w:tr w14:paraId="625F1791">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75CC2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736E438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其他资金</w:t>
            </w:r>
          </w:p>
        </w:tc>
        <w:tc>
          <w:tcPr>
            <w:tcW w:w="6916" w:type="dxa"/>
            <w:gridSpan w:val="5"/>
            <w:tcBorders>
              <w:top w:val="single" w:color="000000" w:sz="4" w:space="0"/>
              <w:left w:val="single" w:color="000000" w:sz="4" w:space="0"/>
              <w:bottom w:val="single" w:color="000000" w:sz="4" w:space="0"/>
              <w:right w:val="single" w:color="000000" w:sz="4" w:space="0"/>
            </w:tcBorders>
            <w:noWrap w:val="0"/>
            <w:vAlign w:val="center"/>
          </w:tcPr>
          <w:p w14:paraId="7F24CBD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r>
      <w:tr w14:paraId="0DD00A6D">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B80A2D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总体 目标</w:t>
            </w:r>
          </w:p>
        </w:tc>
        <w:tc>
          <w:tcPr>
            <w:tcW w:w="10559" w:type="dxa"/>
            <w:gridSpan w:val="8"/>
            <w:tcBorders>
              <w:top w:val="single" w:color="000000" w:sz="4" w:space="0"/>
              <w:left w:val="single" w:color="000000" w:sz="4" w:space="0"/>
              <w:bottom w:val="single" w:color="000000" w:sz="4" w:space="0"/>
              <w:right w:val="single" w:color="000000" w:sz="4" w:space="0"/>
            </w:tcBorders>
            <w:noWrap w:val="0"/>
            <w:vAlign w:val="center"/>
          </w:tcPr>
          <w:p w14:paraId="0CF3C5C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年度目标</w:t>
            </w:r>
          </w:p>
        </w:tc>
      </w:tr>
      <w:tr w14:paraId="04EF209E">
        <w:tblPrEx>
          <w:tblCellMar>
            <w:top w:w="15" w:type="dxa"/>
            <w:left w:w="15" w:type="dxa"/>
            <w:bottom w:w="15" w:type="dxa"/>
            <w:right w:w="15" w:type="dxa"/>
          </w:tblCellMar>
        </w:tblPrEx>
        <w:trPr>
          <w:trHeight w:val="62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54789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0559" w:type="dxa"/>
            <w:gridSpan w:val="8"/>
            <w:tcBorders>
              <w:top w:val="single" w:color="000000" w:sz="4" w:space="0"/>
              <w:left w:val="single" w:color="000000" w:sz="4" w:space="0"/>
              <w:bottom w:val="single" w:color="000000" w:sz="4" w:space="0"/>
              <w:right w:val="single" w:color="000000" w:sz="4" w:space="0"/>
            </w:tcBorders>
            <w:noWrap w:val="0"/>
            <w:vAlign w:val="center"/>
          </w:tcPr>
          <w:p w14:paraId="1E2F8B7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保护特殊困难儿童身心健康、保障特殊困难儿童合法权益为目的。</w:t>
            </w:r>
          </w:p>
        </w:tc>
      </w:tr>
      <w:tr w14:paraId="50D88C9D">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nil"/>
            </w:tcBorders>
            <w:noWrap w:val="0"/>
            <w:vAlign w:val="center"/>
          </w:tcPr>
          <w:p w14:paraId="38C26CA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66B5280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409C872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B32925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三级指标</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63B9726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指标性质</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546CFD6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指标值</w:t>
            </w:r>
          </w:p>
        </w:tc>
        <w:tc>
          <w:tcPr>
            <w:tcW w:w="994" w:type="dxa"/>
            <w:tcBorders>
              <w:top w:val="single" w:color="000000" w:sz="4" w:space="0"/>
              <w:left w:val="single" w:color="000000" w:sz="4" w:space="0"/>
              <w:bottom w:val="single" w:color="000000" w:sz="4" w:space="0"/>
              <w:right w:val="single" w:color="000000" w:sz="4" w:space="0"/>
            </w:tcBorders>
            <w:noWrap w:val="0"/>
            <w:vAlign w:val="center"/>
          </w:tcPr>
          <w:p w14:paraId="08432A5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265D4D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权重</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31CA34E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实际完成指标值</w:t>
            </w:r>
          </w:p>
        </w:tc>
      </w:tr>
      <w:tr w14:paraId="54A8E1CF">
        <w:tblPrEx>
          <w:tblCellMar>
            <w:top w:w="15" w:type="dxa"/>
            <w:left w:w="15" w:type="dxa"/>
            <w:bottom w:w="15" w:type="dxa"/>
            <w:right w:w="15" w:type="dxa"/>
          </w:tblCellMar>
        </w:tblPrEx>
        <w:trPr>
          <w:trHeight w:val="908"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1460C88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730FD85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4033C7D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3DAFFD0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为你而来 相伴成长服务人次数</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5989DF7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定量</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01D8ABA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≥180</w:t>
            </w:r>
          </w:p>
        </w:tc>
        <w:tc>
          <w:tcPr>
            <w:tcW w:w="994" w:type="dxa"/>
            <w:tcBorders>
              <w:top w:val="single" w:color="000000" w:sz="4" w:space="0"/>
              <w:left w:val="single" w:color="000000" w:sz="4" w:space="0"/>
              <w:bottom w:val="single" w:color="000000" w:sz="4" w:space="0"/>
              <w:right w:val="single" w:color="000000" w:sz="4" w:space="0"/>
            </w:tcBorders>
            <w:noWrap w:val="0"/>
            <w:vAlign w:val="center"/>
          </w:tcPr>
          <w:p w14:paraId="71292BA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人次</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E0F217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20%</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0E28F6F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60</w:t>
            </w:r>
          </w:p>
        </w:tc>
      </w:tr>
      <w:tr w14:paraId="5ADFE97F">
        <w:tblPrEx>
          <w:tblCellMar>
            <w:top w:w="15" w:type="dxa"/>
            <w:left w:w="15" w:type="dxa"/>
            <w:bottom w:w="15" w:type="dxa"/>
            <w:right w:w="15" w:type="dxa"/>
          </w:tblCellMar>
        </w:tblPrEx>
        <w:trPr>
          <w:trHeight w:val="630" w:hRule="atLeast"/>
          <w:jc w:val="center"/>
        </w:trPr>
        <w:tc>
          <w:tcPr>
            <w:tcW w:w="652" w:type="dxa"/>
            <w:vMerge w:val="continue"/>
            <w:tcBorders>
              <w:top w:val="single" w:color="000000" w:sz="4" w:space="0"/>
              <w:left w:val="single" w:color="000000" w:sz="4" w:space="0"/>
              <w:bottom w:val="single" w:color="000000" w:sz="4" w:space="0"/>
              <w:right w:val="nil"/>
            </w:tcBorders>
            <w:noWrap w:val="0"/>
            <w:vAlign w:val="center"/>
          </w:tcPr>
          <w:p w14:paraId="19018A3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081" w:type="dxa"/>
            <w:tcBorders>
              <w:top w:val="single" w:color="000000" w:sz="4" w:space="0"/>
              <w:left w:val="single" w:color="000000" w:sz="4" w:space="0"/>
              <w:bottom w:val="single" w:color="auto" w:sz="4" w:space="0"/>
              <w:right w:val="single" w:color="000000" w:sz="4" w:space="0"/>
            </w:tcBorders>
            <w:noWrap w:val="0"/>
            <w:vAlign w:val="center"/>
          </w:tcPr>
          <w:p w14:paraId="2BA4F86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效益指标</w:t>
            </w:r>
          </w:p>
        </w:tc>
        <w:tc>
          <w:tcPr>
            <w:tcW w:w="1250" w:type="dxa"/>
            <w:tcBorders>
              <w:top w:val="single" w:color="000000" w:sz="4" w:space="0"/>
              <w:left w:val="single" w:color="000000" w:sz="4" w:space="0"/>
              <w:bottom w:val="single" w:color="auto" w:sz="4" w:space="0"/>
              <w:right w:val="single" w:color="000000" w:sz="4" w:space="0"/>
            </w:tcBorders>
            <w:noWrap w:val="0"/>
            <w:vAlign w:val="center"/>
          </w:tcPr>
          <w:p w14:paraId="7B1C80B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社会效益</w:t>
            </w:r>
          </w:p>
          <w:p w14:paraId="6E47969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指标</w:t>
            </w:r>
          </w:p>
        </w:tc>
        <w:tc>
          <w:tcPr>
            <w:tcW w:w="1312" w:type="dxa"/>
            <w:tcBorders>
              <w:top w:val="single" w:color="000000" w:sz="4" w:space="0"/>
              <w:left w:val="single" w:color="000000" w:sz="4" w:space="0"/>
              <w:bottom w:val="single" w:color="auto" w:sz="4" w:space="0"/>
              <w:right w:val="single" w:color="000000" w:sz="4" w:space="0"/>
            </w:tcBorders>
            <w:noWrap w:val="0"/>
            <w:vAlign w:val="center"/>
          </w:tcPr>
          <w:p w14:paraId="02ABC37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支持儿童福利事业发展成效</w:t>
            </w:r>
          </w:p>
        </w:tc>
        <w:tc>
          <w:tcPr>
            <w:tcW w:w="1089" w:type="dxa"/>
            <w:tcBorders>
              <w:top w:val="single" w:color="000000" w:sz="4" w:space="0"/>
              <w:left w:val="single" w:color="000000" w:sz="4" w:space="0"/>
              <w:bottom w:val="single" w:color="auto" w:sz="4" w:space="0"/>
              <w:right w:val="single" w:color="000000" w:sz="4" w:space="0"/>
            </w:tcBorders>
            <w:noWrap w:val="0"/>
            <w:vAlign w:val="center"/>
          </w:tcPr>
          <w:p w14:paraId="4AB34FA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定性</w:t>
            </w:r>
          </w:p>
        </w:tc>
        <w:tc>
          <w:tcPr>
            <w:tcW w:w="1075" w:type="dxa"/>
            <w:tcBorders>
              <w:top w:val="single" w:color="000000" w:sz="4" w:space="0"/>
              <w:left w:val="single" w:color="000000" w:sz="4" w:space="0"/>
              <w:bottom w:val="single" w:color="auto" w:sz="4" w:space="0"/>
              <w:right w:val="single" w:color="000000" w:sz="4" w:space="0"/>
            </w:tcBorders>
            <w:noWrap w:val="0"/>
            <w:vAlign w:val="center"/>
          </w:tcPr>
          <w:p w14:paraId="232827F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成效显著</w:t>
            </w:r>
          </w:p>
        </w:tc>
        <w:tc>
          <w:tcPr>
            <w:tcW w:w="994" w:type="dxa"/>
            <w:tcBorders>
              <w:top w:val="single" w:color="000000" w:sz="4" w:space="0"/>
              <w:left w:val="single" w:color="000000" w:sz="4" w:space="0"/>
              <w:bottom w:val="single" w:color="auto" w:sz="4" w:space="0"/>
              <w:right w:val="single" w:color="000000" w:sz="4" w:space="0"/>
            </w:tcBorders>
            <w:noWrap w:val="0"/>
            <w:vAlign w:val="center"/>
          </w:tcPr>
          <w:p w14:paraId="4A65A11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938" w:type="dxa"/>
            <w:tcBorders>
              <w:top w:val="single" w:color="000000" w:sz="4" w:space="0"/>
              <w:left w:val="single" w:color="000000" w:sz="4" w:space="0"/>
              <w:bottom w:val="single" w:color="auto" w:sz="4" w:space="0"/>
              <w:right w:val="single" w:color="000000" w:sz="4" w:space="0"/>
            </w:tcBorders>
            <w:noWrap w:val="0"/>
            <w:vAlign w:val="center"/>
          </w:tcPr>
          <w:p w14:paraId="6C23EE4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40%</w:t>
            </w:r>
          </w:p>
        </w:tc>
        <w:tc>
          <w:tcPr>
            <w:tcW w:w="2820" w:type="dxa"/>
            <w:tcBorders>
              <w:top w:val="single" w:color="000000" w:sz="4" w:space="0"/>
              <w:left w:val="single" w:color="000000" w:sz="4" w:space="0"/>
              <w:bottom w:val="single" w:color="auto" w:sz="4" w:space="0"/>
              <w:right w:val="single" w:color="000000" w:sz="4" w:space="0"/>
            </w:tcBorders>
            <w:noWrap w:val="0"/>
            <w:vAlign w:val="center"/>
          </w:tcPr>
          <w:p w14:paraId="5CC6528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成效显著</w:t>
            </w:r>
          </w:p>
        </w:tc>
      </w:tr>
      <w:tr w14:paraId="56F66D5A">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auto" w:sz="4" w:space="0"/>
            </w:tcBorders>
            <w:noWrap w:val="0"/>
            <w:vAlign w:val="center"/>
          </w:tcPr>
          <w:p w14:paraId="1DCA340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0095055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满意度</w:t>
            </w:r>
          </w:p>
          <w:p w14:paraId="79225D1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6A6A030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服务对象</w:t>
            </w:r>
          </w:p>
          <w:p w14:paraId="60E25CE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满意度指标</w:t>
            </w:r>
          </w:p>
        </w:tc>
        <w:tc>
          <w:tcPr>
            <w:tcW w:w="1312" w:type="dxa"/>
            <w:tcBorders>
              <w:top w:val="single" w:color="auto" w:sz="4" w:space="0"/>
              <w:left w:val="single" w:color="auto" w:sz="4" w:space="0"/>
              <w:bottom w:val="single" w:color="auto" w:sz="4" w:space="0"/>
              <w:right w:val="single" w:color="auto" w:sz="4" w:space="0"/>
            </w:tcBorders>
            <w:noWrap w:val="0"/>
            <w:vAlign w:val="center"/>
          </w:tcPr>
          <w:p w14:paraId="5347090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接受资助和服务儿童满意度</w:t>
            </w:r>
          </w:p>
        </w:tc>
        <w:tc>
          <w:tcPr>
            <w:tcW w:w="1089" w:type="dxa"/>
            <w:tcBorders>
              <w:top w:val="single" w:color="auto" w:sz="4" w:space="0"/>
              <w:left w:val="single" w:color="auto" w:sz="4" w:space="0"/>
              <w:bottom w:val="single" w:color="auto" w:sz="4" w:space="0"/>
              <w:right w:val="single" w:color="auto" w:sz="4" w:space="0"/>
            </w:tcBorders>
            <w:noWrap w:val="0"/>
            <w:vAlign w:val="center"/>
          </w:tcPr>
          <w:p w14:paraId="1609755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定量</w:t>
            </w:r>
          </w:p>
        </w:tc>
        <w:tc>
          <w:tcPr>
            <w:tcW w:w="1075" w:type="dxa"/>
            <w:tcBorders>
              <w:top w:val="single" w:color="auto" w:sz="4" w:space="0"/>
              <w:left w:val="single" w:color="auto" w:sz="4" w:space="0"/>
              <w:bottom w:val="single" w:color="auto" w:sz="4" w:space="0"/>
              <w:right w:val="single" w:color="auto" w:sz="4" w:space="0"/>
            </w:tcBorders>
            <w:noWrap w:val="0"/>
            <w:vAlign w:val="center"/>
          </w:tcPr>
          <w:p w14:paraId="4CA044A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≥90</w:t>
            </w:r>
          </w:p>
        </w:tc>
        <w:tc>
          <w:tcPr>
            <w:tcW w:w="994" w:type="dxa"/>
            <w:tcBorders>
              <w:top w:val="single" w:color="auto" w:sz="4" w:space="0"/>
              <w:left w:val="single" w:color="auto" w:sz="4" w:space="0"/>
              <w:bottom w:val="single" w:color="auto" w:sz="4" w:space="0"/>
              <w:right w:val="single" w:color="auto" w:sz="4" w:space="0"/>
            </w:tcBorders>
            <w:noWrap w:val="0"/>
            <w:vAlign w:val="center"/>
          </w:tcPr>
          <w:p w14:paraId="6668825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0F7EC4B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40%</w:t>
            </w:r>
          </w:p>
        </w:tc>
        <w:tc>
          <w:tcPr>
            <w:tcW w:w="2820" w:type="dxa"/>
            <w:tcBorders>
              <w:top w:val="single" w:color="auto" w:sz="4" w:space="0"/>
              <w:left w:val="single" w:color="auto" w:sz="4" w:space="0"/>
              <w:bottom w:val="single" w:color="auto" w:sz="4" w:space="0"/>
              <w:right w:val="single" w:color="auto" w:sz="4" w:space="0"/>
            </w:tcBorders>
            <w:noWrap w:val="0"/>
            <w:vAlign w:val="center"/>
          </w:tcPr>
          <w:p w14:paraId="55D3A2F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en-US" w:bidi="ar"/>
              </w:rPr>
            </w:pPr>
            <w:r>
              <w:rPr>
                <w:rFonts w:hint="default" w:ascii="Times New Roman" w:hAnsi="Times New Roman" w:eastAsia="方正仿宋_GBK" w:cs="Times New Roman"/>
                <w:color w:val="000000"/>
                <w:kern w:val="0"/>
                <w:sz w:val="21"/>
                <w:szCs w:val="21"/>
                <w:lang w:val="en-US" w:eastAsia="zh-CN" w:bidi="ar"/>
              </w:rPr>
              <w:t>90%</w:t>
            </w:r>
          </w:p>
        </w:tc>
      </w:tr>
    </w:tbl>
    <w:p w14:paraId="1C2B2002">
      <w:pPr>
        <w:keepNext w:val="0"/>
        <w:keepLines w:val="0"/>
        <w:pageBreakBefore w:val="0"/>
        <w:kinsoku/>
        <w:wordWrap/>
        <w:overflowPunct/>
        <w:topLinePunct w:val="0"/>
        <w:autoSpaceDE/>
        <w:bidi w:val="0"/>
        <w:spacing w:line="560" w:lineRule="exact"/>
        <w:rPr>
          <w:rFonts w:hint="default" w:ascii="Times New Roman" w:hAnsi="Times New Roman" w:cs="Times New Roman"/>
          <w:sz w:val="21"/>
          <w:szCs w:val="21"/>
        </w:rPr>
      </w:pPr>
    </w:p>
    <w:p w14:paraId="07ED44AC">
      <w:pPr>
        <w:rPr>
          <w:rFonts w:hint="default" w:ascii="Times New Roman" w:hAnsi="Times New Roman" w:eastAsia="方正黑体_GBK" w:cs="Times New Roman"/>
          <w:b w:val="0"/>
          <w:bCs w:val="0"/>
          <w:color w:val="auto"/>
          <w:kern w:val="0"/>
          <w:sz w:val="21"/>
          <w:szCs w:val="21"/>
          <w:highlight w:val="none"/>
          <w:u w:val="none"/>
          <w:shd w:val="clear" w:color="auto" w:fill="FFFFFF"/>
          <w:lang w:val="zh-CN" w:eastAsia="zh-CN"/>
        </w:rPr>
      </w:pPr>
    </w:p>
    <w:p w14:paraId="4FED1299">
      <w:pPr>
        <w:keepNext w:val="0"/>
        <w:keepLines w:val="0"/>
        <w:pageBreakBefore w:val="0"/>
        <w:widowControl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方正黑体_GBK"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方正黑体_GBK" w:cs="Times New Roman"/>
          <w:b w:val="0"/>
          <w:bCs w:val="0"/>
          <w:color w:val="auto"/>
          <w:kern w:val="0"/>
          <w:sz w:val="21"/>
          <w:szCs w:val="21"/>
          <w:highlight w:val="none"/>
          <w:u w:val="none"/>
          <w:shd w:val="clear" w:color="auto" w:fill="FFFFFF"/>
          <w:lang w:val="zh-CN" w:eastAsia="zh-CN"/>
        </w:rPr>
        <w:t>附表</w:t>
      </w:r>
      <w:r>
        <w:rPr>
          <w:rFonts w:hint="default" w:ascii="Times New Roman" w:hAnsi="Times New Roman" w:eastAsia="方正黑体_GBK" w:cs="Times New Roman"/>
          <w:b w:val="0"/>
          <w:bCs w:val="0"/>
          <w:color w:val="auto"/>
          <w:kern w:val="0"/>
          <w:sz w:val="21"/>
          <w:szCs w:val="21"/>
          <w:highlight w:val="none"/>
          <w:u w:val="none"/>
          <w:shd w:val="clear" w:color="auto" w:fill="FFFFFF"/>
          <w:lang w:val="en-US" w:eastAsia="zh-CN"/>
        </w:rPr>
        <w:t>3-7</w:t>
      </w:r>
    </w:p>
    <w:tbl>
      <w:tblPr>
        <w:tblStyle w:val="17"/>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785"/>
        <w:gridCol w:w="1500"/>
        <w:gridCol w:w="1065"/>
        <w:gridCol w:w="1310"/>
        <w:gridCol w:w="1330"/>
        <w:gridCol w:w="900"/>
        <w:gridCol w:w="1610"/>
      </w:tblGrid>
      <w:tr w14:paraId="6C03B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353A9CBA">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_GBK" w:cs="Times New Roman"/>
                <w:i w:val="0"/>
                <w:color w:val="000000"/>
                <w:kern w:val="0"/>
                <w:sz w:val="44"/>
                <w:szCs w:val="44"/>
                <w:u w:val="none"/>
                <w:lang w:val="en-US" w:eastAsia="zh-CN" w:bidi="ar"/>
              </w:rPr>
              <w:t>专项预算项目绩效目标完成情况自评表</w:t>
            </w:r>
          </w:p>
        </w:tc>
      </w:tr>
      <w:tr w14:paraId="52CA0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018" w:type="dxa"/>
            <w:gridSpan w:val="4"/>
            <w:tcBorders>
              <w:top w:val="single" w:color="000000" w:sz="4" w:space="0"/>
              <w:left w:val="single" w:color="000000" w:sz="4" w:space="0"/>
              <w:bottom w:val="single" w:color="000000" w:sz="4" w:space="0"/>
              <w:right w:val="single" w:color="000000" w:sz="4" w:space="0"/>
            </w:tcBorders>
            <w:noWrap w:val="0"/>
            <w:vAlign w:val="center"/>
          </w:tcPr>
          <w:p w14:paraId="03BA6E9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项目名称</w:t>
            </w:r>
          </w:p>
        </w:tc>
        <w:tc>
          <w:tcPr>
            <w:tcW w:w="6215" w:type="dxa"/>
            <w:gridSpan w:val="5"/>
            <w:tcBorders>
              <w:top w:val="single" w:color="000000" w:sz="4" w:space="0"/>
              <w:left w:val="single" w:color="000000" w:sz="4" w:space="0"/>
              <w:bottom w:val="single" w:color="000000" w:sz="4" w:space="0"/>
              <w:right w:val="single" w:color="000000" w:sz="4" w:space="0"/>
            </w:tcBorders>
            <w:noWrap w:val="0"/>
            <w:vAlign w:val="center"/>
          </w:tcPr>
          <w:p w14:paraId="09A208C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2025年四川省慈善事业高质量发展试点项目</w:t>
            </w:r>
          </w:p>
        </w:tc>
      </w:tr>
      <w:tr w14:paraId="5D3A0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3" w:hRule="atLeast"/>
          <w:jc w:val="center"/>
        </w:trPr>
        <w:tc>
          <w:tcPr>
            <w:tcW w:w="4018" w:type="dxa"/>
            <w:gridSpan w:val="4"/>
            <w:tcBorders>
              <w:top w:val="single" w:color="000000" w:sz="4" w:space="0"/>
              <w:left w:val="single" w:color="000000" w:sz="4" w:space="0"/>
              <w:bottom w:val="single" w:color="000000" w:sz="4" w:space="0"/>
              <w:right w:val="single" w:color="000000" w:sz="4" w:space="0"/>
            </w:tcBorders>
            <w:noWrap w:val="0"/>
            <w:vAlign w:val="center"/>
          </w:tcPr>
          <w:p w14:paraId="5765295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预算单位</w:t>
            </w:r>
          </w:p>
        </w:tc>
        <w:tc>
          <w:tcPr>
            <w:tcW w:w="6215" w:type="dxa"/>
            <w:gridSpan w:val="5"/>
            <w:tcBorders>
              <w:top w:val="single" w:color="000000" w:sz="4" w:space="0"/>
              <w:left w:val="single" w:color="000000" w:sz="4" w:space="0"/>
              <w:bottom w:val="single" w:color="000000" w:sz="4" w:space="0"/>
              <w:right w:val="single" w:color="000000" w:sz="4" w:space="0"/>
            </w:tcBorders>
            <w:noWrap w:val="0"/>
            <w:vAlign w:val="center"/>
          </w:tcPr>
          <w:p w14:paraId="0632784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攀枝花市民政局</w:t>
            </w:r>
          </w:p>
        </w:tc>
      </w:tr>
      <w:tr w14:paraId="462A7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018" w:type="dxa"/>
            <w:gridSpan w:val="4"/>
            <w:tcBorders>
              <w:top w:val="single" w:color="000000" w:sz="4" w:space="0"/>
              <w:left w:val="single" w:color="000000" w:sz="4" w:space="0"/>
              <w:bottom w:val="single" w:color="000000" w:sz="4" w:space="0"/>
              <w:right w:val="single" w:color="000000" w:sz="4" w:space="0"/>
            </w:tcBorders>
            <w:noWrap w:val="0"/>
            <w:vAlign w:val="center"/>
          </w:tcPr>
          <w:p w14:paraId="3C90C9E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项目类型</w:t>
            </w:r>
          </w:p>
        </w:tc>
        <w:tc>
          <w:tcPr>
            <w:tcW w:w="6215" w:type="dxa"/>
            <w:gridSpan w:val="5"/>
            <w:tcBorders>
              <w:top w:val="single" w:color="000000" w:sz="4" w:space="0"/>
              <w:left w:val="single" w:color="000000" w:sz="4" w:space="0"/>
              <w:bottom w:val="single" w:color="000000" w:sz="4" w:space="0"/>
              <w:right w:val="single" w:color="000000" w:sz="4" w:space="0"/>
            </w:tcBorders>
            <w:noWrap w:val="0"/>
            <w:vAlign w:val="center"/>
          </w:tcPr>
          <w:p w14:paraId="7C8C06F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慈善事业高质量发展试点</w:t>
            </w:r>
          </w:p>
        </w:tc>
      </w:tr>
      <w:tr w14:paraId="7ECF0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31"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CB6AFC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 概况</w:t>
            </w:r>
          </w:p>
        </w:tc>
        <w:tc>
          <w:tcPr>
            <w:tcW w:w="3366" w:type="dxa"/>
            <w:gridSpan w:val="3"/>
            <w:tcBorders>
              <w:top w:val="single" w:color="000000" w:sz="4" w:space="0"/>
              <w:left w:val="single" w:color="000000" w:sz="4" w:space="0"/>
              <w:bottom w:val="single" w:color="000000" w:sz="4" w:space="0"/>
              <w:right w:val="single" w:color="000000" w:sz="4" w:space="0"/>
            </w:tcBorders>
            <w:noWrap w:val="0"/>
            <w:vAlign w:val="center"/>
          </w:tcPr>
          <w:p w14:paraId="1AA1552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中长期规划（名称、文号，仅指常年项目）</w:t>
            </w:r>
          </w:p>
        </w:tc>
        <w:tc>
          <w:tcPr>
            <w:tcW w:w="6215" w:type="dxa"/>
            <w:gridSpan w:val="5"/>
            <w:tcBorders>
              <w:top w:val="single" w:color="000000" w:sz="4" w:space="0"/>
              <w:left w:val="single" w:color="000000" w:sz="4" w:space="0"/>
              <w:bottom w:val="single" w:color="000000" w:sz="4" w:space="0"/>
              <w:right w:val="single" w:color="000000" w:sz="4" w:space="0"/>
            </w:tcBorders>
            <w:noWrap w:val="0"/>
            <w:vAlign w:val="center"/>
          </w:tcPr>
          <w:p w14:paraId="5D1B9DE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无</w:t>
            </w:r>
          </w:p>
        </w:tc>
      </w:tr>
      <w:tr w14:paraId="208B5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A9D9D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3366" w:type="dxa"/>
            <w:gridSpan w:val="3"/>
            <w:tcBorders>
              <w:top w:val="single" w:color="000000" w:sz="4" w:space="0"/>
              <w:left w:val="single" w:color="000000" w:sz="4" w:space="0"/>
              <w:bottom w:val="single" w:color="000000" w:sz="4" w:space="0"/>
              <w:right w:val="single" w:color="000000" w:sz="4" w:space="0"/>
            </w:tcBorders>
            <w:noWrap w:val="0"/>
            <w:vAlign w:val="center"/>
          </w:tcPr>
          <w:p w14:paraId="5DEA295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资金管理办法（名称、文号）</w:t>
            </w:r>
          </w:p>
        </w:tc>
        <w:tc>
          <w:tcPr>
            <w:tcW w:w="6215" w:type="dxa"/>
            <w:gridSpan w:val="5"/>
            <w:tcBorders>
              <w:top w:val="single" w:color="000000" w:sz="4" w:space="0"/>
              <w:left w:val="single" w:color="000000" w:sz="4" w:space="0"/>
              <w:bottom w:val="single" w:color="000000" w:sz="4" w:space="0"/>
              <w:right w:val="single" w:color="000000" w:sz="4" w:space="0"/>
            </w:tcBorders>
            <w:noWrap w:val="0"/>
            <w:vAlign w:val="center"/>
          </w:tcPr>
          <w:p w14:paraId="1714967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四川省财政厅四川省民政厅关于下达2025年中央和省级财政民政相关补助资金的通知（川财社〔2025〕39号 ）</w:t>
            </w:r>
          </w:p>
        </w:tc>
      </w:tr>
      <w:tr w14:paraId="46C18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A587D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3366" w:type="dxa"/>
            <w:gridSpan w:val="3"/>
            <w:tcBorders>
              <w:top w:val="single" w:color="000000" w:sz="4" w:space="0"/>
              <w:left w:val="single" w:color="000000" w:sz="4" w:space="0"/>
              <w:bottom w:val="single" w:color="000000" w:sz="4" w:space="0"/>
              <w:right w:val="single" w:color="000000" w:sz="4" w:space="0"/>
            </w:tcBorders>
            <w:noWrap w:val="0"/>
            <w:vAlign w:val="center"/>
          </w:tcPr>
          <w:p w14:paraId="0BFE4EF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绩效分配方式</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2BD661A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□因素法</w:t>
            </w:r>
          </w:p>
        </w:tc>
        <w:tc>
          <w:tcPr>
            <w:tcW w:w="2640" w:type="dxa"/>
            <w:gridSpan w:val="2"/>
            <w:tcBorders>
              <w:top w:val="single" w:color="000000" w:sz="4" w:space="0"/>
              <w:left w:val="single" w:color="000000" w:sz="4" w:space="0"/>
              <w:bottom w:val="single" w:color="000000" w:sz="4" w:space="0"/>
              <w:right w:val="single" w:color="000000" w:sz="4" w:space="0"/>
            </w:tcBorders>
            <w:noWrap w:val="0"/>
            <w:vAlign w:val="center"/>
          </w:tcPr>
          <w:p w14:paraId="186BD99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□项目法</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3BDECF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□据实据效</w:t>
            </w:r>
          </w:p>
        </w:tc>
        <w:tc>
          <w:tcPr>
            <w:tcW w:w="1610" w:type="dxa"/>
            <w:tcBorders>
              <w:top w:val="single" w:color="000000" w:sz="4" w:space="0"/>
              <w:left w:val="single" w:color="000000" w:sz="4" w:space="0"/>
              <w:bottom w:val="single" w:color="000000" w:sz="4" w:space="0"/>
              <w:right w:val="single" w:color="000000" w:sz="4" w:space="0"/>
            </w:tcBorders>
            <w:noWrap w:val="0"/>
            <w:vAlign w:val="center"/>
          </w:tcPr>
          <w:p w14:paraId="6BDC421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☑因素法与项目法相结合</w:t>
            </w:r>
          </w:p>
        </w:tc>
      </w:tr>
      <w:tr w14:paraId="0D9A1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93D53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3366" w:type="dxa"/>
            <w:gridSpan w:val="3"/>
            <w:tcBorders>
              <w:top w:val="single" w:color="000000" w:sz="4" w:space="0"/>
              <w:left w:val="single" w:color="000000" w:sz="4" w:space="0"/>
              <w:bottom w:val="single" w:color="000000" w:sz="4" w:space="0"/>
              <w:right w:val="single" w:color="000000" w:sz="4" w:space="0"/>
            </w:tcBorders>
            <w:noWrap w:val="0"/>
            <w:vAlign w:val="center"/>
          </w:tcPr>
          <w:p w14:paraId="04CC9E9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立项依据</w:t>
            </w:r>
          </w:p>
        </w:tc>
        <w:tc>
          <w:tcPr>
            <w:tcW w:w="6215" w:type="dxa"/>
            <w:gridSpan w:val="5"/>
            <w:tcBorders>
              <w:top w:val="single" w:color="000000" w:sz="4" w:space="0"/>
              <w:left w:val="single" w:color="000000" w:sz="4" w:space="0"/>
              <w:bottom w:val="single" w:color="000000" w:sz="4" w:space="0"/>
              <w:right w:val="single" w:color="000000" w:sz="4" w:space="0"/>
            </w:tcBorders>
            <w:noWrap w:val="0"/>
            <w:vAlign w:val="center"/>
          </w:tcPr>
          <w:p w14:paraId="2CFBD3F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《四川省民政厅关于确定成都市新都区等54个单位开展2025年慈善事业高质量发展试点工作的通知》（川民发〔2025〕71号）</w:t>
            </w:r>
          </w:p>
        </w:tc>
      </w:tr>
      <w:tr w14:paraId="6C5C8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6A831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3366" w:type="dxa"/>
            <w:gridSpan w:val="3"/>
            <w:tcBorders>
              <w:top w:val="single" w:color="000000" w:sz="4" w:space="0"/>
              <w:left w:val="single" w:color="000000" w:sz="4" w:space="0"/>
              <w:bottom w:val="single" w:color="000000" w:sz="4" w:space="0"/>
              <w:right w:val="single" w:color="000000" w:sz="4" w:space="0"/>
            </w:tcBorders>
            <w:noWrap w:val="0"/>
            <w:vAlign w:val="center"/>
          </w:tcPr>
          <w:p w14:paraId="795BB9F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使用范围</w:t>
            </w:r>
          </w:p>
        </w:tc>
        <w:tc>
          <w:tcPr>
            <w:tcW w:w="6215" w:type="dxa"/>
            <w:gridSpan w:val="5"/>
            <w:tcBorders>
              <w:top w:val="single" w:color="000000" w:sz="4" w:space="0"/>
              <w:left w:val="single" w:color="000000" w:sz="4" w:space="0"/>
              <w:bottom w:val="single" w:color="000000" w:sz="4" w:space="0"/>
              <w:right w:val="single" w:color="000000" w:sz="4" w:space="0"/>
            </w:tcBorders>
            <w:noWrap w:val="0"/>
            <w:vAlign w:val="center"/>
          </w:tcPr>
          <w:p w14:paraId="6647A10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资金使用为省级财政补助资金480万元，其中西区120万元、仁和区120万元、米易县120万元、盐边县120万元，主要用于2025年慈善事业高质量发展试点。</w:t>
            </w:r>
          </w:p>
        </w:tc>
      </w:tr>
      <w:tr w14:paraId="1C216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7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BA90A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3366" w:type="dxa"/>
            <w:gridSpan w:val="3"/>
            <w:tcBorders>
              <w:top w:val="single" w:color="000000" w:sz="4" w:space="0"/>
              <w:left w:val="single" w:color="000000" w:sz="4" w:space="0"/>
              <w:bottom w:val="single" w:color="000000" w:sz="4" w:space="0"/>
              <w:right w:val="single" w:color="000000" w:sz="4" w:space="0"/>
            </w:tcBorders>
            <w:noWrap w:val="0"/>
            <w:vAlign w:val="center"/>
          </w:tcPr>
          <w:p w14:paraId="044A46C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申报（补助）条件</w:t>
            </w:r>
          </w:p>
        </w:tc>
        <w:tc>
          <w:tcPr>
            <w:tcW w:w="6215" w:type="dxa"/>
            <w:gridSpan w:val="5"/>
            <w:tcBorders>
              <w:top w:val="single" w:color="000000" w:sz="4" w:space="0"/>
              <w:left w:val="single" w:color="000000" w:sz="4" w:space="0"/>
              <w:bottom w:val="single" w:color="000000" w:sz="4" w:space="0"/>
              <w:right w:val="single" w:color="000000" w:sz="4" w:space="0"/>
            </w:tcBorders>
            <w:noWrap w:val="0"/>
            <w:vAlign w:val="center"/>
          </w:tcPr>
          <w:p w14:paraId="25A9D19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依据批准的试点工作方案及相关实施细则执行</w:t>
            </w:r>
          </w:p>
        </w:tc>
      </w:tr>
      <w:tr w14:paraId="54E36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4F607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3366" w:type="dxa"/>
            <w:gridSpan w:val="3"/>
            <w:tcBorders>
              <w:top w:val="single" w:color="000000" w:sz="4" w:space="0"/>
              <w:left w:val="single" w:color="000000" w:sz="4" w:space="0"/>
              <w:bottom w:val="single" w:color="000000" w:sz="4" w:space="0"/>
              <w:right w:val="single" w:color="000000" w:sz="4" w:space="0"/>
            </w:tcBorders>
            <w:noWrap w:val="0"/>
            <w:vAlign w:val="center"/>
          </w:tcPr>
          <w:p w14:paraId="444599E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项目起止年限</w:t>
            </w:r>
          </w:p>
        </w:tc>
        <w:tc>
          <w:tcPr>
            <w:tcW w:w="6215" w:type="dxa"/>
            <w:gridSpan w:val="5"/>
            <w:tcBorders>
              <w:top w:val="single" w:color="000000" w:sz="4" w:space="0"/>
              <w:left w:val="single" w:color="000000" w:sz="4" w:space="0"/>
              <w:bottom w:val="single" w:color="000000" w:sz="4" w:space="0"/>
              <w:right w:val="single" w:color="000000" w:sz="4" w:space="0"/>
            </w:tcBorders>
            <w:noWrap w:val="0"/>
            <w:vAlign w:val="center"/>
          </w:tcPr>
          <w:p w14:paraId="041B700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2025年7月—2026年6月</w:t>
            </w:r>
          </w:p>
        </w:tc>
      </w:tr>
      <w:tr w14:paraId="7F32E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86"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7F46E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项目资金</w:t>
            </w:r>
          </w:p>
          <w:p w14:paraId="3A15539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（万元）</w:t>
            </w:r>
          </w:p>
        </w:tc>
        <w:tc>
          <w:tcPr>
            <w:tcW w:w="2285" w:type="dxa"/>
            <w:gridSpan w:val="2"/>
            <w:tcBorders>
              <w:top w:val="single" w:color="000000" w:sz="4" w:space="0"/>
              <w:left w:val="single" w:color="000000" w:sz="4" w:space="0"/>
              <w:bottom w:val="single" w:color="000000" w:sz="4" w:space="0"/>
              <w:right w:val="single" w:color="000000" w:sz="4" w:space="0"/>
            </w:tcBorders>
            <w:noWrap w:val="0"/>
            <w:vAlign w:val="center"/>
          </w:tcPr>
          <w:p w14:paraId="022AAFB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年度资金额：</w:t>
            </w:r>
          </w:p>
        </w:tc>
        <w:tc>
          <w:tcPr>
            <w:tcW w:w="6215" w:type="dxa"/>
            <w:gridSpan w:val="5"/>
            <w:tcBorders>
              <w:top w:val="single" w:color="000000" w:sz="4" w:space="0"/>
              <w:left w:val="single" w:color="000000" w:sz="4" w:space="0"/>
              <w:bottom w:val="single" w:color="000000" w:sz="4" w:space="0"/>
              <w:right w:val="single" w:color="000000" w:sz="4" w:space="0"/>
            </w:tcBorders>
            <w:noWrap w:val="0"/>
            <w:vAlign w:val="center"/>
          </w:tcPr>
          <w:p w14:paraId="473F43E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480</w:t>
            </w:r>
          </w:p>
        </w:tc>
      </w:tr>
      <w:tr w14:paraId="5EE33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11"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465D7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2285" w:type="dxa"/>
            <w:gridSpan w:val="2"/>
            <w:tcBorders>
              <w:top w:val="single" w:color="000000" w:sz="4" w:space="0"/>
              <w:left w:val="single" w:color="000000" w:sz="4" w:space="0"/>
              <w:bottom w:val="single" w:color="000000" w:sz="4" w:space="0"/>
              <w:right w:val="single" w:color="000000" w:sz="4" w:space="0"/>
            </w:tcBorders>
            <w:noWrap w:val="0"/>
            <w:vAlign w:val="center"/>
          </w:tcPr>
          <w:p w14:paraId="7A2F60F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其中：财政拨款</w:t>
            </w:r>
          </w:p>
        </w:tc>
        <w:tc>
          <w:tcPr>
            <w:tcW w:w="6215" w:type="dxa"/>
            <w:gridSpan w:val="5"/>
            <w:tcBorders>
              <w:top w:val="single" w:color="000000" w:sz="4" w:space="0"/>
              <w:left w:val="single" w:color="000000" w:sz="4" w:space="0"/>
              <w:bottom w:val="single" w:color="000000" w:sz="4" w:space="0"/>
              <w:right w:val="single" w:color="000000" w:sz="4" w:space="0"/>
            </w:tcBorders>
            <w:noWrap w:val="0"/>
            <w:vAlign w:val="center"/>
          </w:tcPr>
          <w:p w14:paraId="2F89F27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480</w:t>
            </w:r>
          </w:p>
        </w:tc>
      </w:tr>
      <w:tr w14:paraId="08DDE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81"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BD2EC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2285" w:type="dxa"/>
            <w:gridSpan w:val="2"/>
            <w:tcBorders>
              <w:top w:val="single" w:color="000000" w:sz="4" w:space="0"/>
              <w:left w:val="single" w:color="000000" w:sz="4" w:space="0"/>
              <w:bottom w:val="single" w:color="000000" w:sz="4" w:space="0"/>
              <w:right w:val="single" w:color="000000" w:sz="4" w:space="0"/>
            </w:tcBorders>
            <w:noWrap w:val="0"/>
            <w:vAlign w:val="center"/>
          </w:tcPr>
          <w:p w14:paraId="3EE9663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其他资金</w:t>
            </w:r>
          </w:p>
        </w:tc>
        <w:tc>
          <w:tcPr>
            <w:tcW w:w="6215" w:type="dxa"/>
            <w:gridSpan w:val="5"/>
            <w:tcBorders>
              <w:top w:val="single" w:color="000000" w:sz="4" w:space="0"/>
              <w:left w:val="single" w:color="000000" w:sz="4" w:space="0"/>
              <w:bottom w:val="single" w:color="000000" w:sz="4" w:space="0"/>
              <w:right w:val="single" w:color="000000" w:sz="4" w:space="0"/>
            </w:tcBorders>
            <w:noWrap w:val="0"/>
            <w:vAlign w:val="center"/>
          </w:tcPr>
          <w:p w14:paraId="0672FC4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0</w:t>
            </w:r>
          </w:p>
        </w:tc>
      </w:tr>
      <w:tr w14:paraId="12D7C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EE3A33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762BC6B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年度目标</w:t>
            </w:r>
          </w:p>
        </w:tc>
      </w:tr>
      <w:tr w14:paraId="36917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4BE59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2F32E61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zh-CN" w:eastAsia="zh-CN" w:bidi="ar"/>
              </w:rPr>
              <w:t>通过实施试点项目，探索我市慈善事业发展的新理念、新载体，以点带面带动全市慈善工作体系更加完善、工作机制更加健全、参与领域更加广泛、文化氛围更加浓厚</w:t>
            </w:r>
          </w:p>
        </w:tc>
      </w:tr>
      <w:tr w14:paraId="55B79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tcBorders>
            <w:noWrap w:val="0"/>
            <w:vAlign w:val="center"/>
          </w:tcPr>
          <w:p w14:paraId="6030BA7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3497446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一级指标</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11E0021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二级指标</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B4066E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三级指标</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79D1D1E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指标性质</w:t>
            </w:r>
          </w:p>
        </w:tc>
        <w:tc>
          <w:tcPr>
            <w:tcW w:w="1310" w:type="dxa"/>
            <w:tcBorders>
              <w:top w:val="single" w:color="000000" w:sz="4" w:space="0"/>
              <w:left w:val="single" w:color="000000" w:sz="4" w:space="0"/>
              <w:bottom w:val="single" w:color="000000" w:sz="4" w:space="0"/>
              <w:right w:val="single" w:color="000000" w:sz="4" w:space="0"/>
            </w:tcBorders>
            <w:noWrap w:val="0"/>
            <w:vAlign w:val="center"/>
          </w:tcPr>
          <w:p w14:paraId="7850E83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指标值</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74D8D69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度量单位</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5702AF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权重</w:t>
            </w:r>
          </w:p>
        </w:tc>
        <w:tc>
          <w:tcPr>
            <w:tcW w:w="1610" w:type="dxa"/>
            <w:tcBorders>
              <w:top w:val="single" w:color="000000" w:sz="4" w:space="0"/>
              <w:left w:val="single" w:color="000000" w:sz="4" w:space="0"/>
              <w:bottom w:val="single" w:color="000000" w:sz="4" w:space="0"/>
              <w:right w:val="single" w:color="000000" w:sz="4" w:space="0"/>
            </w:tcBorders>
            <w:noWrap w:val="0"/>
            <w:vAlign w:val="center"/>
          </w:tcPr>
          <w:p w14:paraId="377C6A3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实际完成指标值</w:t>
            </w:r>
          </w:p>
        </w:tc>
      </w:tr>
    </w:tbl>
    <w:p w14:paraId="715B3003">
      <w:pPr>
        <w:keepNext w:val="0"/>
        <w:keepLines w:val="0"/>
        <w:pageBreakBefore w:val="0"/>
        <w:widowControl w:val="0"/>
        <w:kinsoku/>
        <w:wordWrap/>
        <w:overflowPunct/>
        <w:topLinePunct w:val="0"/>
        <w:autoSpaceDE/>
        <w:autoSpaceDN/>
        <w:bidi w:val="0"/>
        <w:adjustRightInd/>
        <w:snapToGrid w:val="0"/>
        <w:spacing w:line="560" w:lineRule="exact"/>
        <w:rPr>
          <w:rFonts w:hint="default" w:ascii="Times New Roman" w:hAnsi="Times New Roman" w:eastAsia="黑体" w:cs="Times New Roman"/>
          <w:b w:val="0"/>
          <w:bCs w:val="0"/>
          <w:color w:val="auto"/>
          <w:kern w:val="0"/>
          <w:sz w:val="21"/>
          <w:szCs w:val="21"/>
          <w:highlight w:val="none"/>
          <w:u w:val="none"/>
          <w:shd w:val="clear" w:color="auto" w:fill="FFFFFF"/>
          <w:lang w:val="zh-CN" w:eastAsia="zh-CN"/>
        </w:rPr>
      </w:pPr>
    </w:p>
    <w:p w14:paraId="4893D655">
      <w:pP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r>
        <w:rPr>
          <w:rFonts w:hint="default" w:ascii="Times New Roman" w:hAnsi="Times New Roman" w:eastAsia="黑体" w:cs="Times New Roman"/>
          <w:b w:val="0"/>
          <w:bCs w:val="0"/>
          <w:color w:val="auto"/>
          <w:kern w:val="0"/>
          <w:sz w:val="21"/>
          <w:szCs w:val="21"/>
          <w:highlight w:val="none"/>
          <w:u w:val="none"/>
          <w:shd w:val="clear" w:color="auto" w:fill="FFFFFF"/>
          <w:lang w:val="zh-CN" w:eastAsia="zh-CN"/>
        </w:rPr>
        <w:br w:type="page"/>
      </w:r>
    </w:p>
    <w:p w14:paraId="0B2A335D">
      <w:pPr>
        <w:keepNext w:val="0"/>
        <w:keepLines w:val="0"/>
        <w:pageBreakBefore w:val="0"/>
        <w:widowControl w:val="0"/>
        <w:kinsoku/>
        <w:wordWrap/>
        <w:overflowPunct/>
        <w:topLinePunct w:val="0"/>
        <w:autoSpaceDE/>
        <w:autoSpaceDN/>
        <w:bidi w:val="0"/>
        <w:adjustRightInd/>
        <w:snapToGrid w:val="0"/>
        <w:spacing w:line="560" w:lineRule="exact"/>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3-8</w:t>
      </w:r>
    </w:p>
    <w:tbl>
      <w:tblPr>
        <w:tblStyle w:val="17"/>
        <w:tblW w:w="1075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977"/>
        <w:gridCol w:w="2730"/>
        <w:gridCol w:w="935"/>
        <w:gridCol w:w="895"/>
        <w:gridCol w:w="1230"/>
        <w:gridCol w:w="680"/>
        <w:gridCol w:w="1573"/>
      </w:tblGrid>
      <w:tr w14:paraId="5EC67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752" w:type="dxa"/>
            <w:gridSpan w:val="9"/>
            <w:noWrap/>
            <w:vAlign w:val="center"/>
          </w:tcPr>
          <w:p w14:paraId="5496162D">
            <w:pPr>
              <w:keepNext w:val="0"/>
              <w:keepLines w:val="0"/>
              <w:pageBreakBefore w:val="0"/>
              <w:widowControl/>
              <w:suppressLineNumbers w:val="0"/>
              <w:kinsoku/>
              <w:wordWrap/>
              <w:overflowPunct/>
              <w:topLinePunct w:val="0"/>
              <w:autoSpaceDE/>
              <w:autoSpaceDN/>
              <w:bidi w:val="0"/>
              <w:adjustRightInd/>
              <w:snapToGrid/>
              <w:spacing w:line="560" w:lineRule="exact"/>
              <w:ind w:left="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_GBK" w:cs="Times New Roman"/>
                <w:i w:val="0"/>
                <w:color w:val="000000"/>
                <w:kern w:val="0"/>
                <w:sz w:val="40"/>
                <w:szCs w:val="40"/>
                <w:u w:val="none"/>
                <w:lang w:val="en-US" w:eastAsia="zh-CN"/>
              </w:rPr>
              <w:t>专项预算项目绩效目标完成情况自评表</w:t>
            </w:r>
          </w:p>
        </w:tc>
      </w:tr>
      <w:tr w14:paraId="58B9B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5439" w:type="dxa"/>
            <w:gridSpan w:val="4"/>
            <w:tcBorders>
              <w:top w:val="single" w:color="000000" w:sz="4" w:space="0"/>
              <w:left w:val="single" w:color="000000" w:sz="4" w:space="0"/>
              <w:bottom w:val="single" w:color="000000" w:sz="4" w:space="0"/>
              <w:right w:val="single" w:color="000000" w:sz="4" w:space="0"/>
            </w:tcBorders>
            <w:noWrap/>
            <w:vAlign w:val="center"/>
          </w:tcPr>
          <w:p w14:paraId="59F0595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项目名称</w:t>
            </w:r>
          </w:p>
        </w:tc>
        <w:tc>
          <w:tcPr>
            <w:tcW w:w="5313" w:type="dxa"/>
            <w:gridSpan w:val="5"/>
            <w:tcBorders>
              <w:top w:val="single" w:color="000000" w:sz="4" w:space="0"/>
              <w:left w:val="single" w:color="000000" w:sz="4" w:space="0"/>
              <w:bottom w:val="single" w:color="000000" w:sz="4" w:space="0"/>
              <w:right w:val="single" w:color="000000" w:sz="4" w:space="0"/>
            </w:tcBorders>
            <w:noWrap/>
            <w:vAlign w:val="center"/>
          </w:tcPr>
          <w:p w14:paraId="5704235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攀枝花市环保火化炉购置项目</w:t>
            </w:r>
          </w:p>
        </w:tc>
      </w:tr>
      <w:tr w14:paraId="47291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5439" w:type="dxa"/>
            <w:gridSpan w:val="4"/>
            <w:tcBorders>
              <w:top w:val="single" w:color="000000" w:sz="4" w:space="0"/>
              <w:left w:val="single" w:color="000000" w:sz="4" w:space="0"/>
              <w:bottom w:val="single" w:color="000000" w:sz="4" w:space="0"/>
              <w:right w:val="single" w:color="000000" w:sz="4" w:space="0"/>
            </w:tcBorders>
            <w:noWrap/>
            <w:vAlign w:val="center"/>
          </w:tcPr>
          <w:p w14:paraId="57E7636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预算单位</w:t>
            </w:r>
          </w:p>
        </w:tc>
        <w:tc>
          <w:tcPr>
            <w:tcW w:w="5313" w:type="dxa"/>
            <w:gridSpan w:val="5"/>
            <w:tcBorders>
              <w:top w:val="single" w:color="000000" w:sz="4" w:space="0"/>
              <w:left w:val="single" w:color="000000" w:sz="4" w:space="0"/>
              <w:bottom w:val="single" w:color="000000" w:sz="4" w:space="0"/>
              <w:right w:val="single" w:color="000000" w:sz="4" w:space="0"/>
            </w:tcBorders>
            <w:noWrap/>
            <w:vAlign w:val="center"/>
          </w:tcPr>
          <w:p w14:paraId="3D844A8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攀枝花市殡葬服务中心</w:t>
            </w:r>
          </w:p>
        </w:tc>
      </w:tr>
      <w:tr w14:paraId="12F55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5439" w:type="dxa"/>
            <w:gridSpan w:val="4"/>
            <w:tcBorders>
              <w:top w:val="single" w:color="000000" w:sz="4" w:space="0"/>
              <w:left w:val="single" w:color="000000" w:sz="4" w:space="0"/>
              <w:bottom w:val="single" w:color="000000" w:sz="4" w:space="0"/>
              <w:right w:val="single" w:color="000000" w:sz="4" w:space="0"/>
            </w:tcBorders>
            <w:noWrap/>
            <w:vAlign w:val="center"/>
          </w:tcPr>
          <w:p w14:paraId="0F48E4D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项目类型</w:t>
            </w:r>
          </w:p>
        </w:tc>
        <w:tc>
          <w:tcPr>
            <w:tcW w:w="5313" w:type="dxa"/>
            <w:gridSpan w:val="5"/>
            <w:tcBorders>
              <w:top w:val="single" w:color="000000" w:sz="4" w:space="0"/>
              <w:left w:val="single" w:color="000000" w:sz="4" w:space="0"/>
              <w:bottom w:val="single" w:color="000000" w:sz="4" w:space="0"/>
              <w:right w:val="single" w:color="000000" w:sz="4" w:space="0"/>
            </w:tcBorders>
            <w:noWrap/>
            <w:vAlign w:val="center"/>
          </w:tcPr>
          <w:p w14:paraId="171F974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火化炉购置</w:t>
            </w:r>
          </w:p>
        </w:tc>
      </w:tr>
      <w:tr w14:paraId="4FEBD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ign w:val="center"/>
          </w:tcPr>
          <w:p w14:paraId="0207726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 概况</w:t>
            </w:r>
          </w:p>
        </w:tc>
        <w:tc>
          <w:tcPr>
            <w:tcW w:w="4787" w:type="dxa"/>
            <w:gridSpan w:val="3"/>
            <w:tcBorders>
              <w:top w:val="single" w:color="000000" w:sz="4" w:space="0"/>
              <w:left w:val="single" w:color="000000" w:sz="4" w:space="0"/>
              <w:bottom w:val="single" w:color="000000" w:sz="4" w:space="0"/>
              <w:right w:val="single" w:color="000000" w:sz="4" w:space="0"/>
            </w:tcBorders>
            <w:noWrap/>
            <w:vAlign w:val="center"/>
          </w:tcPr>
          <w:p w14:paraId="4056C61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中长期规划（名称、文号，仅指</w:t>
            </w:r>
          </w:p>
          <w:p w14:paraId="25E235F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常年项目）</w:t>
            </w:r>
          </w:p>
        </w:tc>
        <w:tc>
          <w:tcPr>
            <w:tcW w:w="5313" w:type="dxa"/>
            <w:gridSpan w:val="5"/>
            <w:tcBorders>
              <w:top w:val="single" w:color="000000" w:sz="4" w:space="0"/>
              <w:left w:val="single" w:color="000000" w:sz="4" w:space="0"/>
              <w:bottom w:val="single" w:color="000000" w:sz="4" w:space="0"/>
              <w:right w:val="single" w:color="000000" w:sz="4" w:space="0"/>
            </w:tcBorders>
            <w:noWrap/>
            <w:vAlign w:val="center"/>
          </w:tcPr>
          <w:p w14:paraId="26E708A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r>
      <w:tr w14:paraId="1CDF5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002C1B4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4787" w:type="dxa"/>
            <w:gridSpan w:val="3"/>
            <w:tcBorders>
              <w:top w:val="single" w:color="000000" w:sz="4" w:space="0"/>
              <w:left w:val="single" w:color="000000" w:sz="4" w:space="0"/>
              <w:bottom w:val="single" w:color="000000" w:sz="4" w:space="0"/>
              <w:right w:val="single" w:color="000000" w:sz="4" w:space="0"/>
            </w:tcBorders>
            <w:noWrap/>
            <w:vAlign w:val="center"/>
          </w:tcPr>
          <w:p w14:paraId="05D65A4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资金管理办法（名称、文号）</w:t>
            </w:r>
          </w:p>
        </w:tc>
        <w:tc>
          <w:tcPr>
            <w:tcW w:w="5313" w:type="dxa"/>
            <w:gridSpan w:val="5"/>
            <w:tcBorders>
              <w:top w:val="single" w:color="000000" w:sz="4" w:space="0"/>
              <w:left w:val="single" w:color="000000" w:sz="4" w:space="0"/>
              <w:bottom w:val="single" w:color="000000" w:sz="4" w:space="0"/>
              <w:right w:val="single" w:color="000000" w:sz="4" w:space="0"/>
            </w:tcBorders>
            <w:noWrap/>
            <w:vAlign w:val="center"/>
          </w:tcPr>
          <w:p w14:paraId="4A37DFA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省级财政其他民政事业补助资金管理办法（川民发〔2017〕191号</w:t>
            </w:r>
          </w:p>
        </w:tc>
      </w:tr>
      <w:tr w14:paraId="136F6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18408BC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4787" w:type="dxa"/>
            <w:gridSpan w:val="3"/>
            <w:tcBorders>
              <w:top w:val="single" w:color="000000" w:sz="4" w:space="0"/>
              <w:left w:val="single" w:color="000000" w:sz="4" w:space="0"/>
              <w:bottom w:val="single" w:color="000000" w:sz="4" w:space="0"/>
              <w:right w:val="single" w:color="000000" w:sz="4" w:space="0"/>
            </w:tcBorders>
            <w:noWrap/>
            <w:vAlign w:val="center"/>
          </w:tcPr>
          <w:p w14:paraId="0995552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绩效分配方式</w:t>
            </w:r>
          </w:p>
        </w:tc>
        <w:tc>
          <w:tcPr>
            <w:tcW w:w="935" w:type="dxa"/>
            <w:tcBorders>
              <w:top w:val="single" w:color="000000" w:sz="4" w:space="0"/>
              <w:left w:val="single" w:color="000000" w:sz="4" w:space="0"/>
              <w:bottom w:val="single" w:color="000000" w:sz="4" w:space="0"/>
              <w:right w:val="single" w:color="000000" w:sz="4" w:space="0"/>
            </w:tcBorders>
            <w:noWrap/>
            <w:vAlign w:val="center"/>
          </w:tcPr>
          <w:p w14:paraId="6C3F6A9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sym w:font="Wingdings 2" w:char="F0A3"/>
            </w:r>
            <w:r>
              <w:rPr>
                <w:rFonts w:hint="default" w:ascii="Times New Roman" w:hAnsi="Times New Roman" w:eastAsia="方正仿宋_GBK" w:cs="Times New Roman"/>
                <w:color w:val="000000"/>
                <w:kern w:val="0"/>
                <w:sz w:val="21"/>
                <w:szCs w:val="21"/>
                <w:lang w:val="en-US" w:eastAsia="zh-CN" w:bidi="ar"/>
              </w:rPr>
              <w:t>因素法</w:t>
            </w:r>
          </w:p>
        </w:tc>
        <w:tc>
          <w:tcPr>
            <w:tcW w:w="2124" w:type="dxa"/>
            <w:gridSpan w:val="2"/>
            <w:tcBorders>
              <w:top w:val="single" w:color="000000" w:sz="4" w:space="0"/>
              <w:left w:val="single" w:color="000000" w:sz="4" w:space="0"/>
              <w:bottom w:val="single" w:color="000000" w:sz="4" w:space="0"/>
              <w:right w:val="single" w:color="000000" w:sz="4" w:space="0"/>
            </w:tcBorders>
            <w:noWrap/>
            <w:vAlign w:val="center"/>
          </w:tcPr>
          <w:p w14:paraId="7DBD069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sym w:font="Wingdings 2" w:char="F052"/>
            </w:r>
            <w:r>
              <w:rPr>
                <w:rFonts w:hint="default" w:ascii="Times New Roman" w:hAnsi="Times New Roman" w:eastAsia="方正仿宋_GBK" w:cs="Times New Roman"/>
                <w:color w:val="000000"/>
                <w:kern w:val="0"/>
                <w:sz w:val="21"/>
                <w:szCs w:val="21"/>
                <w:lang w:val="en-US" w:eastAsia="zh-CN" w:bidi="ar"/>
              </w:rPr>
              <w:t>项目法</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6830BBA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□据实据效</w:t>
            </w:r>
          </w:p>
        </w:tc>
        <w:tc>
          <w:tcPr>
            <w:tcW w:w="1573" w:type="dxa"/>
            <w:tcBorders>
              <w:top w:val="single" w:color="000000" w:sz="4" w:space="0"/>
              <w:left w:val="single" w:color="000000" w:sz="4" w:space="0"/>
              <w:bottom w:val="single" w:color="000000" w:sz="4" w:space="0"/>
              <w:right w:val="single" w:color="000000" w:sz="4" w:space="0"/>
            </w:tcBorders>
            <w:noWrap/>
            <w:vAlign w:val="center"/>
          </w:tcPr>
          <w:p w14:paraId="005A1BD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sym w:font="Wingdings 2" w:char="F0A3"/>
            </w:r>
            <w:r>
              <w:rPr>
                <w:rFonts w:hint="default" w:ascii="Times New Roman" w:hAnsi="Times New Roman" w:eastAsia="方正仿宋_GBK" w:cs="Times New Roman"/>
                <w:color w:val="000000"/>
                <w:kern w:val="0"/>
                <w:sz w:val="21"/>
                <w:szCs w:val="21"/>
                <w:lang w:val="en-US" w:eastAsia="zh-CN" w:bidi="ar"/>
              </w:rPr>
              <w:t>因素法与项目法相结合</w:t>
            </w:r>
          </w:p>
        </w:tc>
      </w:tr>
      <w:tr w14:paraId="0736B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09520A8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4787" w:type="dxa"/>
            <w:gridSpan w:val="3"/>
            <w:tcBorders>
              <w:top w:val="single" w:color="000000" w:sz="4" w:space="0"/>
              <w:left w:val="single" w:color="000000" w:sz="4" w:space="0"/>
              <w:bottom w:val="single" w:color="000000" w:sz="4" w:space="0"/>
              <w:right w:val="single" w:color="000000" w:sz="4" w:space="0"/>
            </w:tcBorders>
            <w:noWrap/>
            <w:vAlign w:val="center"/>
          </w:tcPr>
          <w:p w14:paraId="4923FE2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立项依据</w:t>
            </w:r>
          </w:p>
        </w:tc>
        <w:tc>
          <w:tcPr>
            <w:tcW w:w="5313" w:type="dxa"/>
            <w:gridSpan w:val="5"/>
            <w:tcBorders>
              <w:top w:val="single" w:color="000000" w:sz="4" w:space="0"/>
              <w:left w:val="single" w:color="000000" w:sz="4" w:space="0"/>
              <w:bottom w:val="single" w:color="000000" w:sz="4" w:space="0"/>
              <w:right w:val="single" w:color="000000" w:sz="4" w:space="0"/>
            </w:tcBorders>
            <w:noWrap/>
            <w:vAlign w:val="center"/>
          </w:tcPr>
          <w:p w14:paraId="615BC6E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依据《四川省民政厅 四川省财政厅关于报送2025年项目的通知》文件要求设立</w:t>
            </w:r>
          </w:p>
        </w:tc>
      </w:tr>
      <w:tr w14:paraId="7027E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4410959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4787" w:type="dxa"/>
            <w:gridSpan w:val="3"/>
            <w:tcBorders>
              <w:top w:val="single" w:color="000000" w:sz="4" w:space="0"/>
              <w:left w:val="single" w:color="000000" w:sz="4" w:space="0"/>
              <w:bottom w:val="single" w:color="000000" w:sz="4" w:space="0"/>
              <w:right w:val="single" w:color="000000" w:sz="4" w:space="0"/>
            </w:tcBorders>
            <w:noWrap/>
            <w:vAlign w:val="center"/>
          </w:tcPr>
          <w:p w14:paraId="2C9E002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适用范围</w:t>
            </w:r>
          </w:p>
        </w:tc>
        <w:tc>
          <w:tcPr>
            <w:tcW w:w="5313" w:type="dxa"/>
            <w:gridSpan w:val="5"/>
            <w:tcBorders>
              <w:top w:val="single" w:color="000000" w:sz="4" w:space="0"/>
              <w:left w:val="single" w:color="000000" w:sz="4" w:space="0"/>
              <w:bottom w:val="single" w:color="000000" w:sz="4" w:space="0"/>
              <w:right w:val="single" w:color="000000" w:sz="4" w:space="0"/>
            </w:tcBorders>
            <w:noWrap/>
            <w:vAlign w:val="center"/>
          </w:tcPr>
          <w:p w14:paraId="07E4FB9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购置环保火化炉2台，完善殡葬设施设备，提升全市殡葬服务能力。</w:t>
            </w:r>
          </w:p>
        </w:tc>
      </w:tr>
      <w:tr w14:paraId="1CCBA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250D1BA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4787" w:type="dxa"/>
            <w:gridSpan w:val="3"/>
            <w:tcBorders>
              <w:top w:val="single" w:color="000000" w:sz="4" w:space="0"/>
              <w:left w:val="single" w:color="000000" w:sz="4" w:space="0"/>
              <w:bottom w:val="single" w:color="000000" w:sz="4" w:space="0"/>
              <w:right w:val="single" w:color="000000" w:sz="4" w:space="0"/>
            </w:tcBorders>
            <w:noWrap/>
            <w:vAlign w:val="center"/>
          </w:tcPr>
          <w:p w14:paraId="0F4D825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申报（补助）条件</w:t>
            </w:r>
          </w:p>
        </w:tc>
        <w:tc>
          <w:tcPr>
            <w:tcW w:w="5313" w:type="dxa"/>
            <w:gridSpan w:val="5"/>
            <w:tcBorders>
              <w:top w:val="single" w:color="000000" w:sz="4" w:space="0"/>
              <w:left w:val="single" w:color="000000" w:sz="4" w:space="0"/>
              <w:bottom w:val="single" w:color="000000" w:sz="4" w:space="0"/>
              <w:right w:val="single" w:color="000000" w:sz="4" w:space="0"/>
            </w:tcBorders>
            <w:noWrap/>
            <w:vAlign w:val="center"/>
          </w:tcPr>
          <w:p w14:paraId="1EFD6D2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w:t>
            </w:r>
          </w:p>
        </w:tc>
      </w:tr>
      <w:tr w14:paraId="786F3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6300DEE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4787" w:type="dxa"/>
            <w:gridSpan w:val="3"/>
            <w:tcBorders>
              <w:top w:val="single" w:color="000000" w:sz="4" w:space="0"/>
              <w:left w:val="single" w:color="000000" w:sz="4" w:space="0"/>
              <w:bottom w:val="single" w:color="000000" w:sz="4" w:space="0"/>
              <w:right w:val="single" w:color="000000" w:sz="4" w:space="0"/>
            </w:tcBorders>
            <w:noWrap/>
            <w:vAlign w:val="center"/>
          </w:tcPr>
          <w:p w14:paraId="4E6A7F4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项目起止年限</w:t>
            </w:r>
          </w:p>
        </w:tc>
        <w:tc>
          <w:tcPr>
            <w:tcW w:w="5313" w:type="dxa"/>
            <w:gridSpan w:val="5"/>
            <w:tcBorders>
              <w:top w:val="single" w:color="000000" w:sz="4" w:space="0"/>
              <w:left w:val="single" w:color="000000" w:sz="4" w:space="0"/>
              <w:bottom w:val="single" w:color="000000" w:sz="4" w:space="0"/>
              <w:right w:val="single" w:color="000000" w:sz="4" w:space="0"/>
            </w:tcBorders>
            <w:noWrap/>
            <w:vAlign w:val="center"/>
          </w:tcPr>
          <w:p w14:paraId="5B0FFEF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2025年6月 - 2027年6月</w:t>
            </w:r>
          </w:p>
        </w:tc>
      </w:tr>
      <w:tr w14:paraId="6B7D0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2"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0A3FF94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项目资金</w:t>
            </w:r>
          </w:p>
          <w:p w14:paraId="666F266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（万元）</w:t>
            </w:r>
          </w:p>
        </w:tc>
        <w:tc>
          <w:tcPr>
            <w:tcW w:w="3707" w:type="dxa"/>
            <w:gridSpan w:val="2"/>
            <w:tcBorders>
              <w:top w:val="single" w:color="000000" w:sz="4" w:space="0"/>
              <w:left w:val="single" w:color="000000" w:sz="4" w:space="0"/>
              <w:bottom w:val="single" w:color="000000" w:sz="4" w:space="0"/>
              <w:right w:val="single" w:color="000000" w:sz="4" w:space="0"/>
            </w:tcBorders>
            <w:noWrap/>
            <w:vAlign w:val="center"/>
          </w:tcPr>
          <w:p w14:paraId="0412266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年度资金总额：</w:t>
            </w:r>
          </w:p>
        </w:tc>
        <w:tc>
          <w:tcPr>
            <w:tcW w:w="5313" w:type="dxa"/>
            <w:gridSpan w:val="5"/>
            <w:tcBorders>
              <w:top w:val="single" w:color="000000" w:sz="4" w:space="0"/>
              <w:left w:val="single" w:color="000000" w:sz="4" w:space="0"/>
              <w:bottom w:val="single" w:color="000000" w:sz="4" w:space="0"/>
              <w:right w:val="single" w:color="000000" w:sz="4" w:space="0"/>
            </w:tcBorders>
            <w:noWrap/>
            <w:vAlign w:val="center"/>
          </w:tcPr>
          <w:p w14:paraId="062C5C2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200</w:t>
            </w:r>
          </w:p>
        </w:tc>
      </w:tr>
      <w:tr w14:paraId="28827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007DCB4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3707" w:type="dxa"/>
            <w:gridSpan w:val="2"/>
            <w:tcBorders>
              <w:top w:val="single" w:color="000000" w:sz="4" w:space="0"/>
              <w:left w:val="single" w:color="000000" w:sz="4" w:space="0"/>
              <w:bottom w:val="single" w:color="000000" w:sz="4" w:space="0"/>
              <w:right w:val="single" w:color="000000" w:sz="4" w:space="0"/>
            </w:tcBorders>
            <w:noWrap/>
            <w:vAlign w:val="center"/>
          </w:tcPr>
          <w:p w14:paraId="63655C8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其中：财政拨款</w:t>
            </w:r>
          </w:p>
        </w:tc>
        <w:tc>
          <w:tcPr>
            <w:tcW w:w="5313" w:type="dxa"/>
            <w:gridSpan w:val="5"/>
            <w:tcBorders>
              <w:top w:val="single" w:color="000000" w:sz="4" w:space="0"/>
              <w:left w:val="single" w:color="000000" w:sz="4" w:space="0"/>
              <w:bottom w:val="single" w:color="000000" w:sz="4" w:space="0"/>
              <w:right w:val="single" w:color="000000" w:sz="4" w:space="0"/>
            </w:tcBorders>
            <w:noWrap/>
            <w:vAlign w:val="center"/>
          </w:tcPr>
          <w:p w14:paraId="59A590B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200</w:t>
            </w:r>
          </w:p>
        </w:tc>
      </w:tr>
      <w:tr w14:paraId="4D9E5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022C6CB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3707" w:type="dxa"/>
            <w:gridSpan w:val="2"/>
            <w:tcBorders>
              <w:top w:val="single" w:color="000000" w:sz="4" w:space="0"/>
              <w:left w:val="single" w:color="000000" w:sz="4" w:space="0"/>
              <w:bottom w:val="single" w:color="000000" w:sz="4" w:space="0"/>
              <w:right w:val="single" w:color="000000" w:sz="4" w:space="0"/>
            </w:tcBorders>
            <w:noWrap/>
            <w:vAlign w:val="center"/>
          </w:tcPr>
          <w:p w14:paraId="1286133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其他资金</w:t>
            </w:r>
          </w:p>
        </w:tc>
        <w:tc>
          <w:tcPr>
            <w:tcW w:w="5313" w:type="dxa"/>
            <w:gridSpan w:val="5"/>
            <w:tcBorders>
              <w:top w:val="single" w:color="000000" w:sz="4" w:space="0"/>
              <w:left w:val="single" w:color="000000" w:sz="4" w:space="0"/>
              <w:bottom w:val="single" w:color="000000" w:sz="4" w:space="0"/>
              <w:right w:val="single" w:color="000000" w:sz="4" w:space="0"/>
            </w:tcBorders>
            <w:noWrap/>
            <w:vAlign w:val="center"/>
          </w:tcPr>
          <w:p w14:paraId="5A290E6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0</w:t>
            </w:r>
          </w:p>
        </w:tc>
      </w:tr>
      <w:tr w14:paraId="39FF6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ign w:val="center"/>
          </w:tcPr>
          <w:p w14:paraId="689F8A5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总体 目标</w:t>
            </w:r>
          </w:p>
        </w:tc>
        <w:tc>
          <w:tcPr>
            <w:tcW w:w="10100" w:type="dxa"/>
            <w:gridSpan w:val="8"/>
            <w:tcBorders>
              <w:top w:val="single" w:color="000000" w:sz="4" w:space="0"/>
              <w:left w:val="single" w:color="000000" w:sz="4" w:space="0"/>
              <w:bottom w:val="single" w:color="000000" w:sz="4" w:space="0"/>
              <w:right w:val="single" w:color="000000" w:sz="4" w:space="0"/>
            </w:tcBorders>
            <w:noWrap/>
            <w:vAlign w:val="center"/>
          </w:tcPr>
          <w:p w14:paraId="57115B0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年度目标</w:t>
            </w:r>
          </w:p>
        </w:tc>
      </w:tr>
      <w:tr w14:paraId="78366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auto" w:sz="4" w:space="0"/>
              <w:right w:val="single" w:color="000000" w:sz="4" w:space="0"/>
            </w:tcBorders>
            <w:noWrap/>
            <w:vAlign w:val="center"/>
          </w:tcPr>
          <w:p w14:paraId="4E5A97A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0100" w:type="dxa"/>
            <w:gridSpan w:val="8"/>
            <w:tcBorders>
              <w:top w:val="single" w:color="000000" w:sz="4" w:space="0"/>
              <w:left w:val="single" w:color="000000" w:sz="4" w:space="0"/>
              <w:bottom w:val="single" w:color="000000" w:sz="4" w:space="0"/>
              <w:right w:val="single" w:color="000000" w:sz="4" w:space="0"/>
            </w:tcBorders>
            <w:noWrap/>
            <w:vAlign w:val="center"/>
          </w:tcPr>
          <w:p w14:paraId="6AC66CD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完成2台环保火化炉购置。</w:t>
            </w:r>
          </w:p>
        </w:tc>
      </w:tr>
      <w:tr w14:paraId="51819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auto" w:sz="4" w:space="0"/>
              <w:left w:val="single" w:color="auto" w:sz="4" w:space="0"/>
              <w:bottom w:val="single" w:color="auto" w:sz="4" w:space="0"/>
              <w:right w:val="single" w:color="auto" w:sz="4" w:space="0"/>
            </w:tcBorders>
            <w:noWrap/>
            <w:vAlign w:val="center"/>
          </w:tcPr>
          <w:p w14:paraId="5BC9C63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绩效 指标</w:t>
            </w:r>
          </w:p>
        </w:tc>
        <w:tc>
          <w:tcPr>
            <w:tcW w:w="1081" w:type="dxa"/>
            <w:tcBorders>
              <w:top w:val="single" w:color="auto" w:sz="4" w:space="0"/>
              <w:left w:val="single" w:color="auto" w:sz="4" w:space="0"/>
              <w:bottom w:val="single" w:color="auto" w:sz="4" w:space="0"/>
              <w:right w:val="single" w:color="auto" w:sz="4" w:space="0"/>
            </w:tcBorders>
            <w:noWrap/>
            <w:vAlign w:val="center"/>
          </w:tcPr>
          <w:p w14:paraId="491B46D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一级指标</w:t>
            </w:r>
          </w:p>
        </w:tc>
        <w:tc>
          <w:tcPr>
            <w:tcW w:w="977" w:type="dxa"/>
            <w:tcBorders>
              <w:top w:val="single" w:color="auto" w:sz="4" w:space="0"/>
              <w:left w:val="single" w:color="auto" w:sz="4" w:space="0"/>
              <w:bottom w:val="single" w:color="auto" w:sz="4" w:space="0"/>
              <w:right w:val="single" w:color="auto" w:sz="4" w:space="0"/>
            </w:tcBorders>
            <w:noWrap/>
            <w:vAlign w:val="center"/>
          </w:tcPr>
          <w:p w14:paraId="3FBFA02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二级指标</w:t>
            </w:r>
          </w:p>
        </w:tc>
        <w:tc>
          <w:tcPr>
            <w:tcW w:w="2730" w:type="dxa"/>
            <w:tcBorders>
              <w:top w:val="single" w:color="auto" w:sz="4" w:space="0"/>
              <w:left w:val="single" w:color="auto" w:sz="4" w:space="0"/>
              <w:bottom w:val="single" w:color="auto" w:sz="4" w:space="0"/>
              <w:right w:val="single" w:color="auto" w:sz="4" w:space="0"/>
            </w:tcBorders>
            <w:noWrap/>
            <w:vAlign w:val="center"/>
          </w:tcPr>
          <w:p w14:paraId="477FF4A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三级指标</w:t>
            </w:r>
          </w:p>
        </w:tc>
        <w:tc>
          <w:tcPr>
            <w:tcW w:w="935" w:type="dxa"/>
            <w:tcBorders>
              <w:top w:val="single" w:color="auto" w:sz="4" w:space="0"/>
              <w:left w:val="single" w:color="auto" w:sz="4" w:space="0"/>
              <w:bottom w:val="single" w:color="auto" w:sz="4" w:space="0"/>
              <w:right w:val="single" w:color="auto" w:sz="4" w:space="0"/>
            </w:tcBorders>
            <w:noWrap/>
            <w:vAlign w:val="center"/>
          </w:tcPr>
          <w:p w14:paraId="2C561D8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指标性质</w:t>
            </w:r>
          </w:p>
        </w:tc>
        <w:tc>
          <w:tcPr>
            <w:tcW w:w="895" w:type="dxa"/>
            <w:tcBorders>
              <w:top w:val="single" w:color="000000" w:sz="4" w:space="0"/>
              <w:left w:val="single" w:color="auto" w:sz="4" w:space="0"/>
              <w:bottom w:val="single" w:color="000000" w:sz="4" w:space="0"/>
              <w:right w:val="single" w:color="000000" w:sz="4" w:space="0"/>
            </w:tcBorders>
            <w:noWrap/>
            <w:vAlign w:val="center"/>
          </w:tcPr>
          <w:p w14:paraId="2F0A1D0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指标值</w:t>
            </w:r>
          </w:p>
        </w:tc>
        <w:tc>
          <w:tcPr>
            <w:tcW w:w="1230" w:type="dxa"/>
            <w:tcBorders>
              <w:top w:val="single" w:color="000000" w:sz="4" w:space="0"/>
              <w:left w:val="single" w:color="000000" w:sz="4" w:space="0"/>
              <w:bottom w:val="single" w:color="000000" w:sz="4" w:space="0"/>
              <w:right w:val="single" w:color="000000" w:sz="4" w:space="0"/>
            </w:tcBorders>
            <w:noWrap/>
            <w:vAlign w:val="center"/>
          </w:tcPr>
          <w:p w14:paraId="5B9200B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度量单位</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54A0D0D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权重</w:t>
            </w:r>
          </w:p>
        </w:tc>
        <w:tc>
          <w:tcPr>
            <w:tcW w:w="1573" w:type="dxa"/>
            <w:tcBorders>
              <w:top w:val="single" w:color="000000" w:sz="4" w:space="0"/>
              <w:left w:val="single" w:color="000000" w:sz="4" w:space="0"/>
              <w:bottom w:val="single" w:color="000000" w:sz="4" w:space="0"/>
              <w:right w:val="single" w:color="000000" w:sz="4" w:space="0"/>
            </w:tcBorders>
            <w:noWrap/>
            <w:vAlign w:val="center"/>
          </w:tcPr>
          <w:p w14:paraId="2267B66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实际完成指标值</w:t>
            </w:r>
          </w:p>
        </w:tc>
      </w:tr>
      <w:tr w14:paraId="22B6E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ign w:val="center"/>
          </w:tcPr>
          <w:p w14:paraId="038010A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081" w:type="dxa"/>
            <w:vMerge w:val="restart"/>
            <w:tcBorders>
              <w:top w:val="single" w:color="auto" w:sz="4" w:space="0"/>
              <w:left w:val="single" w:color="auto" w:sz="4" w:space="0"/>
              <w:bottom w:val="single" w:color="auto" w:sz="4" w:space="0"/>
              <w:right w:val="single" w:color="auto" w:sz="4" w:space="0"/>
            </w:tcBorders>
            <w:noWrap/>
            <w:vAlign w:val="center"/>
          </w:tcPr>
          <w:p w14:paraId="15E0136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产出指标</w:t>
            </w:r>
          </w:p>
        </w:tc>
        <w:tc>
          <w:tcPr>
            <w:tcW w:w="977" w:type="dxa"/>
            <w:tcBorders>
              <w:top w:val="single" w:color="auto" w:sz="4" w:space="0"/>
              <w:left w:val="single" w:color="auto" w:sz="4" w:space="0"/>
              <w:bottom w:val="single" w:color="auto" w:sz="4" w:space="0"/>
              <w:right w:val="single" w:color="auto" w:sz="4" w:space="0"/>
            </w:tcBorders>
            <w:noWrap/>
            <w:vAlign w:val="center"/>
          </w:tcPr>
          <w:p w14:paraId="7123519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数量指标</w:t>
            </w:r>
          </w:p>
        </w:tc>
        <w:tc>
          <w:tcPr>
            <w:tcW w:w="2730" w:type="dxa"/>
            <w:tcBorders>
              <w:top w:val="single" w:color="auto" w:sz="4" w:space="0"/>
              <w:left w:val="single" w:color="auto" w:sz="4" w:space="0"/>
              <w:bottom w:val="single" w:color="auto" w:sz="4" w:space="0"/>
              <w:right w:val="single" w:color="auto" w:sz="4" w:space="0"/>
            </w:tcBorders>
            <w:noWrap/>
            <w:vAlign w:val="center"/>
          </w:tcPr>
          <w:p w14:paraId="0BA92E3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购置设备数量</w:t>
            </w:r>
          </w:p>
        </w:tc>
        <w:tc>
          <w:tcPr>
            <w:tcW w:w="935" w:type="dxa"/>
            <w:tcBorders>
              <w:top w:val="single" w:color="auto" w:sz="4" w:space="0"/>
              <w:left w:val="single" w:color="auto" w:sz="4" w:space="0"/>
              <w:bottom w:val="single" w:color="auto" w:sz="4" w:space="0"/>
              <w:right w:val="single" w:color="auto" w:sz="4" w:space="0"/>
            </w:tcBorders>
            <w:noWrap/>
            <w:vAlign w:val="center"/>
          </w:tcPr>
          <w:p w14:paraId="2A6F98B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w:t>
            </w:r>
          </w:p>
        </w:tc>
        <w:tc>
          <w:tcPr>
            <w:tcW w:w="895" w:type="dxa"/>
            <w:tcBorders>
              <w:top w:val="single" w:color="000000" w:sz="4" w:space="0"/>
              <w:left w:val="single" w:color="auto" w:sz="4" w:space="0"/>
              <w:bottom w:val="single" w:color="000000" w:sz="4" w:space="0"/>
              <w:right w:val="single" w:color="000000" w:sz="4" w:space="0"/>
            </w:tcBorders>
            <w:noWrap/>
            <w:vAlign w:val="center"/>
          </w:tcPr>
          <w:p w14:paraId="738BEBE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2</w:t>
            </w:r>
          </w:p>
        </w:tc>
        <w:tc>
          <w:tcPr>
            <w:tcW w:w="1230" w:type="dxa"/>
            <w:tcBorders>
              <w:top w:val="single" w:color="000000" w:sz="4" w:space="0"/>
              <w:left w:val="single" w:color="000000" w:sz="4" w:space="0"/>
              <w:bottom w:val="single" w:color="000000" w:sz="4" w:space="0"/>
              <w:right w:val="single" w:color="000000" w:sz="4" w:space="0"/>
            </w:tcBorders>
            <w:noWrap/>
            <w:vAlign w:val="center"/>
          </w:tcPr>
          <w:p w14:paraId="6F2CC36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台</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7C3C819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573" w:type="dxa"/>
            <w:tcBorders>
              <w:top w:val="single" w:color="000000" w:sz="4" w:space="0"/>
              <w:left w:val="single" w:color="000000" w:sz="4" w:space="0"/>
              <w:bottom w:val="single" w:color="000000" w:sz="4" w:space="0"/>
              <w:right w:val="single" w:color="000000" w:sz="4" w:space="0"/>
            </w:tcBorders>
            <w:noWrap/>
            <w:vAlign w:val="center"/>
          </w:tcPr>
          <w:p w14:paraId="5E7DCF6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2台</w:t>
            </w:r>
          </w:p>
        </w:tc>
      </w:tr>
      <w:tr w14:paraId="08835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ign w:val="center"/>
          </w:tcPr>
          <w:p w14:paraId="587A483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081" w:type="dxa"/>
            <w:vMerge w:val="continue"/>
            <w:tcBorders>
              <w:top w:val="single" w:color="auto" w:sz="4" w:space="0"/>
              <w:left w:val="single" w:color="auto" w:sz="4" w:space="0"/>
              <w:bottom w:val="single" w:color="auto" w:sz="4" w:space="0"/>
              <w:right w:val="single" w:color="auto" w:sz="4" w:space="0"/>
            </w:tcBorders>
            <w:noWrap/>
            <w:vAlign w:val="center"/>
          </w:tcPr>
          <w:p w14:paraId="5CADA3E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977" w:type="dxa"/>
            <w:tcBorders>
              <w:top w:val="single" w:color="auto" w:sz="4" w:space="0"/>
              <w:left w:val="single" w:color="auto" w:sz="4" w:space="0"/>
              <w:bottom w:val="single" w:color="auto" w:sz="4" w:space="0"/>
              <w:right w:val="single" w:color="auto" w:sz="4" w:space="0"/>
            </w:tcBorders>
            <w:noWrap/>
            <w:vAlign w:val="center"/>
          </w:tcPr>
          <w:p w14:paraId="51DEFBF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时效指标</w:t>
            </w:r>
          </w:p>
        </w:tc>
        <w:tc>
          <w:tcPr>
            <w:tcW w:w="2730" w:type="dxa"/>
            <w:tcBorders>
              <w:top w:val="single" w:color="auto" w:sz="4" w:space="0"/>
              <w:left w:val="single" w:color="auto" w:sz="4" w:space="0"/>
              <w:bottom w:val="single" w:color="auto" w:sz="4" w:space="0"/>
              <w:right w:val="single" w:color="auto" w:sz="4" w:space="0"/>
            </w:tcBorders>
            <w:noWrap/>
            <w:vAlign w:val="center"/>
          </w:tcPr>
          <w:p w14:paraId="7E6EA56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经费拨付及时率</w:t>
            </w:r>
          </w:p>
        </w:tc>
        <w:tc>
          <w:tcPr>
            <w:tcW w:w="935" w:type="dxa"/>
            <w:tcBorders>
              <w:top w:val="single" w:color="auto" w:sz="4" w:space="0"/>
              <w:left w:val="single" w:color="auto" w:sz="4" w:space="0"/>
              <w:bottom w:val="single" w:color="auto" w:sz="4" w:space="0"/>
              <w:right w:val="single" w:color="auto" w:sz="4" w:space="0"/>
            </w:tcBorders>
            <w:noWrap/>
            <w:vAlign w:val="center"/>
          </w:tcPr>
          <w:p w14:paraId="58A6641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w:t>
            </w:r>
          </w:p>
        </w:tc>
        <w:tc>
          <w:tcPr>
            <w:tcW w:w="895" w:type="dxa"/>
            <w:tcBorders>
              <w:top w:val="single" w:color="000000" w:sz="4" w:space="0"/>
              <w:left w:val="single" w:color="auto" w:sz="4" w:space="0"/>
              <w:bottom w:val="single" w:color="000000" w:sz="4" w:space="0"/>
              <w:right w:val="single" w:color="000000" w:sz="4" w:space="0"/>
            </w:tcBorders>
            <w:noWrap/>
            <w:vAlign w:val="center"/>
          </w:tcPr>
          <w:p w14:paraId="15EB88C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90</w:t>
            </w:r>
          </w:p>
        </w:tc>
        <w:tc>
          <w:tcPr>
            <w:tcW w:w="1230" w:type="dxa"/>
            <w:tcBorders>
              <w:top w:val="single" w:color="000000" w:sz="4" w:space="0"/>
              <w:left w:val="single" w:color="000000" w:sz="4" w:space="0"/>
              <w:bottom w:val="single" w:color="000000" w:sz="4" w:space="0"/>
              <w:right w:val="single" w:color="000000" w:sz="4" w:space="0"/>
            </w:tcBorders>
            <w:noWrap/>
            <w:vAlign w:val="center"/>
          </w:tcPr>
          <w:p w14:paraId="7EC1116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2A30408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573" w:type="dxa"/>
            <w:tcBorders>
              <w:top w:val="single" w:color="000000" w:sz="4" w:space="0"/>
              <w:left w:val="single" w:color="000000" w:sz="4" w:space="0"/>
              <w:bottom w:val="single" w:color="000000" w:sz="4" w:space="0"/>
              <w:right w:val="single" w:color="000000" w:sz="4" w:space="0"/>
            </w:tcBorders>
            <w:noWrap/>
            <w:vAlign w:val="center"/>
          </w:tcPr>
          <w:p w14:paraId="63626E6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100%</w:t>
            </w:r>
          </w:p>
        </w:tc>
      </w:tr>
      <w:tr w14:paraId="15678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ign w:val="center"/>
          </w:tcPr>
          <w:p w14:paraId="70DBF46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081" w:type="dxa"/>
            <w:tcBorders>
              <w:top w:val="single" w:color="auto" w:sz="4" w:space="0"/>
              <w:left w:val="single" w:color="auto" w:sz="4" w:space="0"/>
              <w:bottom w:val="single" w:color="auto" w:sz="4" w:space="0"/>
              <w:right w:val="single" w:color="auto" w:sz="4" w:space="0"/>
            </w:tcBorders>
            <w:noWrap/>
            <w:vAlign w:val="center"/>
          </w:tcPr>
          <w:p w14:paraId="6C3A0BC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效益指标</w:t>
            </w:r>
          </w:p>
        </w:tc>
        <w:tc>
          <w:tcPr>
            <w:tcW w:w="977" w:type="dxa"/>
            <w:tcBorders>
              <w:top w:val="single" w:color="auto" w:sz="4" w:space="0"/>
              <w:left w:val="single" w:color="auto" w:sz="4" w:space="0"/>
              <w:bottom w:val="single" w:color="auto" w:sz="4" w:space="0"/>
              <w:right w:val="single" w:color="auto" w:sz="4" w:space="0"/>
            </w:tcBorders>
            <w:noWrap/>
            <w:vAlign w:val="center"/>
          </w:tcPr>
          <w:p w14:paraId="015F873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社会效益指标</w:t>
            </w:r>
          </w:p>
        </w:tc>
        <w:tc>
          <w:tcPr>
            <w:tcW w:w="2730" w:type="dxa"/>
            <w:tcBorders>
              <w:top w:val="single" w:color="auto" w:sz="4" w:space="0"/>
              <w:left w:val="single" w:color="auto" w:sz="4" w:space="0"/>
              <w:bottom w:val="single" w:color="auto" w:sz="4" w:space="0"/>
              <w:right w:val="single" w:color="auto" w:sz="4" w:space="0"/>
            </w:tcBorders>
            <w:noWrap/>
            <w:vAlign w:val="center"/>
          </w:tcPr>
          <w:p w14:paraId="11062D2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符合条件的受助对象幸福感</w:t>
            </w:r>
          </w:p>
        </w:tc>
        <w:tc>
          <w:tcPr>
            <w:tcW w:w="935" w:type="dxa"/>
            <w:tcBorders>
              <w:top w:val="single" w:color="auto" w:sz="4" w:space="0"/>
              <w:left w:val="single" w:color="auto" w:sz="4" w:space="0"/>
              <w:bottom w:val="single" w:color="auto" w:sz="4" w:space="0"/>
              <w:right w:val="single" w:color="auto" w:sz="4" w:space="0"/>
            </w:tcBorders>
            <w:noWrap/>
            <w:vAlign w:val="center"/>
          </w:tcPr>
          <w:p w14:paraId="42F7FEF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定性</w:t>
            </w:r>
          </w:p>
        </w:tc>
        <w:tc>
          <w:tcPr>
            <w:tcW w:w="895" w:type="dxa"/>
            <w:tcBorders>
              <w:top w:val="single" w:color="000000" w:sz="4" w:space="0"/>
              <w:left w:val="single" w:color="auto" w:sz="4" w:space="0"/>
              <w:bottom w:val="single" w:color="000000" w:sz="4" w:space="0"/>
              <w:right w:val="single" w:color="000000" w:sz="4" w:space="0"/>
            </w:tcBorders>
            <w:noWrap/>
            <w:vAlign w:val="center"/>
          </w:tcPr>
          <w:p w14:paraId="6A9E298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显著提升</w:t>
            </w:r>
          </w:p>
        </w:tc>
        <w:tc>
          <w:tcPr>
            <w:tcW w:w="1230" w:type="dxa"/>
            <w:tcBorders>
              <w:top w:val="single" w:color="000000" w:sz="4" w:space="0"/>
              <w:left w:val="single" w:color="000000" w:sz="4" w:space="0"/>
              <w:bottom w:val="single" w:color="000000" w:sz="4" w:space="0"/>
              <w:right w:val="single" w:color="000000" w:sz="4" w:space="0"/>
            </w:tcBorders>
            <w:noWrap/>
            <w:vAlign w:val="center"/>
          </w:tcPr>
          <w:p w14:paraId="1FEE125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等级（显著/一般/无）</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5E44422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573" w:type="dxa"/>
            <w:tcBorders>
              <w:top w:val="single" w:color="000000" w:sz="4" w:space="0"/>
              <w:left w:val="single" w:color="000000" w:sz="4" w:space="0"/>
              <w:bottom w:val="single" w:color="000000" w:sz="4" w:space="0"/>
              <w:right w:val="single" w:color="000000" w:sz="4" w:space="0"/>
            </w:tcBorders>
            <w:noWrap/>
            <w:vAlign w:val="center"/>
          </w:tcPr>
          <w:p w14:paraId="151EEB0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显著提升</w:t>
            </w:r>
          </w:p>
        </w:tc>
      </w:tr>
      <w:tr w14:paraId="6D6D6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ign w:val="center"/>
          </w:tcPr>
          <w:p w14:paraId="794387C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081" w:type="dxa"/>
            <w:tcBorders>
              <w:top w:val="single" w:color="auto" w:sz="4" w:space="0"/>
              <w:left w:val="single" w:color="auto" w:sz="4" w:space="0"/>
              <w:bottom w:val="single" w:color="auto" w:sz="4" w:space="0"/>
              <w:right w:val="single" w:color="auto" w:sz="4" w:space="0"/>
            </w:tcBorders>
            <w:noWrap/>
            <w:vAlign w:val="center"/>
          </w:tcPr>
          <w:p w14:paraId="69DA762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满意度</w:t>
            </w:r>
          </w:p>
          <w:p w14:paraId="698A3E3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指标</w:t>
            </w:r>
          </w:p>
        </w:tc>
        <w:tc>
          <w:tcPr>
            <w:tcW w:w="977" w:type="dxa"/>
            <w:tcBorders>
              <w:top w:val="single" w:color="auto" w:sz="4" w:space="0"/>
              <w:left w:val="single" w:color="auto" w:sz="4" w:space="0"/>
              <w:bottom w:val="single" w:color="auto" w:sz="4" w:space="0"/>
              <w:right w:val="single" w:color="auto" w:sz="4" w:space="0"/>
            </w:tcBorders>
            <w:noWrap/>
            <w:vAlign w:val="center"/>
          </w:tcPr>
          <w:p w14:paraId="048886C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服务对象满意度指标</w:t>
            </w:r>
          </w:p>
        </w:tc>
        <w:tc>
          <w:tcPr>
            <w:tcW w:w="2730" w:type="dxa"/>
            <w:tcBorders>
              <w:top w:val="single" w:color="auto" w:sz="4" w:space="0"/>
              <w:left w:val="single" w:color="auto" w:sz="4" w:space="0"/>
              <w:bottom w:val="single" w:color="auto" w:sz="4" w:space="0"/>
              <w:right w:val="single" w:color="auto" w:sz="4" w:space="0"/>
            </w:tcBorders>
            <w:noWrap/>
            <w:vAlign w:val="center"/>
          </w:tcPr>
          <w:p w14:paraId="531B91D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群众满意度</w:t>
            </w:r>
          </w:p>
        </w:tc>
        <w:tc>
          <w:tcPr>
            <w:tcW w:w="935" w:type="dxa"/>
            <w:tcBorders>
              <w:top w:val="single" w:color="auto" w:sz="4" w:space="0"/>
              <w:left w:val="single" w:color="auto" w:sz="4" w:space="0"/>
              <w:bottom w:val="single" w:color="auto" w:sz="4" w:space="0"/>
              <w:right w:val="single" w:color="auto" w:sz="4" w:space="0"/>
            </w:tcBorders>
            <w:noWrap/>
            <w:vAlign w:val="center"/>
          </w:tcPr>
          <w:p w14:paraId="4DB1804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w:t>
            </w:r>
          </w:p>
        </w:tc>
        <w:tc>
          <w:tcPr>
            <w:tcW w:w="895" w:type="dxa"/>
            <w:tcBorders>
              <w:top w:val="single" w:color="000000" w:sz="4" w:space="0"/>
              <w:left w:val="single" w:color="auto" w:sz="4" w:space="0"/>
              <w:bottom w:val="single" w:color="000000" w:sz="4" w:space="0"/>
              <w:right w:val="single" w:color="000000" w:sz="4" w:space="0"/>
            </w:tcBorders>
            <w:noWrap/>
            <w:vAlign w:val="center"/>
          </w:tcPr>
          <w:p w14:paraId="62FB554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90</w:t>
            </w:r>
          </w:p>
        </w:tc>
        <w:tc>
          <w:tcPr>
            <w:tcW w:w="1230" w:type="dxa"/>
            <w:tcBorders>
              <w:top w:val="single" w:color="000000" w:sz="4" w:space="0"/>
              <w:left w:val="single" w:color="000000" w:sz="4" w:space="0"/>
              <w:bottom w:val="single" w:color="000000" w:sz="4" w:space="0"/>
              <w:right w:val="single" w:color="000000" w:sz="4" w:space="0"/>
            </w:tcBorders>
            <w:noWrap/>
            <w:vAlign w:val="center"/>
          </w:tcPr>
          <w:p w14:paraId="5FA7022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20206C6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573" w:type="dxa"/>
            <w:tcBorders>
              <w:top w:val="single" w:color="000000" w:sz="4" w:space="0"/>
              <w:left w:val="single" w:color="000000" w:sz="4" w:space="0"/>
              <w:bottom w:val="single" w:color="000000" w:sz="4" w:space="0"/>
              <w:right w:val="single" w:color="000000" w:sz="4" w:space="0"/>
            </w:tcBorders>
            <w:noWrap/>
            <w:vAlign w:val="center"/>
          </w:tcPr>
          <w:p w14:paraId="42E10F0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100%</w:t>
            </w:r>
          </w:p>
        </w:tc>
      </w:tr>
    </w:tbl>
    <w:p w14:paraId="78C32EE0">
      <w:pPr>
        <w:keepNext w:val="0"/>
        <w:keepLines w:val="0"/>
        <w:pageBreakBefore w:val="0"/>
        <w:widowControl w:val="0"/>
        <w:suppressLineNumbers w:val="0"/>
        <w:suppressAutoHyphens w:val="0"/>
        <w:kinsoku/>
        <w:wordWrap/>
        <w:overflowPunct/>
        <w:topLinePunct w:val="0"/>
        <w:autoSpaceDE/>
        <w:bidi w:val="0"/>
        <w:spacing w:line="560" w:lineRule="exact"/>
        <w:rPr>
          <w:rFonts w:hint="default" w:ascii="Times New Roman" w:hAnsi="Times New Roman" w:cs="Times New Roman"/>
          <w:sz w:val="21"/>
          <w:szCs w:val="21"/>
        </w:rPr>
      </w:pPr>
    </w:p>
    <w:p w14:paraId="2F44D444">
      <w:pPr>
        <w:keepNext w:val="0"/>
        <w:keepLines w:val="0"/>
        <w:pageBreakBefore w:val="0"/>
        <w:widowControl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黑体" w:cs="Times New Roman"/>
          <w:b w:val="0"/>
          <w:bCs w:val="0"/>
          <w:color w:val="auto"/>
          <w:kern w:val="0"/>
          <w:sz w:val="21"/>
          <w:szCs w:val="21"/>
          <w:highlight w:val="none"/>
          <w:u w:val="none"/>
          <w:shd w:val="clear" w:color="auto" w:fill="FFFFFF"/>
          <w:lang w:val="zh-CN" w:eastAsia="zh-CN"/>
        </w:rPr>
      </w:pPr>
    </w:p>
    <w:p w14:paraId="5795799F">
      <w:pP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r>
        <w:rPr>
          <w:rFonts w:hint="default" w:ascii="Times New Roman" w:hAnsi="Times New Roman" w:eastAsia="黑体" w:cs="Times New Roman"/>
          <w:b w:val="0"/>
          <w:bCs w:val="0"/>
          <w:color w:val="auto"/>
          <w:kern w:val="0"/>
          <w:sz w:val="21"/>
          <w:szCs w:val="21"/>
          <w:highlight w:val="none"/>
          <w:u w:val="none"/>
          <w:shd w:val="clear" w:color="auto" w:fill="FFFFFF"/>
          <w:lang w:val="zh-CN" w:eastAsia="zh-CN"/>
        </w:rPr>
        <w:br w:type="page"/>
      </w:r>
    </w:p>
    <w:p w14:paraId="672428A8">
      <w:pPr>
        <w:keepNext w:val="0"/>
        <w:keepLines w:val="0"/>
        <w:pageBreakBefore w:val="0"/>
        <w:widowControl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3-9</w:t>
      </w:r>
    </w:p>
    <w:tbl>
      <w:tblPr>
        <w:tblStyle w:val="17"/>
        <w:tblW w:w="1075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977"/>
        <w:gridCol w:w="2730"/>
        <w:gridCol w:w="935"/>
        <w:gridCol w:w="895"/>
        <w:gridCol w:w="1230"/>
        <w:gridCol w:w="680"/>
        <w:gridCol w:w="1573"/>
      </w:tblGrid>
      <w:tr w14:paraId="2D17D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752" w:type="dxa"/>
            <w:gridSpan w:val="9"/>
            <w:noWrap/>
            <w:vAlign w:val="center"/>
          </w:tcPr>
          <w:p w14:paraId="6A9CEFB5">
            <w:pPr>
              <w:keepNext w:val="0"/>
              <w:keepLines w:val="0"/>
              <w:pageBreakBefore w:val="0"/>
              <w:widowControl/>
              <w:suppressLineNumbers w:val="0"/>
              <w:kinsoku/>
              <w:wordWrap/>
              <w:overflowPunct/>
              <w:topLinePunct w:val="0"/>
              <w:autoSpaceDE/>
              <w:autoSpaceDN/>
              <w:bidi w:val="0"/>
              <w:adjustRightInd/>
              <w:snapToGrid/>
              <w:spacing w:line="560" w:lineRule="exact"/>
              <w:ind w:left="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_GBK" w:cs="Times New Roman"/>
                <w:i w:val="0"/>
                <w:color w:val="000000"/>
                <w:kern w:val="0"/>
                <w:sz w:val="40"/>
                <w:szCs w:val="40"/>
                <w:u w:val="none"/>
                <w:lang w:val="en-US" w:eastAsia="zh-CN"/>
              </w:rPr>
              <w:t>专项预算项目绩效目标完成情况自评表</w:t>
            </w:r>
          </w:p>
        </w:tc>
      </w:tr>
      <w:tr w14:paraId="6142C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5440" w:type="dxa"/>
            <w:gridSpan w:val="4"/>
            <w:tcBorders>
              <w:top w:val="single" w:color="000000" w:sz="4" w:space="0"/>
              <w:left w:val="single" w:color="000000" w:sz="4" w:space="0"/>
              <w:bottom w:val="single" w:color="000000" w:sz="4" w:space="0"/>
              <w:right w:val="single" w:color="000000" w:sz="4" w:space="0"/>
            </w:tcBorders>
            <w:noWrap/>
            <w:vAlign w:val="center"/>
          </w:tcPr>
          <w:p w14:paraId="45A3DF1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项目名称</w:t>
            </w:r>
          </w:p>
        </w:tc>
        <w:tc>
          <w:tcPr>
            <w:tcW w:w="5313" w:type="dxa"/>
            <w:gridSpan w:val="5"/>
            <w:tcBorders>
              <w:top w:val="single" w:color="000000" w:sz="4" w:space="0"/>
              <w:left w:val="single" w:color="000000" w:sz="4" w:space="0"/>
              <w:bottom w:val="single" w:color="000000" w:sz="4" w:space="0"/>
              <w:right w:val="single" w:color="000000" w:sz="4" w:space="0"/>
            </w:tcBorders>
            <w:noWrap/>
            <w:vAlign w:val="center"/>
          </w:tcPr>
          <w:p w14:paraId="4E8808C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西区“文明婚俗”提升行动项目</w:t>
            </w:r>
          </w:p>
        </w:tc>
      </w:tr>
      <w:tr w14:paraId="424B6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5440" w:type="dxa"/>
            <w:gridSpan w:val="4"/>
            <w:tcBorders>
              <w:top w:val="single" w:color="000000" w:sz="4" w:space="0"/>
              <w:left w:val="single" w:color="000000" w:sz="4" w:space="0"/>
              <w:bottom w:val="single" w:color="000000" w:sz="4" w:space="0"/>
              <w:right w:val="single" w:color="000000" w:sz="4" w:space="0"/>
            </w:tcBorders>
            <w:noWrap/>
            <w:vAlign w:val="center"/>
          </w:tcPr>
          <w:p w14:paraId="680E294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预算单位</w:t>
            </w:r>
          </w:p>
        </w:tc>
        <w:tc>
          <w:tcPr>
            <w:tcW w:w="5313" w:type="dxa"/>
            <w:gridSpan w:val="5"/>
            <w:tcBorders>
              <w:top w:val="single" w:color="000000" w:sz="4" w:space="0"/>
              <w:left w:val="single" w:color="000000" w:sz="4" w:space="0"/>
              <w:bottom w:val="single" w:color="000000" w:sz="4" w:space="0"/>
              <w:right w:val="single" w:color="000000" w:sz="4" w:space="0"/>
            </w:tcBorders>
            <w:noWrap/>
            <w:vAlign w:val="center"/>
          </w:tcPr>
          <w:p w14:paraId="6F12C9C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西区民政局</w:t>
            </w:r>
          </w:p>
        </w:tc>
      </w:tr>
      <w:tr w14:paraId="258CC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5440" w:type="dxa"/>
            <w:gridSpan w:val="4"/>
            <w:tcBorders>
              <w:top w:val="single" w:color="000000" w:sz="4" w:space="0"/>
              <w:left w:val="single" w:color="000000" w:sz="4" w:space="0"/>
              <w:bottom w:val="single" w:color="000000" w:sz="4" w:space="0"/>
              <w:right w:val="single" w:color="000000" w:sz="4" w:space="0"/>
            </w:tcBorders>
            <w:noWrap/>
            <w:vAlign w:val="center"/>
          </w:tcPr>
          <w:p w14:paraId="3ED27B7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项目类型</w:t>
            </w:r>
          </w:p>
        </w:tc>
        <w:tc>
          <w:tcPr>
            <w:tcW w:w="5313" w:type="dxa"/>
            <w:gridSpan w:val="5"/>
            <w:tcBorders>
              <w:top w:val="single" w:color="000000" w:sz="4" w:space="0"/>
              <w:left w:val="single" w:color="000000" w:sz="4" w:space="0"/>
              <w:bottom w:val="single" w:color="000000" w:sz="4" w:space="0"/>
              <w:right w:val="single" w:color="000000" w:sz="4" w:space="0"/>
            </w:tcBorders>
            <w:noWrap/>
            <w:vAlign w:val="center"/>
          </w:tcPr>
          <w:p w14:paraId="77C746F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“文明婚俗”提升行动</w:t>
            </w:r>
          </w:p>
        </w:tc>
      </w:tr>
      <w:tr w14:paraId="702DD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ign w:val="center"/>
          </w:tcPr>
          <w:p w14:paraId="264094D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 概况</w:t>
            </w:r>
          </w:p>
        </w:tc>
        <w:tc>
          <w:tcPr>
            <w:tcW w:w="4788" w:type="dxa"/>
            <w:gridSpan w:val="3"/>
            <w:tcBorders>
              <w:top w:val="single" w:color="000000" w:sz="4" w:space="0"/>
              <w:left w:val="single" w:color="000000" w:sz="4" w:space="0"/>
              <w:bottom w:val="single" w:color="000000" w:sz="4" w:space="0"/>
              <w:right w:val="single" w:color="000000" w:sz="4" w:space="0"/>
            </w:tcBorders>
            <w:noWrap/>
            <w:vAlign w:val="center"/>
          </w:tcPr>
          <w:p w14:paraId="02FC621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中长期规划（名称、文号，仅指</w:t>
            </w:r>
          </w:p>
          <w:p w14:paraId="005F51D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常年项目）</w:t>
            </w:r>
          </w:p>
        </w:tc>
        <w:tc>
          <w:tcPr>
            <w:tcW w:w="5313" w:type="dxa"/>
            <w:gridSpan w:val="5"/>
            <w:tcBorders>
              <w:top w:val="single" w:color="000000" w:sz="4" w:space="0"/>
              <w:left w:val="single" w:color="000000" w:sz="4" w:space="0"/>
              <w:bottom w:val="single" w:color="000000" w:sz="4" w:space="0"/>
              <w:right w:val="single" w:color="000000" w:sz="4" w:space="0"/>
            </w:tcBorders>
            <w:noWrap/>
            <w:vAlign w:val="center"/>
          </w:tcPr>
          <w:p w14:paraId="391595F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r>
      <w:tr w14:paraId="4E4A6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0ECB822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4788" w:type="dxa"/>
            <w:gridSpan w:val="3"/>
            <w:tcBorders>
              <w:top w:val="single" w:color="000000" w:sz="4" w:space="0"/>
              <w:left w:val="single" w:color="000000" w:sz="4" w:space="0"/>
              <w:bottom w:val="single" w:color="000000" w:sz="4" w:space="0"/>
              <w:right w:val="single" w:color="000000" w:sz="4" w:space="0"/>
            </w:tcBorders>
            <w:noWrap/>
            <w:vAlign w:val="center"/>
          </w:tcPr>
          <w:p w14:paraId="2FF86BA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资金管理办法（名称、文号）</w:t>
            </w:r>
          </w:p>
        </w:tc>
        <w:tc>
          <w:tcPr>
            <w:tcW w:w="5313" w:type="dxa"/>
            <w:gridSpan w:val="5"/>
            <w:tcBorders>
              <w:top w:val="single" w:color="000000" w:sz="4" w:space="0"/>
              <w:left w:val="single" w:color="000000" w:sz="4" w:space="0"/>
              <w:bottom w:val="single" w:color="000000" w:sz="4" w:space="0"/>
              <w:right w:val="single" w:color="000000" w:sz="4" w:space="0"/>
            </w:tcBorders>
            <w:noWrap/>
            <w:vAlign w:val="center"/>
          </w:tcPr>
          <w:p w14:paraId="46AB269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省级财政其他民政事业补助资金管理办法（川民发〔2017〕191号</w:t>
            </w:r>
          </w:p>
        </w:tc>
      </w:tr>
      <w:tr w14:paraId="6F84F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0A2918B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4788" w:type="dxa"/>
            <w:gridSpan w:val="3"/>
            <w:tcBorders>
              <w:top w:val="single" w:color="000000" w:sz="4" w:space="0"/>
              <w:left w:val="single" w:color="000000" w:sz="4" w:space="0"/>
              <w:bottom w:val="single" w:color="000000" w:sz="4" w:space="0"/>
              <w:right w:val="single" w:color="000000" w:sz="4" w:space="0"/>
            </w:tcBorders>
            <w:noWrap/>
            <w:vAlign w:val="center"/>
          </w:tcPr>
          <w:p w14:paraId="13FA83C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绩效分配方式</w:t>
            </w:r>
          </w:p>
        </w:tc>
        <w:tc>
          <w:tcPr>
            <w:tcW w:w="935" w:type="dxa"/>
            <w:tcBorders>
              <w:top w:val="single" w:color="000000" w:sz="4" w:space="0"/>
              <w:left w:val="single" w:color="000000" w:sz="4" w:space="0"/>
              <w:bottom w:val="single" w:color="000000" w:sz="4" w:space="0"/>
              <w:right w:val="single" w:color="000000" w:sz="4" w:space="0"/>
            </w:tcBorders>
            <w:noWrap/>
            <w:vAlign w:val="center"/>
          </w:tcPr>
          <w:p w14:paraId="6C8EA76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sym w:font="Wingdings 2" w:char="F0A3"/>
            </w:r>
            <w:r>
              <w:rPr>
                <w:rFonts w:hint="default" w:ascii="Times New Roman" w:hAnsi="Times New Roman" w:eastAsia="方正仿宋_GBK" w:cs="Times New Roman"/>
                <w:color w:val="000000"/>
                <w:kern w:val="0"/>
                <w:sz w:val="21"/>
                <w:szCs w:val="21"/>
                <w:lang w:val="en-US" w:eastAsia="zh-CN" w:bidi="ar"/>
              </w:rPr>
              <w:t>因素法</w:t>
            </w:r>
          </w:p>
        </w:tc>
        <w:tc>
          <w:tcPr>
            <w:tcW w:w="2125" w:type="dxa"/>
            <w:gridSpan w:val="2"/>
            <w:tcBorders>
              <w:top w:val="single" w:color="000000" w:sz="4" w:space="0"/>
              <w:left w:val="single" w:color="000000" w:sz="4" w:space="0"/>
              <w:bottom w:val="single" w:color="000000" w:sz="4" w:space="0"/>
              <w:right w:val="single" w:color="000000" w:sz="4" w:space="0"/>
            </w:tcBorders>
            <w:noWrap/>
            <w:vAlign w:val="center"/>
          </w:tcPr>
          <w:p w14:paraId="512AC18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sym w:font="Wingdings 2" w:char="F052"/>
            </w:r>
            <w:r>
              <w:rPr>
                <w:rFonts w:hint="default" w:ascii="Times New Roman" w:hAnsi="Times New Roman" w:eastAsia="方正仿宋_GBK" w:cs="Times New Roman"/>
                <w:color w:val="000000"/>
                <w:kern w:val="0"/>
                <w:sz w:val="21"/>
                <w:szCs w:val="21"/>
                <w:lang w:val="en-US" w:eastAsia="zh-CN" w:bidi="ar"/>
              </w:rPr>
              <w:t>项目法</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01CB9B6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□据实据效</w:t>
            </w:r>
          </w:p>
        </w:tc>
        <w:tc>
          <w:tcPr>
            <w:tcW w:w="1573" w:type="dxa"/>
            <w:tcBorders>
              <w:top w:val="single" w:color="000000" w:sz="4" w:space="0"/>
              <w:left w:val="single" w:color="000000" w:sz="4" w:space="0"/>
              <w:bottom w:val="single" w:color="000000" w:sz="4" w:space="0"/>
              <w:right w:val="single" w:color="000000" w:sz="4" w:space="0"/>
            </w:tcBorders>
            <w:noWrap/>
            <w:vAlign w:val="center"/>
          </w:tcPr>
          <w:p w14:paraId="11E92D7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sym w:font="Wingdings 2" w:char="F0A3"/>
            </w:r>
            <w:r>
              <w:rPr>
                <w:rFonts w:hint="default" w:ascii="Times New Roman" w:hAnsi="Times New Roman" w:eastAsia="方正仿宋_GBK" w:cs="Times New Roman"/>
                <w:color w:val="000000"/>
                <w:kern w:val="0"/>
                <w:sz w:val="21"/>
                <w:szCs w:val="21"/>
                <w:lang w:val="en-US" w:eastAsia="zh-CN" w:bidi="ar"/>
              </w:rPr>
              <w:t>因素法与项目法相结合</w:t>
            </w:r>
          </w:p>
        </w:tc>
      </w:tr>
      <w:tr w14:paraId="23CA7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2BA7BAD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4788" w:type="dxa"/>
            <w:gridSpan w:val="3"/>
            <w:tcBorders>
              <w:top w:val="single" w:color="000000" w:sz="4" w:space="0"/>
              <w:left w:val="single" w:color="000000" w:sz="4" w:space="0"/>
              <w:bottom w:val="single" w:color="000000" w:sz="4" w:space="0"/>
              <w:right w:val="single" w:color="000000" w:sz="4" w:space="0"/>
            </w:tcBorders>
            <w:noWrap/>
            <w:vAlign w:val="center"/>
          </w:tcPr>
          <w:p w14:paraId="52C5978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立项依据</w:t>
            </w:r>
          </w:p>
        </w:tc>
        <w:tc>
          <w:tcPr>
            <w:tcW w:w="5313" w:type="dxa"/>
            <w:gridSpan w:val="5"/>
            <w:tcBorders>
              <w:top w:val="single" w:color="000000" w:sz="4" w:space="0"/>
              <w:left w:val="single" w:color="000000" w:sz="4" w:space="0"/>
              <w:bottom w:val="single" w:color="000000" w:sz="4" w:space="0"/>
              <w:right w:val="single" w:color="000000" w:sz="4" w:space="0"/>
            </w:tcBorders>
            <w:noWrap/>
            <w:vAlign w:val="center"/>
          </w:tcPr>
          <w:p w14:paraId="5B60155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按照《四川省民政厅关于开展2025年度“文明婚俗”提升行动项目申报的函》要求设立。</w:t>
            </w:r>
          </w:p>
        </w:tc>
      </w:tr>
      <w:tr w14:paraId="50EFE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311C611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4788" w:type="dxa"/>
            <w:gridSpan w:val="3"/>
            <w:tcBorders>
              <w:top w:val="single" w:color="000000" w:sz="4" w:space="0"/>
              <w:left w:val="single" w:color="000000" w:sz="4" w:space="0"/>
              <w:bottom w:val="single" w:color="000000" w:sz="4" w:space="0"/>
              <w:right w:val="single" w:color="000000" w:sz="4" w:space="0"/>
            </w:tcBorders>
            <w:noWrap/>
            <w:vAlign w:val="center"/>
          </w:tcPr>
          <w:p w14:paraId="3EEC0B9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适用范围</w:t>
            </w:r>
          </w:p>
        </w:tc>
        <w:tc>
          <w:tcPr>
            <w:tcW w:w="5313" w:type="dxa"/>
            <w:gridSpan w:val="5"/>
            <w:tcBorders>
              <w:top w:val="single" w:color="000000" w:sz="4" w:space="0"/>
              <w:left w:val="single" w:color="000000" w:sz="4" w:space="0"/>
              <w:bottom w:val="single" w:color="000000" w:sz="4" w:space="0"/>
              <w:right w:val="single" w:color="000000" w:sz="4" w:space="0"/>
            </w:tcBorders>
            <w:noWrap/>
            <w:vAlign w:val="center"/>
          </w:tcPr>
          <w:p w14:paraId="0FBD4D0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按照《四川省民政厅婚俗改革试点项目补助资金管理办法》规定的资金适用范围，加强公园式、特色化婚姻登记机关建设，培育文明婚俗文化，传承中华优秀家庭文化，推动婚姻领域移风易俗。</w:t>
            </w:r>
          </w:p>
        </w:tc>
      </w:tr>
      <w:tr w14:paraId="53B0C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40AE155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4788" w:type="dxa"/>
            <w:gridSpan w:val="3"/>
            <w:tcBorders>
              <w:top w:val="single" w:color="000000" w:sz="4" w:space="0"/>
              <w:left w:val="single" w:color="000000" w:sz="4" w:space="0"/>
              <w:bottom w:val="single" w:color="000000" w:sz="4" w:space="0"/>
              <w:right w:val="single" w:color="000000" w:sz="4" w:space="0"/>
            </w:tcBorders>
            <w:noWrap/>
            <w:vAlign w:val="center"/>
          </w:tcPr>
          <w:p w14:paraId="098AE24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申报（补助）条件</w:t>
            </w:r>
          </w:p>
        </w:tc>
        <w:tc>
          <w:tcPr>
            <w:tcW w:w="5313" w:type="dxa"/>
            <w:gridSpan w:val="5"/>
            <w:tcBorders>
              <w:top w:val="single" w:color="000000" w:sz="4" w:space="0"/>
              <w:left w:val="single" w:color="000000" w:sz="4" w:space="0"/>
              <w:bottom w:val="single" w:color="000000" w:sz="4" w:space="0"/>
              <w:right w:val="single" w:color="000000" w:sz="4" w:space="0"/>
            </w:tcBorders>
            <w:noWrap/>
            <w:vAlign w:val="center"/>
          </w:tcPr>
          <w:p w14:paraId="1013EF7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w:t>
            </w:r>
          </w:p>
        </w:tc>
      </w:tr>
      <w:tr w14:paraId="7D669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6AC4498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4788" w:type="dxa"/>
            <w:gridSpan w:val="3"/>
            <w:tcBorders>
              <w:top w:val="single" w:color="000000" w:sz="4" w:space="0"/>
              <w:left w:val="single" w:color="000000" w:sz="4" w:space="0"/>
              <w:bottom w:val="single" w:color="000000" w:sz="4" w:space="0"/>
              <w:right w:val="single" w:color="000000" w:sz="4" w:space="0"/>
            </w:tcBorders>
            <w:noWrap/>
            <w:vAlign w:val="center"/>
          </w:tcPr>
          <w:p w14:paraId="21AA51D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项目起止年限</w:t>
            </w:r>
          </w:p>
        </w:tc>
        <w:tc>
          <w:tcPr>
            <w:tcW w:w="5313" w:type="dxa"/>
            <w:gridSpan w:val="5"/>
            <w:tcBorders>
              <w:top w:val="single" w:color="000000" w:sz="4" w:space="0"/>
              <w:left w:val="single" w:color="000000" w:sz="4" w:space="0"/>
              <w:bottom w:val="single" w:color="000000" w:sz="4" w:space="0"/>
              <w:right w:val="single" w:color="000000" w:sz="4" w:space="0"/>
            </w:tcBorders>
            <w:noWrap/>
            <w:vAlign w:val="center"/>
          </w:tcPr>
          <w:p w14:paraId="4641896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2025年6月 - 2027年6月</w:t>
            </w:r>
          </w:p>
        </w:tc>
      </w:tr>
      <w:tr w14:paraId="7B0DF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3AD865D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项目资金</w:t>
            </w:r>
          </w:p>
          <w:p w14:paraId="10790C7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（万元）</w:t>
            </w:r>
          </w:p>
        </w:tc>
        <w:tc>
          <w:tcPr>
            <w:tcW w:w="3707" w:type="dxa"/>
            <w:gridSpan w:val="2"/>
            <w:tcBorders>
              <w:top w:val="single" w:color="000000" w:sz="4" w:space="0"/>
              <w:left w:val="single" w:color="000000" w:sz="4" w:space="0"/>
              <w:bottom w:val="single" w:color="000000" w:sz="4" w:space="0"/>
              <w:right w:val="single" w:color="000000" w:sz="4" w:space="0"/>
            </w:tcBorders>
            <w:noWrap/>
            <w:vAlign w:val="center"/>
          </w:tcPr>
          <w:p w14:paraId="50D0C44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年度资金总额：</w:t>
            </w:r>
          </w:p>
        </w:tc>
        <w:tc>
          <w:tcPr>
            <w:tcW w:w="5313" w:type="dxa"/>
            <w:gridSpan w:val="5"/>
            <w:tcBorders>
              <w:top w:val="single" w:color="000000" w:sz="4" w:space="0"/>
              <w:left w:val="single" w:color="000000" w:sz="4" w:space="0"/>
              <w:bottom w:val="single" w:color="000000" w:sz="4" w:space="0"/>
              <w:right w:val="single" w:color="000000" w:sz="4" w:space="0"/>
            </w:tcBorders>
            <w:noWrap/>
            <w:vAlign w:val="center"/>
          </w:tcPr>
          <w:p w14:paraId="1ECFAC2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50</w:t>
            </w:r>
          </w:p>
        </w:tc>
      </w:tr>
      <w:tr w14:paraId="47C73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01C5D09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3707" w:type="dxa"/>
            <w:gridSpan w:val="2"/>
            <w:tcBorders>
              <w:top w:val="single" w:color="000000" w:sz="4" w:space="0"/>
              <w:left w:val="single" w:color="000000" w:sz="4" w:space="0"/>
              <w:bottom w:val="single" w:color="000000" w:sz="4" w:space="0"/>
              <w:right w:val="single" w:color="000000" w:sz="4" w:space="0"/>
            </w:tcBorders>
            <w:noWrap/>
            <w:vAlign w:val="center"/>
          </w:tcPr>
          <w:p w14:paraId="70C7AEF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其中：财政拨款</w:t>
            </w:r>
          </w:p>
        </w:tc>
        <w:tc>
          <w:tcPr>
            <w:tcW w:w="5313" w:type="dxa"/>
            <w:gridSpan w:val="5"/>
            <w:tcBorders>
              <w:top w:val="single" w:color="000000" w:sz="4" w:space="0"/>
              <w:left w:val="single" w:color="000000" w:sz="4" w:space="0"/>
              <w:bottom w:val="single" w:color="000000" w:sz="4" w:space="0"/>
              <w:right w:val="single" w:color="000000" w:sz="4" w:space="0"/>
            </w:tcBorders>
            <w:noWrap/>
            <w:vAlign w:val="center"/>
          </w:tcPr>
          <w:p w14:paraId="7E5D386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50</w:t>
            </w:r>
          </w:p>
        </w:tc>
      </w:tr>
      <w:tr w14:paraId="38EDC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0A8BBBC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3707" w:type="dxa"/>
            <w:gridSpan w:val="2"/>
            <w:tcBorders>
              <w:top w:val="single" w:color="000000" w:sz="4" w:space="0"/>
              <w:left w:val="single" w:color="000000" w:sz="4" w:space="0"/>
              <w:bottom w:val="single" w:color="000000" w:sz="4" w:space="0"/>
              <w:right w:val="single" w:color="000000" w:sz="4" w:space="0"/>
            </w:tcBorders>
            <w:noWrap/>
            <w:vAlign w:val="center"/>
          </w:tcPr>
          <w:p w14:paraId="3913102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其他资金</w:t>
            </w:r>
          </w:p>
        </w:tc>
        <w:tc>
          <w:tcPr>
            <w:tcW w:w="5313" w:type="dxa"/>
            <w:gridSpan w:val="5"/>
            <w:tcBorders>
              <w:top w:val="single" w:color="000000" w:sz="4" w:space="0"/>
              <w:left w:val="single" w:color="000000" w:sz="4" w:space="0"/>
              <w:bottom w:val="single" w:color="000000" w:sz="4" w:space="0"/>
              <w:right w:val="single" w:color="000000" w:sz="4" w:space="0"/>
            </w:tcBorders>
            <w:noWrap/>
            <w:vAlign w:val="center"/>
          </w:tcPr>
          <w:p w14:paraId="5DD3E06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80（县级财政配套资金）</w:t>
            </w:r>
          </w:p>
        </w:tc>
      </w:tr>
      <w:tr w14:paraId="4B720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ign w:val="center"/>
          </w:tcPr>
          <w:p w14:paraId="3273E4F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总体 目标</w:t>
            </w:r>
          </w:p>
        </w:tc>
        <w:tc>
          <w:tcPr>
            <w:tcW w:w="10101" w:type="dxa"/>
            <w:gridSpan w:val="8"/>
            <w:tcBorders>
              <w:top w:val="single" w:color="000000" w:sz="4" w:space="0"/>
              <w:left w:val="single" w:color="000000" w:sz="4" w:space="0"/>
              <w:bottom w:val="single" w:color="000000" w:sz="4" w:space="0"/>
              <w:right w:val="single" w:color="000000" w:sz="4" w:space="0"/>
            </w:tcBorders>
            <w:noWrap/>
            <w:vAlign w:val="center"/>
          </w:tcPr>
          <w:p w14:paraId="484B76A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年度目标</w:t>
            </w:r>
          </w:p>
        </w:tc>
      </w:tr>
      <w:tr w14:paraId="7F28C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auto" w:sz="4" w:space="0"/>
              <w:right w:val="single" w:color="000000" w:sz="4" w:space="0"/>
            </w:tcBorders>
            <w:noWrap/>
            <w:vAlign w:val="center"/>
          </w:tcPr>
          <w:p w14:paraId="1520F3E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0101" w:type="dxa"/>
            <w:gridSpan w:val="8"/>
            <w:tcBorders>
              <w:top w:val="single" w:color="000000" w:sz="4" w:space="0"/>
              <w:left w:val="single" w:color="000000" w:sz="4" w:space="0"/>
              <w:bottom w:val="single" w:color="000000" w:sz="4" w:space="0"/>
              <w:right w:val="single" w:color="000000" w:sz="4" w:space="0"/>
            </w:tcBorders>
            <w:noWrap/>
            <w:vAlign w:val="center"/>
          </w:tcPr>
          <w:p w14:paraId="072FF6C7">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在西区开展2025年度“文明婚俗”提升行动。在西区河门口公园建设西区公园式婚姻登记处，充分发挥婚姻登记机关阵地作用，提升婚姻登记机关服务水平，有效推进婚姻领域移风易俗，深化婚俗改革。</w:t>
            </w:r>
          </w:p>
        </w:tc>
      </w:tr>
      <w:tr w14:paraId="3D67B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auto" w:sz="4" w:space="0"/>
              <w:left w:val="single" w:color="auto" w:sz="4" w:space="0"/>
              <w:bottom w:val="single" w:color="auto" w:sz="4" w:space="0"/>
              <w:right w:val="single" w:color="auto" w:sz="4" w:space="0"/>
            </w:tcBorders>
            <w:noWrap/>
            <w:vAlign w:val="center"/>
          </w:tcPr>
          <w:p w14:paraId="7EBEDBF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绩效 指标</w:t>
            </w:r>
          </w:p>
        </w:tc>
        <w:tc>
          <w:tcPr>
            <w:tcW w:w="1081" w:type="dxa"/>
            <w:tcBorders>
              <w:top w:val="single" w:color="auto" w:sz="4" w:space="0"/>
              <w:left w:val="single" w:color="auto" w:sz="4" w:space="0"/>
              <w:bottom w:val="single" w:color="auto" w:sz="4" w:space="0"/>
              <w:right w:val="single" w:color="auto" w:sz="4" w:space="0"/>
            </w:tcBorders>
            <w:noWrap/>
            <w:vAlign w:val="center"/>
          </w:tcPr>
          <w:p w14:paraId="6059775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一级指标</w:t>
            </w:r>
          </w:p>
        </w:tc>
        <w:tc>
          <w:tcPr>
            <w:tcW w:w="977" w:type="dxa"/>
            <w:tcBorders>
              <w:top w:val="single" w:color="auto" w:sz="4" w:space="0"/>
              <w:left w:val="single" w:color="auto" w:sz="4" w:space="0"/>
              <w:bottom w:val="single" w:color="auto" w:sz="4" w:space="0"/>
              <w:right w:val="single" w:color="auto" w:sz="4" w:space="0"/>
            </w:tcBorders>
            <w:noWrap/>
            <w:vAlign w:val="center"/>
          </w:tcPr>
          <w:p w14:paraId="7891162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二级指标</w:t>
            </w:r>
          </w:p>
        </w:tc>
        <w:tc>
          <w:tcPr>
            <w:tcW w:w="2730" w:type="dxa"/>
            <w:tcBorders>
              <w:top w:val="single" w:color="auto" w:sz="4" w:space="0"/>
              <w:left w:val="single" w:color="auto" w:sz="4" w:space="0"/>
              <w:bottom w:val="single" w:color="auto" w:sz="4" w:space="0"/>
              <w:right w:val="single" w:color="auto" w:sz="4" w:space="0"/>
            </w:tcBorders>
            <w:noWrap/>
            <w:vAlign w:val="center"/>
          </w:tcPr>
          <w:p w14:paraId="7D476D9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三级指标</w:t>
            </w:r>
          </w:p>
        </w:tc>
        <w:tc>
          <w:tcPr>
            <w:tcW w:w="935" w:type="dxa"/>
            <w:tcBorders>
              <w:top w:val="single" w:color="000000" w:sz="4" w:space="0"/>
              <w:left w:val="single" w:color="auto" w:sz="4" w:space="0"/>
              <w:bottom w:val="single" w:color="000000" w:sz="4" w:space="0"/>
              <w:right w:val="single" w:color="000000" w:sz="4" w:space="0"/>
            </w:tcBorders>
            <w:noWrap/>
            <w:vAlign w:val="center"/>
          </w:tcPr>
          <w:p w14:paraId="2796FBA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指标性质</w:t>
            </w:r>
          </w:p>
        </w:tc>
        <w:tc>
          <w:tcPr>
            <w:tcW w:w="895" w:type="dxa"/>
            <w:tcBorders>
              <w:top w:val="single" w:color="000000" w:sz="4" w:space="0"/>
              <w:left w:val="single" w:color="000000" w:sz="4" w:space="0"/>
              <w:bottom w:val="single" w:color="000000" w:sz="4" w:space="0"/>
              <w:right w:val="single" w:color="000000" w:sz="4" w:space="0"/>
            </w:tcBorders>
            <w:noWrap/>
            <w:vAlign w:val="center"/>
          </w:tcPr>
          <w:p w14:paraId="3F7BAFE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指标值</w:t>
            </w:r>
          </w:p>
        </w:tc>
        <w:tc>
          <w:tcPr>
            <w:tcW w:w="1230" w:type="dxa"/>
            <w:tcBorders>
              <w:top w:val="single" w:color="000000" w:sz="4" w:space="0"/>
              <w:left w:val="single" w:color="000000" w:sz="4" w:space="0"/>
              <w:bottom w:val="single" w:color="000000" w:sz="4" w:space="0"/>
              <w:right w:val="single" w:color="000000" w:sz="4" w:space="0"/>
            </w:tcBorders>
            <w:noWrap/>
            <w:vAlign w:val="center"/>
          </w:tcPr>
          <w:p w14:paraId="489D2C9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度量单位</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083EFC9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权重</w:t>
            </w:r>
          </w:p>
        </w:tc>
        <w:tc>
          <w:tcPr>
            <w:tcW w:w="1573" w:type="dxa"/>
            <w:tcBorders>
              <w:top w:val="single" w:color="000000" w:sz="4" w:space="0"/>
              <w:left w:val="single" w:color="000000" w:sz="4" w:space="0"/>
              <w:bottom w:val="single" w:color="000000" w:sz="4" w:space="0"/>
              <w:right w:val="single" w:color="000000" w:sz="4" w:space="0"/>
            </w:tcBorders>
            <w:noWrap/>
            <w:vAlign w:val="center"/>
          </w:tcPr>
          <w:p w14:paraId="6D2F82E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实际完成指标值</w:t>
            </w:r>
          </w:p>
        </w:tc>
      </w:tr>
      <w:tr w14:paraId="61927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9"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ign w:val="center"/>
          </w:tcPr>
          <w:p w14:paraId="4F8F507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081" w:type="dxa"/>
            <w:vMerge w:val="restart"/>
            <w:tcBorders>
              <w:top w:val="single" w:color="auto" w:sz="4" w:space="0"/>
              <w:left w:val="single" w:color="auto" w:sz="4" w:space="0"/>
              <w:bottom w:val="single" w:color="auto" w:sz="4" w:space="0"/>
              <w:right w:val="single" w:color="auto" w:sz="4" w:space="0"/>
            </w:tcBorders>
            <w:noWrap/>
            <w:vAlign w:val="center"/>
          </w:tcPr>
          <w:p w14:paraId="4FEE8E3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977" w:type="dxa"/>
            <w:vMerge w:val="restart"/>
            <w:tcBorders>
              <w:top w:val="single" w:color="auto" w:sz="4" w:space="0"/>
              <w:left w:val="single" w:color="auto" w:sz="4" w:space="0"/>
              <w:bottom w:val="single" w:color="auto" w:sz="4" w:space="0"/>
              <w:right w:val="single" w:color="auto" w:sz="4" w:space="0"/>
            </w:tcBorders>
            <w:noWrap/>
            <w:vAlign w:val="center"/>
          </w:tcPr>
          <w:p w14:paraId="516D0AB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数量指标</w:t>
            </w:r>
          </w:p>
        </w:tc>
        <w:tc>
          <w:tcPr>
            <w:tcW w:w="2730" w:type="dxa"/>
            <w:tcBorders>
              <w:top w:val="single" w:color="auto" w:sz="4" w:space="0"/>
              <w:left w:val="single" w:color="auto" w:sz="4" w:space="0"/>
              <w:bottom w:val="single" w:color="auto" w:sz="4" w:space="0"/>
              <w:right w:val="single" w:color="auto" w:sz="4" w:space="0"/>
            </w:tcBorders>
            <w:noWrap/>
            <w:vAlign w:val="center"/>
          </w:tcPr>
          <w:p w14:paraId="4A0EB28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开展文明婚俗主题宣传活动</w:t>
            </w:r>
          </w:p>
        </w:tc>
        <w:tc>
          <w:tcPr>
            <w:tcW w:w="935" w:type="dxa"/>
            <w:tcBorders>
              <w:top w:val="single" w:color="000000" w:sz="4" w:space="0"/>
              <w:left w:val="single" w:color="auto" w:sz="4" w:space="0"/>
              <w:bottom w:val="single" w:color="000000" w:sz="4" w:space="0"/>
              <w:right w:val="single" w:color="000000" w:sz="4" w:space="0"/>
            </w:tcBorders>
            <w:noWrap/>
            <w:vAlign w:val="center"/>
          </w:tcPr>
          <w:p w14:paraId="0F89334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w:t>
            </w:r>
          </w:p>
        </w:tc>
        <w:tc>
          <w:tcPr>
            <w:tcW w:w="895" w:type="dxa"/>
            <w:tcBorders>
              <w:top w:val="single" w:color="000000" w:sz="4" w:space="0"/>
              <w:left w:val="single" w:color="000000" w:sz="4" w:space="0"/>
              <w:bottom w:val="single" w:color="000000" w:sz="4" w:space="0"/>
              <w:right w:val="single" w:color="000000" w:sz="4" w:space="0"/>
            </w:tcBorders>
            <w:noWrap/>
            <w:vAlign w:val="center"/>
          </w:tcPr>
          <w:p w14:paraId="70CB593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2</w:t>
            </w:r>
          </w:p>
        </w:tc>
        <w:tc>
          <w:tcPr>
            <w:tcW w:w="1230" w:type="dxa"/>
            <w:tcBorders>
              <w:top w:val="single" w:color="000000" w:sz="4" w:space="0"/>
              <w:left w:val="single" w:color="000000" w:sz="4" w:space="0"/>
              <w:bottom w:val="single" w:color="000000" w:sz="4" w:space="0"/>
              <w:right w:val="single" w:color="000000" w:sz="4" w:space="0"/>
            </w:tcBorders>
            <w:noWrap/>
            <w:vAlign w:val="center"/>
          </w:tcPr>
          <w:p w14:paraId="16A5C13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次</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32FFAC6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573" w:type="dxa"/>
            <w:tcBorders>
              <w:top w:val="single" w:color="000000" w:sz="4" w:space="0"/>
              <w:left w:val="single" w:color="000000" w:sz="4" w:space="0"/>
              <w:bottom w:val="single" w:color="000000" w:sz="4" w:space="0"/>
              <w:right w:val="single" w:color="000000" w:sz="4" w:space="0"/>
            </w:tcBorders>
            <w:noWrap/>
            <w:vAlign w:val="center"/>
          </w:tcPr>
          <w:p w14:paraId="7CC8106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2次</w:t>
            </w:r>
          </w:p>
        </w:tc>
      </w:tr>
      <w:tr w14:paraId="6567E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9"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ign w:val="center"/>
          </w:tcPr>
          <w:p w14:paraId="33C6544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081" w:type="dxa"/>
            <w:vMerge w:val="continue"/>
            <w:tcBorders>
              <w:top w:val="single" w:color="auto" w:sz="4" w:space="0"/>
              <w:left w:val="single" w:color="auto" w:sz="4" w:space="0"/>
              <w:bottom w:val="single" w:color="auto" w:sz="4" w:space="0"/>
              <w:right w:val="single" w:color="auto" w:sz="4" w:space="0"/>
            </w:tcBorders>
            <w:noWrap/>
            <w:vAlign w:val="center"/>
          </w:tcPr>
          <w:p w14:paraId="7EA918D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977" w:type="dxa"/>
            <w:vMerge w:val="continue"/>
            <w:tcBorders>
              <w:top w:val="single" w:color="auto" w:sz="4" w:space="0"/>
              <w:left w:val="single" w:color="auto" w:sz="4" w:space="0"/>
              <w:bottom w:val="single" w:color="auto" w:sz="4" w:space="0"/>
              <w:right w:val="single" w:color="auto" w:sz="4" w:space="0"/>
            </w:tcBorders>
            <w:noWrap/>
            <w:vAlign w:val="center"/>
          </w:tcPr>
          <w:p w14:paraId="7094DF7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2730" w:type="dxa"/>
            <w:tcBorders>
              <w:top w:val="single" w:color="auto" w:sz="4" w:space="0"/>
              <w:left w:val="single" w:color="auto" w:sz="4" w:space="0"/>
              <w:bottom w:val="single" w:color="auto" w:sz="4" w:space="0"/>
              <w:right w:val="single" w:color="auto" w:sz="4" w:space="0"/>
            </w:tcBorders>
            <w:noWrap/>
            <w:vAlign w:val="center"/>
          </w:tcPr>
          <w:p w14:paraId="5537F8E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开展婚恋交友活动</w:t>
            </w:r>
          </w:p>
        </w:tc>
        <w:tc>
          <w:tcPr>
            <w:tcW w:w="935" w:type="dxa"/>
            <w:tcBorders>
              <w:top w:val="single" w:color="000000" w:sz="4" w:space="0"/>
              <w:left w:val="single" w:color="auto" w:sz="4" w:space="0"/>
              <w:bottom w:val="single" w:color="000000" w:sz="4" w:space="0"/>
              <w:right w:val="single" w:color="000000" w:sz="4" w:space="0"/>
            </w:tcBorders>
            <w:noWrap/>
            <w:vAlign w:val="center"/>
          </w:tcPr>
          <w:p w14:paraId="1E4BD5F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w:t>
            </w:r>
          </w:p>
        </w:tc>
        <w:tc>
          <w:tcPr>
            <w:tcW w:w="895" w:type="dxa"/>
            <w:tcBorders>
              <w:top w:val="single" w:color="000000" w:sz="4" w:space="0"/>
              <w:left w:val="single" w:color="000000" w:sz="4" w:space="0"/>
              <w:bottom w:val="single" w:color="000000" w:sz="4" w:space="0"/>
              <w:right w:val="single" w:color="000000" w:sz="4" w:space="0"/>
            </w:tcBorders>
            <w:noWrap/>
            <w:vAlign w:val="center"/>
          </w:tcPr>
          <w:p w14:paraId="68D7FCA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noWrap/>
            <w:vAlign w:val="center"/>
          </w:tcPr>
          <w:p w14:paraId="496D314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次</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5C6BCC5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573" w:type="dxa"/>
            <w:tcBorders>
              <w:top w:val="single" w:color="000000" w:sz="4" w:space="0"/>
              <w:left w:val="single" w:color="000000" w:sz="4" w:space="0"/>
              <w:bottom w:val="single" w:color="000000" w:sz="4" w:space="0"/>
              <w:right w:val="single" w:color="000000" w:sz="4" w:space="0"/>
            </w:tcBorders>
            <w:noWrap/>
            <w:vAlign w:val="center"/>
          </w:tcPr>
          <w:p w14:paraId="723B5BD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1次</w:t>
            </w:r>
          </w:p>
        </w:tc>
      </w:tr>
      <w:tr w14:paraId="4CFE1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ign w:val="center"/>
          </w:tcPr>
          <w:p w14:paraId="1CBA6EF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081" w:type="dxa"/>
            <w:vMerge w:val="continue"/>
            <w:tcBorders>
              <w:top w:val="single" w:color="auto" w:sz="4" w:space="0"/>
              <w:left w:val="single" w:color="auto" w:sz="4" w:space="0"/>
              <w:bottom w:val="single" w:color="auto" w:sz="4" w:space="0"/>
              <w:right w:val="single" w:color="auto" w:sz="4" w:space="0"/>
            </w:tcBorders>
            <w:noWrap/>
            <w:vAlign w:val="center"/>
          </w:tcPr>
          <w:p w14:paraId="590FBA4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977" w:type="dxa"/>
            <w:tcBorders>
              <w:top w:val="single" w:color="auto" w:sz="4" w:space="0"/>
              <w:left w:val="single" w:color="auto" w:sz="4" w:space="0"/>
              <w:bottom w:val="single" w:color="auto" w:sz="4" w:space="0"/>
              <w:right w:val="single" w:color="auto" w:sz="4" w:space="0"/>
            </w:tcBorders>
            <w:noWrap/>
            <w:vAlign w:val="center"/>
          </w:tcPr>
          <w:p w14:paraId="586EC3D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时效指标</w:t>
            </w:r>
          </w:p>
        </w:tc>
        <w:tc>
          <w:tcPr>
            <w:tcW w:w="2730" w:type="dxa"/>
            <w:tcBorders>
              <w:top w:val="single" w:color="auto" w:sz="4" w:space="0"/>
              <w:left w:val="single" w:color="auto" w:sz="4" w:space="0"/>
              <w:bottom w:val="single" w:color="auto" w:sz="4" w:space="0"/>
              <w:right w:val="single" w:color="auto" w:sz="4" w:space="0"/>
            </w:tcBorders>
            <w:noWrap/>
            <w:vAlign w:val="center"/>
          </w:tcPr>
          <w:p w14:paraId="79F5CA6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经费拨付及时率</w:t>
            </w:r>
          </w:p>
        </w:tc>
        <w:tc>
          <w:tcPr>
            <w:tcW w:w="935" w:type="dxa"/>
            <w:tcBorders>
              <w:top w:val="single" w:color="000000" w:sz="4" w:space="0"/>
              <w:left w:val="single" w:color="auto" w:sz="4" w:space="0"/>
              <w:bottom w:val="single" w:color="000000" w:sz="4" w:space="0"/>
              <w:right w:val="single" w:color="000000" w:sz="4" w:space="0"/>
            </w:tcBorders>
            <w:noWrap/>
            <w:vAlign w:val="center"/>
          </w:tcPr>
          <w:p w14:paraId="20043FE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w:t>
            </w:r>
          </w:p>
        </w:tc>
        <w:tc>
          <w:tcPr>
            <w:tcW w:w="895" w:type="dxa"/>
            <w:tcBorders>
              <w:top w:val="single" w:color="000000" w:sz="4" w:space="0"/>
              <w:left w:val="single" w:color="000000" w:sz="4" w:space="0"/>
              <w:bottom w:val="single" w:color="000000" w:sz="4" w:space="0"/>
              <w:right w:val="single" w:color="000000" w:sz="4" w:space="0"/>
            </w:tcBorders>
            <w:noWrap/>
            <w:vAlign w:val="center"/>
          </w:tcPr>
          <w:p w14:paraId="3271689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90</w:t>
            </w:r>
          </w:p>
        </w:tc>
        <w:tc>
          <w:tcPr>
            <w:tcW w:w="1230" w:type="dxa"/>
            <w:tcBorders>
              <w:top w:val="single" w:color="000000" w:sz="4" w:space="0"/>
              <w:left w:val="single" w:color="000000" w:sz="4" w:space="0"/>
              <w:bottom w:val="single" w:color="000000" w:sz="4" w:space="0"/>
              <w:right w:val="single" w:color="000000" w:sz="4" w:space="0"/>
            </w:tcBorders>
            <w:noWrap/>
            <w:vAlign w:val="center"/>
          </w:tcPr>
          <w:p w14:paraId="24F52B5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1DEE6E1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573" w:type="dxa"/>
            <w:tcBorders>
              <w:top w:val="single" w:color="000000" w:sz="4" w:space="0"/>
              <w:left w:val="single" w:color="000000" w:sz="4" w:space="0"/>
              <w:bottom w:val="single" w:color="000000" w:sz="4" w:space="0"/>
              <w:right w:val="single" w:color="000000" w:sz="4" w:space="0"/>
            </w:tcBorders>
            <w:noWrap/>
            <w:vAlign w:val="center"/>
          </w:tcPr>
          <w:p w14:paraId="0EA6E03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100%</w:t>
            </w:r>
          </w:p>
        </w:tc>
      </w:tr>
      <w:tr w14:paraId="6A2A4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ign w:val="center"/>
          </w:tcPr>
          <w:p w14:paraId="0532156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081" w:type="dxa"/>
            <w:tcBorders>
              <w:top w:val="single" w:color="auto" w:sz="4" w:space="0"/>
              <w:left w:val="single" w:color="auto" w:sz="4" w:space="0"/>
              <w:bottom w:val="single" w:color="auto" w:sz="4" w:space="0"/>
              <w:right w:val="single" w:color="auto" w:sz="4" w:space="0"/>
            </w:tcBorders>
            <w:noWrap/>
            <w:vAlign w:val="center"/>
          </w:tcPr>
          <w:p w14:paraId="7A3D3B2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满意度</w:t>
            </w:r>
          </w:p>
          <w:p w14:paraId="2A32388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指标</w:t>
            </w:r>
          </w:p>
        </w:tc>
        <w:tc>
          <w:tcPr>
            <w:tcW w:w="977" w:type="dxa"/>
            <w:tcBorders>
              <w:top w:val="single" w:color="auto" w:sz="4" w:space="0"/>
              <w:left w:val="single" w:color="auto" w:sz="4" w:space="0"/>
              <w:bottom w:val="single" w:color="auto" w:sz="4" w:space="0"/>
              <w:right w:val="single" w:color="auto" w:sz="4" w:space="0"/>
            </w:tcBorders>
            <w:noWrap/>
            <w:vAlign w:val="center"/>
          </w:tcPr>
          <w:p w14:paraId="1581370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服务对象满意度指标</w:t>
            </w:r>
          </w:p>
        </w:tc>
        <w:tc>
          <w:tcPr>
            <w:tcW w:w="2730" w:type="dxa"/>
            <w:tcBorders>
              <w:top w:val="single" w:color="auto" w:sz="4" w:space="0"/>
              <w:left w:val="single" w:color="auto" w:sz="4" w:space="0"/>
              <w:bottom w:val="single" w:color="auto" w:sz="4" w:space="0"/>
              <w:right w:val="single" w:color="auto" w:sz="4" w:space="0"/>
            </w:tcBorders>
            <w:noWrap/>
            <w:vAlign w:val="center"/>
          </w:tcPr>
          <w:p w14:paraId="0C6A1E8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服务群众满意度</w:t>
            </w:r>
          </w:p>
        </w:tc>
        <w:tc>
          <w:tcPr>
            <w:tcW w:w="935" w:type="dxa"/>
            <w:tcBorders>
              <w:top w:val="single" w:color="000000" w:sz="4" w:space="0"/>
              <w:left w:val="single" w:color="auto" w:sz="4" w:space="0"/>
              <w:bottom w:val="single" w:color="000000" w:sz="4" w:space="0"/>
              <w:right w:val="single" w:color="000000" w:sz="4" w:space="0"/>
            </w:tcBorders>
            <w:noWrap/>
            <w:vAlign w:val="center"/>
          </w:tcPr>
          <w:p w14:paraId="2D3693B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w:t>
            </w:r>
          </w:p>
        </w:tc>
        <w:tc>
          <w:tcPr>
            <w:tcW w:w="895" w:type="dxa"/>
            <w:tcBorders>
              <w:top w:val="single" w:color="000000" w:sz="4" w:space="0"/>
              <w:left w:val="single" w:color="000000" w:sz="4" w:space="0"/>
              <w:bottom w:val="single" w:color="000000" w:sz="4" w:space="0"/>
              <w:right w:val="single" w:color="000000" w:sz="4" w:space="0"/>
            </w:tcBorders>
            <w:noWrap/>
            <w:vAlign w:val="center"/>
          </w:tcPr>
          <w:p w14:paraId="14A6B16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90</w:t>
            </w:r>
          </w:p>
        </w:tc>
        <w:tc>
          <w:tcPr>
            <w:tcW w:w="1230" w:type="dxa"/>
            <w:tcBorders>
              <w:top w:val="single" w:color="000000" w:sz="4" w:space="0"/>
              <w:left w:val="single" w:color="000000" w:sz="4" w:space="0"/>
              <w:bottom w:val="single" w:color="000000" w:sz="4" w:space="0"/>
              <w:right w:val="single" w:color="000000" w:sz="4" w:space="0"/>
            </w:tcBorders>
            <w:noWrap/>
            <w:vAlign w:val="center"/>
          </w:tcPr>
          <w:p w14:paraId="0E943F3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1EE85B9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p>
        </w:tc>
        <w:tc>
          <w:tcPr>
            <w:tcW w:w="1573" w:type="dxa"/>
            <w:tcBorders>
              <w:top w:val="single" w:color="000000" w:sz="4" w:space="0"/>
              <w:left w:val="single" w:color="000000" w:sz="4" w:space="0"/>
              <w:bottom w:val="single" w:color="000000" w:sz="4" w:space="0"/>
              <w:right w:val="single" w:color="000000" w:sz="4" w:space="0"/>
            </w:tcBorders>
            <w:noWrap/>
            <w:vAlign w:val="center"/>
          </w:tcPr>
          <w:p w14:paraId="3505E4D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color w:val="000000"/>
                <w:kern w:val="0"/>
                <w:sz w:val="21"/>
                <w:szCs w:val="21"/>
                <w:lang w:val="en-US" w:eastAsia="zh-CN" w:bidi="ar"/>
              </w:rPr>
            </w:pPr>
            <w:r>
              <w:rPr>
                <w:rFonts w:hint="default" w:ascii="Times New Roman" w:hAnsi="Times New Roman" w:eastAsia="方正仿宋_GBK" w:cs="Times New Roman"/>
                <w:color w:val="000000"/>
                <w:kern w:val="0"/>
                <w:sz w:val="21"/>
                <w:szCs w:val="21"/>
                <w:lang w:val="en-US" w:eastAsia="zh-CN" w:bidi="ar"/>
              </w:rPr>
              <w:t>100%</w:t>
            </w:r>
          </w:p>
        </w:tc>
      </w:tr>
    </w:tbl>
    <w:p w14:paraId="0C323756">
      <w:pPr>
        <w:widowControl/>
        <w:jc w:val="center"/>
        <w:rPr>
          <w:rFonts w:hint="eastAsia" w:eastAsia="黑体"/>
          <w:sz w:val="21"/>
          <w:szCs w:val="21"/>
        </w:rPr>
      </w:pPr>
    </w:p>
    <w:p w14:paraId="0C189148">
      <w:pPr>
        <w:widowControl/>
        <w:jc w:val="center"/>
        <w:rPr>
          <w:rFonts w:hint="eastAsia" w:eastAsia="黑体"/>
          <w:sz w:val="44"/>
          <w:szCs w:val="44"/>
        </w:rPr>
      </w:pPr>
    </w:p>
    <w:p w14:paraId="59B62CD3">
      <w:pPr>
        <w:widowControl/>
        <w:jc w:val="center"/>
        <w:rPr>
          <w:rFonts w:hint="eastAsia" w:eastAsia="黑体"/>
          <w:sz w:val="44"/>
          <w:szCs w:val="44"/>
        </w:rPr>
      </w:pPr>
    </w:p>
    <w:p w14:paraId="1718C619">
      <w:pPr>
        <w:widowControl/>
        <w:jc w:val="center"/>
        <w:rPr>
          <w:rFonts w:hint="eastAsia" w:eastAsia="黑体"/>
          <w:sz w:val="44"/>
          <w:szCs w:val="44"/>
        </w:rPr>
      </w:pPr>
    </w:p>
    <w:p w14:paraId="2D3A2825">
      <w:pPr>
        <w:widowControl/>
        <w:jc w:val="center"/>
        <w:rPr>
          <w:rFonts w:hint="eastAsia" w:eastAsia="黑体"/>
          <w:sz w:val="44"/>
          <w:szCs w:val="44"/>
        </w:rPr>
      </w:pPr>
    </w:p>
    <w:p w14:paraId="22E545A9">
      <w:pPr>
        <w:widowControl/>
        <w:jc w:val="center"/>
        <w:rPr>
          <w:rFonts w:eastAsia="仿宋"/>
        </w:rPr>
      </w:pPr>
      <w:r>
        <w:rPr>
          <w:rFonts w:hint="eastAsia" w:eastAsia="黑体"/>
          <w:sz w:val="44"/>
          <w:szCs w:val="44"/>
        </w:rPr>
        <w:t>第</w:t>
      </w:r>
      <w:r>
        <w:rPr>
          <w:rStyle w:val="31"/>
          <w:rFonts w:hint="eastAsia" w:eastAsia="黑体"/>
          <w:b w:val="0"/>
        </w:rPr>
        <w:t>五部分 附表</w:t>
      </w:r>
      <w:bookmarkEnd w:id="56"/>
      <w:bookmarkEnd w:id="58"/>
      <w:bookmarkStart w:id="59" w:name="_Toc15396619"/>
    </w:p>
    <w:p w14:paraId="7712BADC">
      <w:pPr>
        <w:pStyle w:val="15"/>
        <w:adjustRightInd w:val="0"/>
        <w:snapToGrid w:val="0"/>
        <w:spacing w:line="560" w:lineRule="exact"/>
        <w:jc w:val="left"/>
        <w:rPr>
          <w:rFonts w:eastAsia="仿宋_GB2312" w:cs="仿宋_GB2312"/>
          <w:sz w:val="32"/>
          <w:szCs w:val="32"/>
        </w:rPr>
      </w:pPr>
    </w:p>
    <w:p w14:paraId="51DC0259">
      <w:pPr>
        <w:pStyle w:val="15"/>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59"/>
    </w:p>
    <w:p w14:paraId="45F3273D">
      <w:pPr>
        <w:pStyle w:val="15"/>
        <w:adjustRightInd w:val="0"/>
        <w:snapToGrid w:val="0"/>
        <w:spacing w:line="560" w:lineRule="exact"/>
        <w:jc w:val="left"/>
        <w:rPr>
          <w:rFonts w:eastAsia="仿宋_GB2312" w:cs="仿宋_GB2312"/>
          <w:sz w:val="32"/>
          <w:szCs w:val="32"/>
        </w:rPr>
      </w:pPr>
      <w:bookmarkStart w:id="60" w:name="_Toc15396620"/>
      <w:r>
        <w:rPr>
          <w:rFonts w:hint="eastAsia" w:eastAsia="仿宋_GB2312" w:cs="仿宋_GB2312"/>
          <w:sz w:val="32"/>
          <w:szCs w:val="32"/>
        </w:rPr>
        <w:t>二、收入决算表</w:t>
      </w:r>
      <w:bookmarkEnd w:id="60"/>
    </w:p>
    <w:p w14:paraId="28596515">
      <w:pPr>
        <w:pStyle w:val="15"/>
        <w:adjustRightInd w:val="0"/>
        <w:snapToGrid w:val="0"/>
        <w:spacing w:line="560" w:lineRule="exact"/>
        <w:jc w:val="left"/>
        <w:rPr>
          <w:rFonts w:eastAsia="仿宋_GB2312" w:cs="仿宋_GB2312"/>
          <w:sz w:val="32"/>
          <w:szCs w:val="32"/>
        </w:rPr>
      </w:pPr>
      <w:bookmarkStart w:id="61" w:name="_Toc15396621"/>
      <w:r>
        <w:rPr>
          <w:rFonts w:hint="eastAsia" w:eastAsia="仿宋_GB2312" w:cs="仿宋_GB2312"/>
          <w:sz w:val="32"/>
          <w:szCs w:val="32"/>
        </w:rPr>
        <w:t>三、支出决算表</w:t>
      </w:r>
      <w:bookmarkEnd w:id="61"/>
    </w:p>
    <w:p w14:paraId="1D3BCE51">
      <w:pPr>
        <w:pStyle w:val="15"/>
        <w:adjustRightInd w:val="0"/>
        <w:snapToGrid w:val="0"/>
        <w:spacing w:line="560" w:lineRule="exact"/>
        <w:jc w:val="left"/>
        <w:rPr>
          <w:rFonts w:eastAsia="仿宋_GB2312" w:cs="仿宋_GB2312"/>
          <w:sz w:val="32"/>
          <w:szCs w:val="32"/>
        </w:rPr>
      </w:pPr>
      <w:bookmarkStart w:id="62" w:name="_Toc15396622"/>
      <w:r>
        <w:rPr>
          <w:rFonts w:hint="eastAsia" w:eastAsia="仿宋_GB2312" w:cs="仿宋_GB2312"/>
          <w:sz w:val="32"/>
          <w:szCs w:val="32"/>
        </w:rPr>
        <w:t>四、财政拨款收入支出决算总表</w:t>
      </w:r>
      <w:bookmarkEnd w:id="62"/>
    </w:p>
    <w:p w14:paraId="0AECB05D">
      <w:pPr>
        <w:pStyle w:val="15"/>
        <w:adjustRightInd w:val="0"/>
        <w:snapToGrid w:val="0"/>
        <w:spacing w:line="560" w:lineRule="exact"/>
        <w:jc w:val="left"/>
        <w:rPr>
          <w:rFonts w:eastAsia="仿宋_GB2312" w:cs="仿宋_GB2312"/>
          <w:sz w:val="32"/>
          <w:szCs w:val="32"/>
        </w:rPr>
      </w:pPr>
      <w:bookmarkStart w:id="63" w:name="_Toc15396623"/>
      <w:r>
        <w:rPr>
          <w:rFonts w:hint="eastAsia" w:eastAsia="仿宋_GB2312" w:cs="仿宋_GB2312"/>
          <w:sz w:val="32"/>
          <w:szCs w:val="32"/>
        </w:rPr>
        <w:t>五、财政拨款支出决算明细表</w:t>
      </w:r>
      <w:bookmarkEnd w:id="63"/>
      <w:bookmarkStart w:id="64" w:name="_Toc15396624"/>
    </w:p>
    <w:p w14:paraId="6E4BE321">
      <w:pPr>
        <w:pStyle w:val="15"/>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64"/>
    </w:p>
    <w:p w14:paraId="53CF0D03">
      <w:pPr>
        <w:pStyle w:val="15"/>
        <w:adjustRightInd w:val="0"/>
        <w:snapToGrid w:val="0"/>
        <w:spacing w:line="560" w:lineRule="exact"/>
        <w:jc w:val="left"/>
        <w:rPr>
          <w:rFonts w:eastAsia="仿宋_GB2312" w:cs="仿宋_GB2312"/>
          <w:sz w:val="32"/>
          <w:szCs w:val="32"/>
        </w:rPr>
      </w:pPr>
      <w:bookmarkStart w:id="65" w:name="_Toc15396625"/>
      <w:r>
        <w:rPr>
          <w:rFonts w:hint="eastAsia" w:eastAsia="仿宋_GB2312" w:cs="仿宋_GB2312"/>
          <w:sz w:val="32"/>
          <w:szCs w:val="32"/>
        </w:rPr>
        <w:t>七、一般公共预算财政拨款支出决算明细表</w:t>
      </w:r>
      <w:bookmarkEnd w:id="65"/>
    </w:p>
    <w:p w14:paraId="69F1B7CF">
      <w:pPr>
        <w:pStyle w:val="15"/>
        <w:adjustRightInd w:val="0"/>
        <w:snapToGrid w:val="0"/>
        <w:spacing w:line="560" w:lineRule="exact"/>
        <w:jc w:val="left"/>
        <w:rPr>
          <w:rFonts w:eastAsia="仿宋_GB2312" w:cs="仿宋_GB2312"/>
          <w:sz w:val="32"/>
          <w:szCs w:val="32"/>
        </w:rPr>
      </w:pPr>
      <w:bookmarkStart w:id="66" w:name="_Toc15396626"/>
      <w:r>
        <w:rPr>
          <w:rFonts w:hint="eastAsia" w:eastAsia="仿宋_GB2312" w:cs="仿宋_GB2312"/>
          <w:sz w:val="32"/>
          <w:szCs w:val="32"/>
        </w:rPr>
        <w:t>八、一般公共预算财政拨款基本支出决算表</w:t>
      </w:r>
      <w:bookmarkEnd w:id="66"/>
    </w:p>
    <w:p w14:paraId="4CD738C8">
      <w:pPr>
        <w:pStyle w:val="15"/>
        <w:adjustRightInd w:val="0"/>
        <w:snapToGrid w:val="0"/>
        <w:spacing w:line="560" w:lineRule="exact"/>
        <w:jc w:val="left"/>
        <w:rPr>
          <w:rFonts w:eastAsia="仿宋_GB2312" w:cs="仿宋_GB2312"/>
          <w:sz w:val="32"/>
          <w:szCs w:val="32"/>
        </w:rPr>
      </w:pPr>
      <w:bookmarkStart w:id="67" w:name="_Toc15396627"/>
      <w:r>
        <w:rPr>
          <w:rFonts w:hint="eastAsia" w:eastAsia="仿宋_GB2312" w:cs="仿宋_GB2312"/>
          <w:sz w:val="32"/>
          <w:szCs w:val="32"/>
        </w:rPr>
        <w:t>九、一般公共预算财政拨款项目支出决算表</w:t>
      </w:r>
      <w:bookmarkEnd w:id="67"/>
    </w:p>
    <w:p w14:paraId="04F416DD">
      <w:pPr>
        <w:pStyle w:val="15"/>
        <w:adjustRightInd w:val="0"/>
        <w:snapToGrid w:val="0"/>
        <w:spacing w:line="560" w:lineRule="exact"/>
        <w:jc w:val="left"/>
        <w:rPr>
          <w:rFonts w:eastAsia="仿宋_GB2312" w:cs="仿宋_GB2312"/>
          <w:sz w:val="32"/>
          <w:szCs w:val="32"/>
        </w:rPr>
      </w:pPr>
      <w:bookmarkStart w:id="68" w:name="_Toc15396628"/>
      <w:r>
        <w:rPr>
          <w:rFonts w:hint="eastAsia" w:eastAsia="仿宋_GB2312" w:cs="仿宋_GB2312"/>
          <w:sz w:val="32"/>
          <w:szCs w:val="32"/>
        </w:rPr>
        <w:t>十、</w:t>
      </w:r>
      <w:bookmarkEnd w:id="68"/>
      <w:r>
        <w:rPr>
          <w:rFonts w:hint="eastAsia" w:eastAsia="仿宋_GB2312" w:cs="仿宋_GB2312"/>
          <w:sz w:val="32"/>
          <w:szCs w:val="32"/>
        </w:rPr>
        <w:t>政府性基金预算财政拨款收入支出决算表</w:t>
      </w:r>
    </w:p>
    <w:p w14:paraId="370A175A">
      <w:pPr>
        <w:pStyle w:val="15"/>
        <w:adjustRightInd w:val="0"/>
        <w:snapToGrid w:val="0"/>
        <w:spacing w:line="560" w:lineRule="exact"/>
        <w:jc w:val="left"/>
        <w:rPr>
          <w:rFonts w:eastAsia="仿宋_GB2312" w:cs="仿宋_GB2312"/>
          <w:sz w:val="32"/>
          <w:szCs w:val="32"/>
        </w:rPr>
      </w:pPr>
      <w:bookmarkStart w:id="69" w:name="_Toc15396629"/>
      <w:r>
        <w:rPr>
          <w:rFonts w:hint="eastAsia" w:eastAsia="仿宋_GB2312" w:cs="仿宋_GB2312"/>
          <w:sz w:val="32"/>
          <w:szCs w:val="32"/>
        </w:rPr>
        <w:t>十一、</w:t>
      </w:r>
      <w:bookmarkEnd w:id="69"/>
      <w:r>
        <w:rPr>
          <w:rFonts w:hint="eastAsia" w:eastAsia="仿宋_GB2312" w:cs="仿宋_GB2312"/>
          <w:sz w:val="32"/>
          <w:szCs w:val="32"/>
        </w:rPr>
        <w:t>国有资本经营预算财政拨款收入支出决算表</w:t>
      </w:r>
    </w:p>
    <w:p w14:paraId="0B16876A">
      <w:pPr>
        <w:pStyle w:val="15"/>
        <w:adjustRightInd w:val="0"/>
        <w:snapToGrid w:val="0"/>
        <w:spacing w:line="560" w:lineRule="exact"/>
        <w:jc w:val="left"/>
        <w:rPr>
          <w:rFonts w:eastAsia="仿宋_GB2312" w:cs="仿宋_GB2312"/>
          <w:sz w:val="32"/>
          <w:szCs w:val="32"/>
        </w:rPr>
      </w:pPr>
      <w:bookmarkStart w:id="70" w:name="_Toc15396630"/>
      <w:r>
        <w:rPr>
          <w:rFonts w:hint="eastAsia" w:eastAsia="仿宋_GB2312" w:cs="仿宋_GB2312"/>
          <w:sz w:val="32"/>
          <w:szCs w:val="32"/>
        </w:rPr>
        <w:t>十二、</w:t>
      </w:r>
      <w:bookmarkEnd w:id="70"/>
      <w:r>
        <w:rPr>
          <w:rFonts w:hint="eastAsia" w:eastAsia="仿宋_GB2312" w:cs="仿宋_GB2312"/>
          <w:sz w:val="32"/>
          <w:szCs w:val="32"/>
        </w:rPr>
        <w:t>国有资本经营预算财政拨款支出决算表</w:t>
      </w:r>
    </w:p>
    <w:p w14:paraId="36E09145">
      <w:pPr>
        <w:pStyle w:val="15"/>
        <w:adjustRightInd w:val="0"/>
        <w:snapToGrid w:val="0"/>
        <w:spacing w:line="560" w:lineRule="exact"/>
        <w:jc w:val="left"/>
        <w:rPr>
          <w:rFonts w:eastAsia="仿宋_GB2312" w:cs="仿宋_GB2312"/>
          <w:sz w:val="32"/>
          <w:szCs w:val="32"/>
        </w:rPr>
      </w:pPr>
      <w:bookmarkStart w:id="71" w:name="_Toc15396631"/>
      <w:r>
        <w:rPr>
          <w:rFonts w:hint="eastAsia" w:eastAsia="仿宋_GB2312" w:cs="仿宋_GB2312"/>
          <w:sz w:val="32"/>
          <w:szCs w:val="32"/>
        </w:rPr>
        <w:t>十三、</w:t>
      </w:r>
      <w:bookmarkEnd w:id="71"/>
      <w:r>
        <w:rPr>
          <w:rFonts w:hint="eastAsia" w:eastAsia="仿宋_GB2312" w:cs="仿宋_GB2312"/>
          <w:sz w:val="32"/>
          <w:szCs w:val="32"/>
        </w:rPr>
        <w:t>财政拨款“三公”经费支出决算表</w:t>
      </w:r>
    </w:p>
    <w:p w14:paraId="44FAFE0C"/>
    <w:sectPr>
      <w:footerReference r:id="rId1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东文宋体">
    <w:altName w:val="宋体"/>
    <w:panose1 w:val="00000000000000000000"/>
    <w:charset w:val="00"/>
    <w:family w:val="auto"/>
    <w:pitch w:val="default"/>
    <w:sig w:usb0="00000000" w:usb1="00000000" w:usb2="00000000" w:usb3="00000000" w:csb0="00040001" w:csb1="00000000"/>
  </w:font>
  <w:font w:name="Wingdings 2">
    <w:altName w:val="Wingdings"/>
    <w:panose1 w:val="05020102010507070707"/>
    <w:charset w:val="02"/>
    <w:family w:val="auto"/>
    <w:pitch w:val="default"/>
    <w:sig w:usb0="00000000" w:usb1="00000000" w:usb2="00000000" w:usb3="00000000" w:csb0="80000000" w:csb1="00000000"/>
  </w:font>
  <w:font w:name="汉仪大黑简">
    <w:altName w:val="方正黑体_GBK"/>
    <w:panose1 w:val="00000000000000000000"/>
    <w:charset w:val="00"/>
    <w:family w:val="auto"/>
    <w:pitch w:val="default"/>
    <w:sig w:usb0="00000000" w:usb1="00000000" w:usb2="00000000" w:usb3="00000000" w:csb0="00040001" w:csb1="00000000"/>
  </w:font>
  <w:font w:name="Kingsoft UE">
    <w:panose1 w:val="02000100010000000000"/>
    <w:charset w:val="00"/>
    <w:family w:val="auto"/>
    <w:pitch w:val="default"/>
    <w:sig w:usb0="00000001" w:usb1="00004000" w:usb2="00000000" w:usb3="00000000" w:csb0="0000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CE111">
    <w:pPr>
      <w:pStyle w:val="11"/>
      <w:jc w:val="center"/>
    </w:pPr>
  </w:p>
  <w:p w14:paraId="41D97728">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A8CB1">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9BBF4">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19733">
    <w:pPr>
      <w:pStyle w:val="11"/>
      <w:jc w:val="center"/>
    </w:pPr>
  </w:p>
  <w:p w14:paraId="52917FFF">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F0A20">
    <w:pPr>
      <w:pStyle w:val="1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A26F96">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66A26F96">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97171">
    <w:pPr>
      <w:pStyle w:val="11"/>
      <w:jc w:val="center"/>
    </w:pPr>
    <w:r>
      <w:rPr>
        <w:sz w:val="18"/>
      </w:rPr>
      <mc:AlternateContent>
        <mc:Choice Requires="wps">
          <w:drawing>
            <wp:anchor distT="0" distB="0" distL="114300" distR="114300" simplePos="0" relativeHeight="251662336" behindDoc="0" locked="0" layoutInCell="1" allowOverlap="1">
              <wp:simplePos x="0" y="0"/>
              <wp:positionH relativeFrom="margin">
                <wp:align>left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47FE6C">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A47FE6C">
                    <w:pPr>
                      <w:pStyle w:val="11"/>
                    </w:pPr>
                    <w:r>
                      <w:fldChar w:fldCharType="begin"/>
                    </w:r>
                    <w:r>
                      <w:instrText xml:space="preserve"> PAGE  \* MERGEFORMAT </w:instrText>
                    </w:r>
                    <w:r>
                      <w:fldChar w:fldCharType="separate"/>
                    </w:r>
                    <w:r>
                      <w:t>- 1 -</w:t>
                    </w:r>
                    <w:r>
                      <w:fldChar w:fldCharType="end"/>
                    </w:r>
                  </w:p>
                </w:txbxContent>
              </v:textbox>
            </v:shape>
          </w:pict>
        </mc:Fallback>
      </mc:AlternateContent>
    </w:r>
  </w:p>
  <w:p w14:paraId="10428FAB">
    <w:pPr>
      <w:pStyle w:val="11"/>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BAE72">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left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710956">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B710956">
                    <w:pPr>
                      <w:pStyle w:val="11"/>
                    </w:pPr>
                    <w:r>
                      <w:fldChar w:fldCharType="begin"/>
                    </w:r>
                    <w:r>
                      <w:instrText xml:space="preserve"> PAGE  \* MERGEFORMAT </w:instrText>
                    </w:r>
                    <w:r>
                      <w:fldChar w:fldCharType="separate"/>
                    </w:r>
                    <w:r>
                      <w:t>- 1 -</w:t>
                    </w:r>
                    <w:r>
                      <w:fldChar w:fldCharType="end"/>
                    </w:r>
                  </w:p>
                </w:txbxContent>
              </v:textbox>
            </v:shape>
          </w:pict>
        </mc:Fallback>
      </mc:AlternateContent>
    </w:r>
  </w:p>
  <w:p w14:paraId="4FEA7B62">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2B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2423B">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B3299"/>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9DAC2">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4555F6"/>
    <w:multiLevelType w:val="singleLevel"/>
    <w:tmpl w:val="C24555F6"/>
    <w:lvl w:ilvl="0" w:tentative="0">
      <w:start w:val="1"/>
      <w:numFmt w:val="chineseCounting"/>
      <w:suff w:val="nothing"/>
      <w:lvlText w:val="%1、"/>
      <w:lvlJc w:val="left"/>
      <w:pPr>
        <w:ind w:left="0" w:firstLine="0"/>
      </w:pPr>
      <w:rPr>
        <w:rFonts w:hint="eastAsia"/>
      </w:rPr>
    </w:lvl>
  </w:abstractNum>
  <w:abstractNum w:abstractNumId="1">
    <w:nsid w:val="C76C75F8"/>
    <w:multiLevelType w:val="singleLevel"/>
    <w:tmpl w:val="C76C75F8"/>
    <w:lvl w:ilvl="0" w:tentative="0">
      <w:start w:val="1"/>
      <w:numFmt w:val="chineseCounting"/>
      <w:suff w:val="nothing"/>
      <w:lvlText w:val="%1、"/>
      <w:lvlJc w:val="left"/>
      <w:rPr>
        <w:rFonts w:hint="eastAsia"/>
      </w:rPr>
    </w:lvl>
  </w:abstractNum>
  <w:abstractNum w:abstractNumId="2">
    <w:nsid w:val="F4FB0AFB"/>
    <w:multiLevelType w:val="singleLevel"/>
    <w:tmpl w:val="F4FB0AFB"/>
    <w:lvl w:ilvl="0" w:tentative="0">
      <w:start w:val="3"/>
      <w:numFmt w:val="chineseCounting"/>
      <w:suff w:val="nothing"/>
      <w:lvlText w:val="（%1）"/>
      <w:lvlJc w:val="left"/>
      <w:rPr>
        <w:rFonts w:hint="eastAsia"/>
      </w:rPr>
    </w:lvl>
  </w:abstractNum>
  <w:abstractNum w:abstractNumId="3">
    <w:nsid w:val="1A2E2F00"/>
    <w:multiLevelType w:val="singleLevel"/>
    <w:tmpl w:val="1A2E2F00"/>
    <w:lvl w:ilvl="0" w:tentative="0">
      <w:start w:val="3"/>
      <w:numFmt w:val="decimal"/>
      <w:lvlText w:val="%1."/>
      <w:lvlJc w:val="left"/>
      <w:pPr>
        <w:tabs>
          <w:tab w:val="left" w:pos="312"/>
        </w:tabs>
      </w:pPr>
    </w:lvl>
  </w:abstractNum>
  <w:abstractNum w:abstractNumId="4">
    <w:nsid w:val="2D5AE305"/>
    <w:multiLevelType w:val="singleLevel"/>
    <w:tmpl w:val="2D5AE305"/>
    <w:lvl w:ilvl="0" w:tentative="0">
      <w:start w:val="4"/>
      <w:numFmt w:val="chineseCounting"/>
      <w:suff w:val="nothing"/>
      <w:lvlText w:val="%1、"/>
      <w:lvlJc w:val="left"/>
      <w:pPr>
        <w:tabs>
          <w:tab w:val="left" w:pos="0"/>
        </w:tabs>
        <w:ind w:left="0" w:firstLine="0"/>
      </w:pPr>
      <w:rPr>
        <w:rFonts w:hint="eastAsia"/>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E6328"/>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471B37"/>
    <w:rsid w:val="02FEBE30"/>
    <w:rsid w:val="03273D57"/>
    <w:rsid w:val="03E73D66"/>
    <w:rsid w:val="05955D32"/>
    <w:rsid w:val="05A570AF"/>
    <w:rsid w:val="05F96B7B"/>
    <w:rsid w:val="061E35DE"/>
    <w:rsid w:val="066E0107"/>
    <w:rsid w:val="06AF716F"/>
    <w:rsid w:val="07996F6E"/>
    <w:rsid w:val="07DFD8BA"/>
    <w:rsid w:val="07F645BA"/>
    <w:rsid w:val="08DB07E4"/>
    <w:rsid w:val="09700829"/>
    <w:rsid w:val="09867E8F"/>
    <w:rsid w:val="09C54A03"/>
    <w:rsid w:val="0A2032A3"/>
    <w:rsid w:val="0A474B53"/>
    <w:rsid w:val="0C3847A7"/>
    <w:rsid w:val="0C6C4794"/>
    <w:rsid w:val="0CA8290A"/>
    <w:rsid w:val="0D35B1ED"/>
    <w:rsid w:val="0DE07E2B"/>
    <w:rsid w:val="0F2312E3"/>
    <w:rsid w:val="0F98263C"/>
    <w:rsid w:val="101860EC"/>
    <w:rsid w:val="10C055FF"/>
    <w:rsid w:val="11772AA4"/>
    <w:rsid w:val="118107EC"/>
    <w:rsid w:val="119360D6"/>
    <w:rsid w:val="126B5D26"/>
    <w:rsid w:val="13D50BC4"/>
    <w:rsid w:val="14022904"/>
    <w:rsid w:val="152F2A07"/>
    <w:rsid w:val="165E0673"/>
    <w:rsid w:val="16BB723D"/>
    <w:rsid w:val="17215F38"/>
    <w:rsid w:val="17F43647"/>
    <w:rsid w:val="186504BB"/>
    <w:rsid w:val="188E75F7"/>
    <w:rsid w:val="1938089F"/>
    <w:rsid w:val="197662D1"/>
    <w:rsid w:val="19A445FC"/>
    <w:rsid w:val="1A40430B"/>
    <w:rsid w:val="1AF87C34"/>
    <w:rsid w:val="1B7D550C"/>
    <w:rsid w:val="1BE8440E"/>
    <w:rsid w:val="1CDD4FB6"/>
    <w:rsid w:val="1D155CEE"/>
    <w:rsid w:val="1D37186A"/>
    <w:rsid w:val="1E2F1BD3"/>
    <w:rsid w:val="1E740ACF"/>
    <w:rsid w:val="1FF35744"/>
    <w:rsid w:val="1FF6BC77"/>
    <w:rsid w:val="20913504"/>
    <w:rsid w:val="21155C47"/>
    <w:rsid w:val="21962A9E"/>
    <w:rsid w:val="21AE7C77"/>
    <w:rsid w:val="21C1180F"/>
    <w:rsid w:val="22BC3C41"/>
    <w:rsid w:val="23860B96"/>
    <w:rsid w:val="240371BF"/>
    <w:rsid w:val="241B49E1"/>
    <w:rsid w:val="244119C2"/>
    <w:rsid w:val="260F557C"/>
    <w:rsid w:val="271C6CE3"/>
    <w:rsid w:val="281408E2"/>
    <w:rsid w:val="28D406FC"/>
    <w:rsid w:val="29FD04D3"/>
    <w:rsid w:val="2BFF7BC6"/>
    <w:rsid w:val="2C8A61B5"/>
    <w:rsid w:val="2D2E01CF"/>
    <w:rsid w:val="2DF04E50"/>
    <w:rsid w:val="2E4A4211"/>
    <w:rsid w:val="2E9545B0"/>
    <w:rsid w:val="2F040D46"/>
    <w:rsid w:val="2F9E7308"/>
    <w:rsid w:val="2FAE5751"/>
    <w:rsid w:val="2FB1A395"/>
    <w:rsid w:val="2FD9A7D8"/>
    <w:rsid w:val="319F7F4E"/>
    <w:rsid w:val="321B2544"/>
    <w:rsid w:val="3304709D"/>
    <w:rsid w:val="334E460A"/>
    <w:rsid w:val="33E03B41"/>
    <w:rsid w:val="34281836"/>
    <w:rsid w:val="349D6851"/>
    <w:rsid w:val="35BA6CAF"/>
    <w:rsid w:val="364D14C1"/>
    <w:rsid w:val="36AA5135"/>
    <w:rsid w:val="36BE0DA7"/>
    <w:rsid w:val="376B6AA6"/>
    <w:rsid w:val="376D39B2"/>
    <w:rsid w:val="37E16F03"/>
    <w:rsid w:val="37F53A3B"/>
    <w:rsid w:val="38793253"/>
    <w:rsid w:val="389B6C89"/>
    <w:rsid w:val="38D469F0"/>
    <w:rsid w:val="39627CCD"/>
    <w:rsid w:val="397BAF1F"/>
    <w:rsid w:val="3AB79AF3"/>
    <w:rsid w:val="3AD072FD"/>
    <w:rsid w:val="3B49727C"/>
    <w:rsid w:val="3B7EF35A"/>
    <w:rsid w:val="3B9FDB6C"/>
    <w:rsid w:val="3BF5BC2F"/>
    <w:rsid w:val="3C2C3C58"/>
    <w:rsid w:val="3CEBA265"/>
    <w:rsid w:val="3D98207C"/>
    <w:rsid w:val="3D9B0D99"/>
    <w:rsid w:val="3DEE7CF3"/>
    <w:rsid w:val="3DF02244"/>
    <w:rsid w:val="3E78745D"/>
    <w:rsid w:val="3FF4CAE0"/>
    <w:rsid w:val="3FF7B227"/>
    <w:rsid w:val="40E54C45"/>
    <w:rsid w:val="41B66E26"/>
    <w:rsid w:val="42B960EA"/>
    <w:rsid w:val="42E51E6B"/>
    <w:rsid w:val="435B7225"/>
    <w:rsid w:val="43A407DF"/>
    <w:rsid w:val="44515BEA"/>
    <w:rsid w:val="44E268DA"/>
    <w:rsid w:val="453F7E5B"/>
    <w:rsid w:val="465E1E66"/>
    <w:rsid w:val="4685178A"/>
    <w:rsid w:val="486A6C7A"/>
    <w:rsid w:val="48874363"/>
    <w:rsid w:val="48E8291E"/>
    <w:rsid w:val="49176D9B"/>
    <w:rsid w:val="49752D84"/>
    <w:rsid w:val="4A142463"/>
    <w:rsid w:val="4A627F82"/>
    <w:rsid w:val="4B0E749A"/>
    <w:rsid w:val="4B4F25DA"/>
    <w:rsid w:val="4B9F422B"/>
    <w:rsid w:val="4BC515AC"/>
    <w:rsid w:val="4BDA0CFB"/>
    <w:rsid w:val="4BE068DB"/>
    <w:rsid w:val="4D3C0CCC"/>
    <w:rsid w:val="4D577224"/>
    <w:rsid w:val="4D9E13C7"/>
    <w:rsid w:val="4DBF1CEB"/>
    <w:rsid w:val="4E061402"/>
    <w:rsid w:val="4EAB630A"/>
    <w:rsid w:val="4ECE2238"/>
    <w:rsid w:val="4F833267"/>
    <w:rsid w:val="4F965B65"/>
    <w:rsid w:val="4FE9BD67"/>
    <w:rsid w:val="4FFB052F"/>
    <w:rsid w:val="50D908B3"/>
    <w:rsid w:val="5133268D"/>
    <w:rsid w:val="53083A92"/>
    <w:rsid w:val="537E6D0A"/>
    <w:rsid w:val="53AF27A2"/>
    <w:rsid w:val="53F74C96"/>
    <w:rsid w:val="56E47B74"/>
    <w:rsid w:val="57BD3DD4"/>
    <w:rsid w:val="59522625"/>
    <w:rsid w:val="59DC731B"/>
    <w:rsid w:val="5AF92295"/>
    <w:rsid w:val="5B5B74E5"/>
    <w:rsid w:val="5BDD79E6"/>
    <w:rsid w:val="5BF561CA"/>
    <w:rsid w:val="5BFF5DFC"/>
    <w:rsid w:val="5CB65AD3"/>
    <w:rsid w:val="5CD71FC4"/>
    <w:rsid w:val="5D1F11B5"/>
    <w:rsid w:val="5DAE1B18"/>
    <w:rsid w:val="5DC9004A"/>
    <w:rsid w:val="5DE7D9E5"/>
    <w:rsid w:val="5ECEC941"/>
    <w:rsid w:val="5EDB520B"/>
    <w:rsid w:val="5EEE3F19"/>
    <w:rsid w:val="5F493CB7"/>
    <w:rsid w:val="5F5B6DE6"/>
    <w:rsid w:val="5FBF9FF3"/>
    <w:rsid w:val="5FCD4E2C"/>
    <w:rsid w:val="5FD15F49"/>
    <w:rsid w:val="5FEF394A"/>
    <w:rsid w:val="5FF67715"/>
    <w:rsid w:val="62BF3928"/>
    <w:rsid w:val="631E1E87"/>
    <w:rsid w:val="64020817"/>
    <w:rsid w:val="64725C86"/>
    <w:rsid w:val="647F5392"/>
    <w:rsid w:val="65E73470"/>
    <w:rsid w:val="664B1D71"/>
    <w:rsid w:val="67685C85"/>
    <w:rsid w:val="67AA3209"/>
    <w:rsid w:val="681C4F0D"/>
    <w:rsid w:val="69046D0F"/>
    <w:rsid w:val="698D0931"/>
    <w:rsid w:val="69C325F4"/>
    <w:rsid w:val="6A993CED"/>
    <w:rsid w:val="6B053271"/>
    <w:rsid w:val="6BCE6674"/>
    <w:rsid w:val="6C4A05C8"/>
    <w:rsid w:val="6C8742B8"/>
    <w:rsid w:val="6C8A170F"/>
    <w:rsid w:val="6CB54609"/>
    <w:rsid w:val="6DBF5E93"/>
    <w:rsid w:val="6DD703B2"/>
    <w:rsid w:val="6DFF077E"/>
    <w:rsid w:val="6E7E3605"/>
    <w:rsid w:val="6E7FDCC7"/>
    <w:rsid w:val="6ED6A62E"/>
    <w:rsid w:val="6EE00B15"/>
    <w:rsid w:val="6F1E1074"/>
    <w:rsid w:val="6F544B20"/>
    <w:rsid w:val="6F6FB3EB"/>
    <w:rsid w:val="6F784160"/>
    <w:rsid w:val="6F8731EA"/>
    <w:rsid w:val="6FCE6052"/>
    <w:rsid w:val="6FD57C00"/>
    <w:rsid w:val="6FEFFFD8"/>
    <w:rsid w:val="6FF5CC65"/>
    <w:rsid w:val="6FFB47EC"/>
    <w:rsid w:val="6FFF034A"/>
    <w:rsid w:val="70496804"/>
    <w:rsid w:val="709969B1"/>
    <w:rsid w:val="712A28F1"/>
    <w:rsid w:val="715C0E4B"/>
    <w:rsid w:val="72233669"/>
    <w:rsid w:val="724C79C6"/>
    <w:rsid w:val="725C34B6"/>
    <w:rsid w:val="72734D90"/>
    <w:rsid w:val="7332FE48"/>
    <w:rsid w:val="73AB61DA"/>
    <w:rsid w:val="73AD73D5"/>
    <w:rsid w:val="73B6EB34"/>
    <w:rsid w:val="73FA497D"/>
    <w:rsid w:val="744731E5"/>
    <w:rsid w:val="74527205"/>
    <w:rsid w:val="74BBD01D"/>
    <w:rsid w:val="74ED5379"/>
    <w:rsid w:val="74FC2395"/>
    <w:rsid w:val="75DEEEC2"/>
    <w:rsid w:val="766C25DD"/>
    <w:rsid w:val="76E3355F"/>
    <w:rsid w:val="76FF5125"/>
    <w:rsid w:val="776F6FFA"/>
    <w:rsid w:val="778769C8"/>
    <w:rsid w:val="77DC22F5"/>
    <w:rsid w:val="79086DAD"/>
    <w:rsid w:val="79974F09"/>
    <w:rsid w:val="79A502B8"/>
    <w:rsid w:val="79D7FD79"/>
    <w:rsid w:val="79EE5BA4"/>
    <w:rsid w:val="7A230AC3"/>
    <w:rsid w:val="7A4A401F"/>
    <w:rsid w:val="7A894339"/>
    <w:rsid w:val="7AFF7572"/>
    <w:rsid w:val="7B6C7DFB"/>
    <w:rsid w:val="7BBFBED0"/>
    <w:rsid w:val="7BC3E394"/>
    <w:rsid w:val="7C1F3737"/>
    <w:rsid w:val="7CBFC87B"/>
    <w:rsid w:val="7CFE0F48"/>
    <w:rsid w:val="7D7EC23E"/>
    <w:rsid w:val="7D916348"/>
    <w:rsid w:val="7E4C1D7A"/>
    <w:rsid w:val="7E8ADEBF"/>
    <w:rsid w:val="7EEF11D3"/>
    <w:rsid w:val="7F0971A6"/>
    <w:rsid w:val="7F3F679B"/>
    <w:rsid w:val="7F466F7C"/>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8"/>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next w:val="1"/>
    <w:link w:val="38"/>
    <w:unhideWhenUsed/>
    <w:qFormat/>
    <w:uiPriority w:val="99"/>
    <w:pPr>
      <w:ind w:firstLine="420" w:firstLineChars="200"/>
    </w:pPr>
  </w:style>
  <w:style w:type="paragraph" w:styleId="8">
    <w:name w:val="toc 5"/>
    <w:basedOn w:val="1"/>
    <w:next w:val="1"/>
    <w:qFormat/>
    <w:uiPriority w:val="0"/>
    <w:pPr>
      <w:ind w:left="800" w:leftChars="8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4"/>
    <w:semiHidden/>
    <w:unhideWhenUsed/>
    <w:qFormat/>
    <w:uiPriority w:val="99"/>
    <w:rPr>
      <w:sz w:val="18"/>
      <w:szCs w:val="18"/>
    </w:rPr>
  </w:style>
  <w:style w:type="paragraph" w:styleId="11">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7"/>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rPr>
      <w:sz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paragraph" w:customStyle="1" w:styleId="2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3">
    <w:name w:val="Header Char"/>
    <w:basedOn w:val="19"/>
    <w:semiHidden/>
    <w:qFormat/>
    <w:uiPriority w:val="99"/>
    <w:rPr>
      <w:rFonts w:ascii="Times New Roman" w:hAnsi="Times New Roman"/>
      <w:sz w:val="18"/>
      <w:szCs w:val="18"/>
    </w:rPr>
  </w:style>
  <w:style w:type="character" w:customStyle="1" w:styleId="24">
    <w:name w:val="页眉 Char"/>
    <w:link w:val="12"/>
    <w:semiHidden/>
    <w:qFormat/>
    <w:locked/>
    <w:uiPriority w:val="99"/>
    <w:rPr>
      <w:sz w:val="18"/>
    </w:rPr>
  </w:style>
  <w:style w:type="character" w:customStyle="1" w:styleId="25">
    <w:name w:val="Footer Char"/>
    <w:basedOn w:val="19"/>
    <w:semiHidden/>
    <w:qFormat/>
    <w:uiPriority w:val="99"/>
    <w:rPr>
      <w:rFonts w:ascii="Times New Roman" w:hAnsi="Times New Roman"/>
      <w:sz w:val="18"/>
      <w:szCs w:val="18"/>
    </w:rPr>
  </w:style>
  <w:style w:type="character" w:customStyle="1" w:styleId="26">
    <w:name w:val="页脚 Char"/>
    <w:link w:val="11"/>
    <w:qFormat/>
    <w:locked/>
    <w:uiPriority w:val="99"/>
    <w:rPr>
      <w:sz w:val="18"/>
    </w:rPr>
  </w:style>
  <w:style w:type="character" w:customStyle="1" w:styleId="27">
    <w:name w:val="Body Text Char"/>
    <w:basedOn w:val="19"/>
    <w:semiHidden/>
    <w:qFormat/>
    <w:uiPriority w:val="99"/>
    <w:rPr>
      <w:rFonts w:ascii="Times New Roman" w:hAnsi="Times New Roman"/>
      <w:szCs w:val="24"/>
    </w:rPr>
  </w:style>
  <w:style w:type="character" w:customStyle="1" w:styleId="28">
    <w:name w:val="正文文本 Char"/>
    <w:link w:val="5"/>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19"/>
    <w:link w:val="2"/>
    <w:qFormat/>
    <w:uiPriority w:val="9"/>
    <w:rPr>
      <w:rFonts w:ascii="Times New Roman" w:hAnsi="Times New Roman"/>
      <w:b/>
      <w:bCs/>
      <w:kern w:val="44"/>
      <w:sz w:val="44"/>
      <w:szCs w:val="44"/>
    </w:rPr>
  </w:style>
  <w:style w:type="character" w:customStyle="1" w:styleId="32">
    <w:name w:val="标题 2 Char"/>
    <w:basedOn w:val="19"/>
    <w:link w:val="3"/>
    <w:qFormat/>
    <w:uiPriority w:val="9"/>
    <w:rPr>
      <w:rFonts w:asciiTheme="majorHAnsi" w:hAnsiTheme="majorHAnsi" w:eastAsiaTheme="majorEastAsia" w:cstheme="majorBidi"/>
      <w:b/>
      <w:bCs/>
      <w:kern w:val="2"/>
      <w:sz w:val="32"/>
      <w:szCs w:val="32"/>
    </w:rPr>
  </w:style>
  <w:style w:type="paragraph" w:customStyle="1" w:styleId="33">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19"/>
    <w:link w:val="10"/>
    <w:semiHidden/>
    <w:qFormat/>
    <w:uiPriority w:val="99"/>
    <w:rPr>
      <w:rFonts w:ascii="Times New Roman" w:hAnsi="Times New Roman"/>
      <w:kern w:val="2"/>
      <w:sz w:val="18"/>
      <w:szCs w:val="18"/>
    </w:rPr>
  </w:style>
  <w:style w:type="character" w:customStyle="1" w:styleId="35">
    <w:name w:val="标题 3 Char"/>
    <w:basedOn w:val="19"/>
    <w:link w:val="4"/>
    <w:qFormat/>
    <w:uiPriority w:val="9"/>
    <w:rPr>
      <w:rFonts w:ascii="Times New Roman" w:hAnsi="Times New Roman"/>
      <w:b/>
      <w:bCs/>
      <w:kern w:val="2"/>
      <w:sz w:val="32"/>
      <w:szCs w:val="32"/>
    </w:rPr>
  </w:style>
  <w:style w:type="paragraph" w:customStyle="1" w:styleId="36">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color w:val="000000"/>
      <w:kern w:val="0"/>
      <w:sz w:val="28"/>
      <w:szCs w:val="21"/>
      <w:lang w:val="zh-CN"/>
    </w:rPr>
  </w:style>
  <w:style w:type="character" w:customStyle="1" w:styleId="38">
    <w:name w:val="正文首行缩进 2 Char"/>
    <w:basedOn w:val="19"/>
    <w:link w:val="7"/>
    <w:qFormat/>
    <w:uiPriority w:val="99"/>
    <w:rPr>
      <w:rFonts w:ascii="仿宋_GB2312"/>
      <w:kern w:val="2"/>
      <w:sz w:val="21"/>
      <w:szCs w:val="32"/>
    </w:rPr>
  </w:style>
  <w:style w:type="character" w:customStyle="1" w:styleId="39">
    <w:name w:val="heading 2 Char"/>
    <w:basedOn w:val="19"/>
    <w:link w:val="3"/>
    <w:qFormat/>
    <w:uiPriority w:val="0"/>
    <w:rPr>
      <w:rFonts w:ascii="Cambria" w:hAnsi="Times New Roman" w:eastAsia="宋体" w:cs="Times New Roman"/>
      <w:b/>
      <w:bCs/>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chart" Target="charts/chart7.xml"/><Relationship Id="rId20" Type="http://schemas.openxmlformats.org/officeDocument/2006/relationships/chart" Target="charts/chart6.xml"/><Relationship Id="rId2" Type="http://schemas.openxmlformats.org/officeDocument/2006/relationships/settings" Target="settings.xml"/><Relationship Id="rId19" Type="http://schemas.openxmlformats.org/officeDocument/2006/relationships/chart" Target="charts/chart5.xml"/><Relationship Id="rId18" Type="http://schemas.openxmlformats.org/officeDocument/2006/relationships/chart" Target="charts/chart4.xml"/><Relationship Id="rId17" Type="http://schemas.openxmlformats.org/officeDocument/2006/relationships/chart" Target="charts/chart3.xml"/><Relationship Id="rId16" Type="http://schemas.openxmlformats.org/officeDocument/2006/relationships/chart" Target="charts/chart2.xml"/><Relationship Id="rId15" Type="http://schemas.openxmlformats.org/officeDocument/2006/relationships/chart" Target="charts/chart1.xml"/><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25991;&#26723;&#30424;\2026&#24180;\2025&#24180;&#20915;&#31639;\&#20915;&#31639;&#20844;&#24320;\2025&#37096;&#38376;&#20915;&#31639;&#26609;&#29366;&#22270;.xlsx" TargetMode="External"/></Relationships>
</file>

<file path=word/charts/_rels/chart2.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oleObject" Target="file:///D:\&#25991;&#26723;&#30424;\2026&#24180;\2025&#24180;&#20915;&#31639;\&#20915;&#31639;&#20844;&#24320;\2025&#37096;&#38376;&#20915;&#31639;&#26609;&#29366;&#2227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D:\&#25991;&#26723;&#30424;\2026&#24180;\2025&#24180;&#20915;&#31639;\&#20915;&#31639;&#20844;&#24320;\2025&#37096;&#38376;&#20915;&#31639;&#26609;&#29366;&#22270;.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D:\&#25991;&#26723;&#30424;\2026&#24180;\2025&#24180;&#20915;&#31639;\&#20915;&#31639;&#20844;&#24320;\2025&#37096;&#38376;&#20915;&#31639;&#26609;&#29366;&#22270;.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D:\&#25991;&#26723;&#30424;\2026&#24180;\2025&#24180;&#20915;&#31639;\&#20915;&#31639;&#20844;&#24320;\2025&#37096;&#38376;&#20915;&#31639;&#26609;&#29366;&#22270;.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D:\&#25991;&#26723;&#30424;\2026&#24180;\2025&#24180;&#20915;&#31639;\&#20915;&#31639;&#20844;&#24320;\2025&#37096;&#38376;&#20915;&#31639;&#26609;&#29366;&#22270;.xlsx" TargetMode="External"/></Relationships>
</file>

<file path=word/charts/_rels/chart7.xml.rels><?xml version="1.0" encoding="UTF-8" standalone="yes"?>
<Relationships xmlns="http://schemas.openxmlformats.org/package/2006/relationships"><Relationship Id="rId4" Type="http://schemas.microsoft.com/office/2011/relationships/chartColorStyle" Target="colors6.xml"/><Relationship Id="rId3" Type="http://schemas.microsoft.com/office/2011/relationships/chartStyle" Target="style6.xml"/><Relationship Id="rId2" Type="http://schemas.openxmlformats.org/officeDocument/2006/relationships/themeOverride" Target="../theme/themeOverride2.xml"/><Relationship Id="rId1" Type="http://schemas.openxmlformats.org/officeDocument/2006/relationships/oleObject" Target="file:///D:\&#25991;&#26723;&#30424;\2025&#24180;\2024&#24180;&#20915;&#31639;\&#20844;&#24320;\&#24066;&#23616;\2024&#24180;&#20915;&#31639;&#20844;&#24320;&#26609;&#29366;&#22270;5010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sz="1400"/>
              <a:t>   </a:t>
            </a:r>
            <a:r>
              <a:rPr altLang="en-US" sz="1400"/>
              <a:t>财政拨款收、支决算总计变动情况图（</a:t>
            </a:r>
            <a:r>
              <a:rPr lang="en-US" altLang="zh-CN" sz="1400"/>
              <a:t> </a:t>
            </a:r>
            <a:r>
              <a:rPr sz="1400"/>
              <a:t>单位：万元）</a:t>
            </a:r>
            <a:endParaRPr sz="1400"/>
          </a:p>
        </c:rich>
      </c:tx>
      <c:layout>
        <c:manualLayout>
          <c:xMode val="edge"/>
          <c:yMode val="edge"/>
          <c:x val="0.0882170505174169"/>
          <c:y val="0.122302397728438"/>
        </c:manualLayout>
      </c:layout>
      <c:overlay val="0"/>
      <c:spPr>
        <a:noFill/>
        <a:ln>
          <a:noFill/>
        </a:ln>
        <a:effectLst/>
      </c:spPr>
    </c:title>
    <c:autoTitleDeleted val="0"/>
    <c:plotArea>
      <c:layout>
        <c:manualLayout>
          <c:layoutTarget val="inner"/>
          <c:xMode val="edge"/>
          <c:yMode val="edge"/>
          <c:x val="0.0714320154291225"/>
          <c:y val="0.290326933563305"/>
          <c:w val="0.902816839154127"/>
          <c:h val="0.592022756005057"/>
        </c:manualLayout>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'[2024部门决算柱状图.xlsx]1'!$A$2:$A$5</c:f>
              <c:strCache>
                <c:ptCount val="4"/>
                <c:pt idx="0">
                  <c:v>2024年财政拨款收入</c:v>
                </c:pt>
                <c:pt idx="1">
                  <c:v>2025年财政拨款收入</c:v>
                </c:pt>
                <c:pt idx="2">
                  <c:v>2024年财政拨款支出</c:v>
                </c:pt>
                <c:pt idx="3">
                  <c:v>2025年财政拨款支出</c:v>
                </c:pt>
              </c:strCache>
            </c:strRef>
          </c:cat>
          <c:val>
            <c:numRef>
              <c:f>'[2024部门决算柱状图.xlsx]1'!$B$2:$B$5</c:f>
              <c:numCache>
                <c:formatCode>General</c:formatCode>
                <c:ptCount val="4"/>
                <c:pt idx="0">
                  <c:v>4339.95</c:v>
                </c:pt>
                <c:pt idx="1">
                  <c:v>3969.29</c:v>
                </c:pt>
                <c:pt idx="2">
                  <c:v>4339.95</c:v>
                </c:pt>
                <c:pt idx="3">
                  <c:v>3969.29</c:v>
                </c:pt>
              </c:numCache>
            </c:numRef>
          </c:val>
        </c:ser>
        <c:dLbls>
          <c:showLegendKey val="0"/>
          <c:showVal val="1"/>
          <c:showCatName val="0"/>
          <c:showSerName val="0"/>
          <c:showPercent val="0"/>
          <c:showBubbleSize val="0"/>
        </c:dLbls>
        <c:gapWidth val="216"/>
        <c:overlap val="-32"/>
        <c:axId val="112705536"/>
        <c:axId val="112707072"/>
      </c:barChart>
      <c:catAx>
        <c:axId val="112705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2707072"/>
        <c:crosses val="autoZero"/>
        <c:auto val="1"/>
        <c:lblAlgn val="ctr"/>
        <c:lblOffset val="0"/>
        <c:noMultiLvlLbl val="0"/>
      </c:catAx>
      <c:valAx>
        <c:axId val="1127070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2705536"/>
        <c:crosses val="autoZero"/>
        <c:crossBetween val="between"/>
      </c:valAx>
      <c:spPr>
        <a:noFill/>
        <a:ln>
          <a:noFill/>
        </a:ln>
        <a:effectLst/>
      </c:spPr>
    </c:plotArea>
    <c:plotVisOnly val="1"/>
    <c:dispBlanksAs val="gap"/>
    <c:showDLblsOverMax val="0"/>
    <c:extLst>
      <c:ext uri="{0b15fc19-7d7d-44ad-8c2d-2c3a37ce22c3}">
        <chartProps xmlns="https://web.wps.cn/et/2018/main" chartId="{1e1b1576-9dfa-40a0-8b87-3dbcbf29db4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收入决算结构图（单位：万元）</a:t>
            </a:r>
          </a:p>
        </c:rich>
      </c:tx>
      <c:layout/>
      <c:overlay val="0"/>
      <c:spPr>
        <a:noFill/>
        <a:ln>
          <a:noFill/>
        </a:ln>
        <a:effectLst/>
      </c:spPr>
    </c:title>
    <c:autoTitleDeleted val="0"/>
    <c:plotArea>
      <c:layout>
        <c:manualLayout>
          <c:layoutTarget val="inner"/>
          <c:xMode val="edge"/>
          <c:yMode val="edge"/>
          <c:x val="0.0325181402848697"/>
          <c:y val="0.19896449704142"/>
          <c:w val="0.595001343724805"/>
          <c:h val="0.752218934911243"/>
        </c:manualLayout>
      </c:layout>
      <c:ofPieChart>
        <c:ofPieType val="bar"/>
        <c:varyColors val="1"/>
        <c:ser>
          <c:idx val="0"/>
          <c:order val="0"/>
          <c:spPr>
            <a:ln>
              <a:solidFill>
                <a:schemeClr val="bg1"/>
              </a:solidFill>
            </a:ln>
          </c:spPr>
          <c:explosion val="0"/>
          <c:dPt>
            <c:idx val="0"/>
            <c:bubble3D val="0"/>
            <c:spPr>
              <a:solidFill>
                <a:schemeClr val="accent1"/>
              </a:solidFill>
              <a:ln w="9525">
                <a:solidFill>
                  <a:schemeClr val="bg1"/>
                </a:solidFill>
              </a:ln>
              <a:effectLst/>
            </c:spPr>
          </c:dPt>
          <c:dPt>
            <c:idx val="1"/>
            <c:bubble3D val="0"/>
            <c:spPr>
              <a:solidFill>
                <a:schemeClr val="accent2"/>
              </a:solidFill>
              <a:ln w="9525">
                <a:solidFill>
                  <a:schemeClr val="bg1"/>
                </a:solidFill>
              </a:ln>
              <a:effectLst/>
            </c:spPr>
          </c:dPt>
          <c:dPt>
            <c:idx val="2"/>
            <c:bubble3D val="0"/>
            <c:spPr>
              <a:solidFill>
                <a:schemeClr val="accent3"/>
              </a:solidFill>
              <a:ln w="9525">
                <a:solidFill>
                  <a:schemeClr val="bg1"/>
                </a:solidFill>
              </a:ln>
              <a:effectLst/>
            </c:spPr>
          </c:dPt>
          <c:dLbls>
            <c:dLbl>
              <c:idx val="0"/>
              <c:layout/>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1"/>
              <c:layout/>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2"/>
              <c:layout/>
              <c:dLblPos val="inEnd"/>
              <c:showLegendKey val="0"/>
              <c:showVal val="1"/>
              <c:showCatName val="0"/>
              <c:showSerName val="0"/>
              <c:showPercent val="0"/>
              <c:showBubbleSize val="0"/>
              <c:separator>
</c:separator>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8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extLst>
                <c:ext xmlns:c15="http://schemas.microsoft.com/office/drawing/2012/chart" uri="{02D57815-91ED-43cb-92C2-25804820EDAC}">
                  <c15:fullRef>
                    <c15:sqref>'[2025部门决算柱状图.xlsx]2'!$A$1:$A$3</c15:sqref>
                  </c15:fullRef>
                </c:ext>
              </c:extLst>
              <c:f>'[2025部门决算柱状图.xlsx]2'!$A$2:$A$3</c:f>
              <c:strCache>
                <c:ptCount val="2"/>
                <c:pt idx="0">
                  <c:v>一般公共预算财政拨款收入</c:v>
                </c:pt>
                <c:pt idx="1">
                  <c:v>政府性基金预算财政拨款收入</c:v>
                </c:pt>
              </c:strCache>
            </c:strRef>
          </c:cat>
          <c:val>
            <c:numRef>
              <c:extLst>
                <c:ext xmlns:c15="http://schemas.microsoft.com/office/drawing/2012/chart" uri="{02D57815-91ED-43cb-92C2-25804820EDAC}">
                  <c15:fullRef>
                    <c15:sqref>'2'!$B$1:$B$3</c15:sqref>
                  </c15:fullRef>
                </c:ext>
              </c:extLst>
              <c:f>'[2025部门决算柱状图.xlsx]2'!$B$2:$B$3</c:f>
              <c:numCache>
                <c:formatCode>General</c:formatCode>
                <c:ptCount val="2"/>
                <c:pt idx="0">
                  <c:v>3682.22</c:v>
                </c:pt>
                <c:pt idx="1">
                  <c:v>287.07</c:v>
                </c:pt>
              </c:numCache>
            </c:numRef>
          </c:val>
        </c:ser>
        <c:dLbls>
          <c:showLegendKey val="0"/>
          <c:showVal val="1"/>
          <c:showCatName val="0"/>
          <c:showSerName val="0"/>
          <c:showPercent val="0"/>
          <c:showBubbleSize val="0"/>
          <c:showLeaderLines val="1"/>
        </c:dLbls>
        <c:gapWidth val="100"/>
        <c:secondPieSize val="75"/>
        <c:serLines>
          <c:spPr>
            <a:ln w="9525" cap="flat" cmpd="sng" algn="ctr">
              <a:solidFill>
                <a:schemeClr val="tx1">
                  <a:lumMod val="50000"/>
                  <a:lumOff val="50000"/>
                  <a:alpha val="50000"/>
                </a:schemeClr>
              </a:solidFill>
              <a:prstDash val="solid"/>
              <a:round/>
            </a:ln>
            <a:effectLst/>
          </c:spPr>
        </c:serLines>
      </c:ofPieChart>
      <c:spPr>
        <a:noFill/>
        <a:ln>
          <a:noFill/>
        </a:ln>
        <a:effectLst/>
      </c:spPr>
    </c:plotArea>
    <c:legend>
      <c:legendPos val="r"/>
      <c:layout/>
      <c:overlay val="0"/>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000d84b0-5d8a-46ce-b569-51fc6ec24a34}"/>
      </c:ext>
    </c:extLst>
  </c:chart>
  <c:spPr>
    <a:gradFill>
      <a:gsLst>
        <a:gs pos="50000">
          <a:schemeClr val="accent5"/>
        </a:gs>
        <a:gs pos="0">
          <a:schemeClr val="accent5">
            <a:lumMod val="25000"/>
            <a:lumOff val="75000"/>
          </a:schemeClr>
        </a:gs>
        <a:gs pos="100000">
          <a:schemeClr val="accent5">
            <a:lumMod val="85000"/>
          </a:schemeClr>
        </a:gs>
      </a:gsLst>
      <a:lin ang="5400000" scaled="1"/>
    </a:gradFill>
    <a:ln w="6350" cap="flat" cmpd="sng" algn="ctr">
      <a:solidFill>
        <a:schemeClr val="tx1">
          <a:lumMod val="50000"/>
          <a:lumOff val="50000"/>
          <a:alpha val="25000"/>
        </a:schemeClr>
      </a:solidFill>
      <a:prstDash val="solid"/>
      <a:round/>
    </a:ln>
    <a:effectLst/>
  </c:spPr>
  <c:txPr>
    <a:bodyPr/>
    <a:lstStyle/>
    <a:p>
      <a:pPr>
        <a:defRPr lang="zh-CN" sz="80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2025年支出决算结构图（单位：万元）</a:t>
            </a:r>
          </a:p>
        </c:rich>
      </c:tx>
      <c:layout>
        <c:manualLayout>
          <c:xMode val="edge"/>
          <c:yMode val="edge"/>
          <c:x val="0.145416666666667"/>
          <c:y val="0.00708215297450425"/>
        </c:manualLayout>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426388888888889"/>
          <c:y val="0.0857261295598803"/>
          <c:w val="0.938888888888889"/>
          <c:h val="0.840614886731392"/>
        </c:manualLayout>
      </c:layout>
      <c:pie3DChart>
        <c:varyColors val="1"/>
        <c:ser>
          <c:idx val="0"/>
          <c:order val="0"/>
          <c:spPr>
            <a:scene3d>
              <a:camera prst="orthographicFront"/>
              <a:lightRig rig="threePt" dir="t"/>
            </a:scene3d>
            <a:sp3d contourW="9525"/>
          </c:spPr>
          <c:explosion val="0"/>
          <c:dPt>
            <c:idx val="0"/>
            <c:bubble3D val="0"/>
            <c:spPr>
              <a:gradFill>
                <a:gsLst>
                  <a:gs pos="100000">
                    <a:schemeClr val="accent1"/>
                  </a:gs>
                  <a:gs pos="0">
                    <a:schemeClr val="accent1">
                      <a:hueOff val="-1670000"/>
                    </a:schemeClr>
                  </a:gs>
                </a:gsLst>
                <a:lin ang="5400000" scaled="0"/>
              </a:gradFill>
              <a:ln>
                <a:gradFill>
                  <a:gsLst>
                    <a:gs pos="100000">
                      <a:schemeClr val="accent1">
                        <a:lumMod val="75000"/>
                      </a:schemeClr>
                    </a:gs>
                    <a:gs pos="0">
                      <a:schemeClr val="accent1">
                        <a:lumMod val="75000"/>
                        <a:hueOff val="-1670000"/>
                      </a:schemeClr>
                    </a:gs>
                  </a:gsLst>
                  <a:lin ang="4620000" scaled="0"/>
                </a:gradFill>
              </a:ln>
              <a:effectLst/>
            </c:spPr>
          </c:dPt>
          <c:dPt>
            <c:idx val="1"/>
            <c:bubble3D val="0"/>
            <c:spPr>
              <a:gradFill>
                <a:gsLst>
                  <a:gs pos="100000">
                    <a:schemeClr val="accent2"/>
                  </a:gs>
                  <a:gs pos="0">
                    <a:schemeClr val="accent2">
                      <a:hueOff val="-1670000"/>
                    </a:schemeClr>
                  </a:gs>
                </a:gsLst>
                <a:lin ang="5400000" scaled="0"/>
              </a:gradFill>
              <a:ln>
                <a:gradFill>
                  <a:gsLst>
                    <a:gs pos="100000">
                      <a:schemeClr val="accent2">
                        <a:lumMod val="75000"/>
                      </a:schemeClr>
                    </a:gs>
                    <a:gs pos="0">
                      <a:schemeClr val="accent2">
                        <a:lumMod val="75000"/>
                        <a:hueOff val="-1670000"/>
                      </a:schemeClr>
                    </a:gs>
                  </a:gsLst>
                  <a:lin ang="4620000" scaled="0"/>
                </a:gradFill>
              </a:ln>
              <a:effectLst/>
            </c:spPr>
          </c:dPt>
          <c:dLbls>
            <c:dLbl>
              <c:idx val="0"/>
              <c:layout>
                <c:manualLayout>
                  <c:x val="-0.142324315628971"/>
                  <c:y val="-0.212962516235582"/>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dk1">
                            <a:lumMod val="75000"/>
                            <a:lumOff val="25000"/>
                          </a:schemeClr>
                        </a:solidFill>
                        <a:latin typeface="+mn-lt"/>
                        <a:ea typeface="+mn-ea"/>
                        <a:cs typeface="+mn-cs"/>
                      </a:defRPr>
                    </a:pPr>
                    <a:r>
                      <a:t>基本支出</a:t>
                    </a:r>
                  </a:p>
                  <a:p>
                    <a:pPr defTabSz="914400">
                      <a:defRPr lang="zh-CN" sz="1000" b="0" i="0" u="none" strike="noStrike" kern="1200" baseline="0">
                        <a:solidFill>
                          <a:schemeClr val="dk1">
                            <a:lumMod val="75000"/>
                            <a:lumOff val="25000"/>
                          </a:schemeClr>
                        </a:solidFill>
                        <a:latin typeface="+mn-lt"/>
                        <a:ea typeface="+mn-ea"/>
                        <a:cs typeface="+mn-cs"/>
                      </a:defRPr>
                    </a:pPr>
                    <a:r>
                      <a:t>70.</a:t>
                    </a:r>
                    <a:r>
                      <a:rPr lang="en-US" altLang="zh-CN"/>
                      <a:t>3</a:t>
                    </a:r>
                    <a:r>
                      <a:t>%</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dk1">
                            <a:lumMod val="75000"/>
                            <a:lumOff val="25000"/>
                          </a:schemeClr>
                        </a:solidFill>
                        <a:latin typeface="+mn-lt"/>
                        <a:ea typeface="+mn-ea"/>
                        <a:cs typeface="+mn-cs"/>
                      </a:defRPr>
                    </a:pPr>
                    <a:r>
                      <a:t>项目支出</a:t>
                    </a:r>
                  </a:p>
                  <a:p>
                    <a:pPr defTabSz="914400">
                      <a:defRPr lang="zh-CN" sz="1000" b="0" i="0" u="none" strike="noStrike" kern="1200" baseline="0">
                        <a:solidFill>
                          <a:schemeClr val="dk1">
                            <a:lumMod val="75000"/>
                            <a:lumOff val="25000"/>
                          </a:schemeClr>
                        </a:solidFill>
                        <a:latin typeface="+mn-lt"/>
                        <a:ea typeface="+mn-ea"/>
                        <a:cs typeface="+mn-cs"/>
                      </a:defRPr>
                    </a:pPr>
                    <a:r>
                      <a:t>29.7%</a:t>
                    </a:r>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'[2025部门决算柱状图.xlsx]3'!$A$2:$A$3</c:f>
              <c:strCache>
                <c:ptCount val="2"/>
                <c:pt idx="0">
                  <c:v>基本支出</c:v>
                </c:pt>
                <c:pt idx="1">
                  <c:v>项目支出</c:v>
                </c:pt>
              </c:strCache>
            </c:strRef>
          </c:cat>
          <c:val>
            <c:numRef>
              <c:f>'[2025部门决算柱状图.xlsx]3'!$B$2:$B$3</c:f>
              <c:numCache>
                <c:formatCode>General</c:formatCode>
                <c:ptCount val="2"/>
                <c:pt idx="0">
                  <c:v>2789.42</c:v>
                </c:pt>
                <c:pt idx="1">
                  <c:v>1179.87</c:v>
                </c:pt>
              </c:numCache>
            </c:numRef>
          </c:val>
        </c:ser>
        <c:dLbls>
          <c:showLegendKey val="0"/>
          <c:showVal val="0"/>
          <c:showCatName val="1"/>
          <c:showSerName val="0"/>
          <c:showPercent val="1"/>
          <c:showBubbleSize val="0"/>
        </c:dLbls>
      </c:pie3DChart>
      <c:spPr>
        <a:noFill/>
        <a:ln>
          <a:noFill/>
        </a:ln>
        <a:effectLst/>
      </c:spPr>
    </c:plotArea>
    <c:legend>
      <c:legendPos val="t"/>
      <c:layout>
        <c:manualLayout>
          <c:xMode val="edge"/>
          <c:yMode val="edge"/>
          <c:x val="0.354097222222222"/>
          <c:y val="0.10339943342776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e59e3ea9-804e-4946-8500-c32ece543ea6}"/>
      </c:ext>
    </c:extLst>
  </c:chart>
  <c:spPr>
    <a:solidFill>
      <a:schemeClr val="accent5">
        <a:lumMod val="40000"/>
        <a:lumOff val="60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sz="1400"/>
              <a:t>   </a:t>
            </a:r>
            <a:r>
              <a:rPr altLang="en-US" sz="1400"/>
              <a:t>财政拨款收、支决算总计变动情况图（</a:t>
            </a:r>
            <a:r>
              <a:rPr lang="en-US" altLang="zh-CN" sz="1400"/>
              <a:t> </a:t>
            </a:r>
            <a:r>
              <a:rPr sz="1400"/>
              <a:t>单位：万元）</a:t>
            </a:r>
            <a:endParaRPr sz="1400"/>
          </a:p>
        </c:rich>
      </c:tx>
      <c:layout>
        <c:manualLayout>
          <c:xMode val="edge"/>
          <c:yMode val="edge"/>
          <c:x val="0.0842392298809656"/>
          <c:y val="0.128040530227134"/>
        </c:manualLayout>
      </c:layout>
      <c:overlay val="0"/>
      <c:spPr>
        <a:noFill/>
        <a:ln>
          <a:noFill/>
        </a:ln>
        <a:effectLst/>
      </c:spPr>
    </c:title>
    <c:autoTitleDeleted val="0"/>
    <c:plotArea>
      <c:layout>
        <c:manualLayout>
          <c:layoutTarget val="inner"/>
          <c:xMode val="edge"/>
          <c:yMode val="edge"/>
          <c:x val="0.0687801350048216"/>
          <c:y val="0.293195999812653"/>
          <c:w val="0.902816839154127"/>
          <c:h val="0.592022756005057"/>
        </c:manualLayout>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'[2024部门决算柱状图.xlsx]1'!$A$2:$A$5</c:f>
              <c:strCache>
                <c:ptCount val="4"/>
                <c:pt idx="0">
                  <c:v>2024年财政拨款收入</c:v>
                </c:pt>
                <c:pt idx="1">
                  <c:v>2025年财政拨款收入</c:v>
                </c:pt>
                <c:pt idx="2">
                  <c:v>2024年财政拨款支出</c:v>
                </c:pt>
                <c:pt idx="3">
                  <c:v>2025年财政拨款支出</c:v>
                </c:pt>
              </c:strCache>
            </c:strRef>
          </c:cat>
          <c:val>
            <c:numRef>
              <c:f>'[2024部门决算柱状图.xlsx]1'!$B$2:$B$5</c:f>
              <c:numCache>
                <c:formatCode>General</c:formatCode>
                <c:ptCount val="4"/>
                <c:pt idx="0">
                  <c:v>4339.95</c:v>
                </c:pt>
                <c:pt idx="1">
                  <c:v>3969.29</c:v>
                </c:pt>
                <c:pt idx="2">
                  <c:v>4339.95</c:v>
                </c:pt>
                <c:pt idx="3">
                  <c:v>3969.29</c:v>
                </c:pt>
              </c:numCache>
            </c:numRef>
          </c:val>
        </c:ser>
        <c:dLbls>
          <c:showLegendKey val="0"/>
          <c:showVal val="1"/>
          <c:showCatName val="0"/>
          <c:showSerName val="0"/>
          <c:showPercent val="0"/>
          <c:showBubbleSize val="0"/>
        </c:dLbls>
        <c:gapWidth val="216"/>
        <c:overlap val="-32"/>
        <c:axId val="112705536"/>
        <c:axId val="112707072"/>
      </c:barChart>
      <c:catAx>
        <c:axId val="112705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2707072"/>
        <c:crosses val="autoZero"/>
        <c:auto val="1"/>
        <c:lblAlgn val="ctr"/>
        <c:lblOffset val="0"/>
        <c:noMultiLvlLbl val="0"/>
      </c:catAx>
      <c:valAx>
        <c:axId val="1127070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2705536"/>
        <c:crosses val="autoZero"/>
        <c:crossBetween val="between"/>
      </c:valAx>
      <c:spPr>
        <a:noFill/>
        <a:ln>
          <a:noFill/>
        </a:ln>
        <a:effectLst/>
      </c:spPr>
    </c:plotArea>
    <c:plotVisOnly val="1"/>
    <c:dispBlanksAs val="gap"/>
    <c:showDLblsOverMax val="0"/>
    <c:extLst>
      <c:ext uri="{0b15fc19-7d7d-44ad-8c2d-2c3a37ce22c3}">
        <chartProps xmlns="https://web.wps.cn/et/2018/main" chartId="{1e1b1576-9dfa-40a0-8b87-3dbcbf29db4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一般公共预算财政拨款支出决算变动情况（单位：万元）</a:t>
            </a:r>
          </a:p>
        </c:rich>
      </c:tx>
      <c:layout>
        <c:manualLayout>
          <c:xMode val="edge"/>
          <c:yMode val="edge"/>
          <c:x val="0.135694444444445"/>
          <c:y val="0.0226851851851852"/>
        </c:manualLayout>
      </c:layout>
      <c:overlay val="0"/>
      <c:spPr>
        <a:noFill/>
        <a:ln>
          <a:noFill/>
        </a:ln>
        <a:effectLst/>
      </c:spPr>
    </c:title>
    <c:autoTitleDeleted val="0"/>
    <c:plotArea>
      <c:layout>
        <c:manualLayout>
          <c:layoutTarget val="inner"/>
          <c:xMode val="edge"/>
          <c:yMode val="edge"/>
          <c:x val="0.00555555555555556"/>
          <c:y val="0.284507862550961"/>
          <c:w val="0.938888888888889"/>
          <c:h val="0.441875364006989"/>
        </c:manualLayout>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'[2025部门决算柱状图.xlsx]4'!$A$2:$A$3</c:f>
              <c:strCache>
                <c:ptCount val="2"/>
                <c:pt idx="0">
                  <c:v>2025年一般公共预算财政拨款收入</c:v>
                </c:pt>
                <c:pt idx="1">
                  <c:v>2024年一般公共预算财政拨款收入</c:v>
                </c:pt>
              </c:strCache>
            </c:strRef>
          </c:cat>
          <c:val>
            <c:numRef>
              <c:f>'[2025部门决算柱状图.xlsx]4'!$B$2:$B$3</c:f>
              <c:numCache>
                <c:formatCode>General</c:formatCode>
                <c:ptCount val="2"/>
                <c:pt idx="0">
                  <c:v>3682.22</c:v>
                </c:pt>
                <c:pt idx="1">
                  <c:v>3845.98</c:v>
                </c:pt>
              </c:numCache>
            </c:numRef>
          </c:val>
        </c:ser>
        <c:dLbls>
          <c:showLegendKey val="0"/>
          <c:showVal val="1"/>
          <c:showCatName val="0"/>
          <c:showSerName val="0"/>
          <c:showPercent val="0"/>
          <c:showBubbleSize val="0"/>
        </c:dLbls>
        <c:gapWidth val="246"/>
        <c:overlap val="-28"/>
        <c:axId val="186861807"/>
        <c:axId val="71761456"/>
      </c:barChart>
      <c:catAx>
        <c:axId val="186861807"/>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761456"/>
        <c:crosses val="autoZero"/>
        <c:auto val="1"/>
        <c:lblAlgn val="ctr"/>
        <c:lblOffset val="100"/>
        <c:noMultiLvlLbl val="0"/>
      </c:catAx>
      <c:valAx>
        <c:axId val="7176145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6861807"/>
        <c:crosses val="autoZero"/>
        <c:crossBetween val="between"/>
      </c:valAx>
      <c:spPr>
        <a:noFill/>
        <a:ln>
          <a:noFill/>
        </a:ln>
        <a:effectLst/>
      </c:spPr>
    </c:plotArea>
    <c:plotVisOnly val="1"/>
    <c:dispBlanksAs val="gap"/>
    <c:showDLblsOverMax val="0"/>
    <c:extLst>
      <c:ext uri="{0b15fc19-7d7d-44ad-8c2d-2c3a37ce22c3}">
        <chartProps xmlns="https://web.wps.cn/et/2018/main" chartId="{8664037b-b0d6-49eb-8c1a-08733fa36ef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一般公共预算财政拨款支出结构图（单位：万元）</a:t>
            </a:r>
          </a:p>
        </c:rich>
      </c:tx>
      <c:layout>
        <c:manualLayout>
          <c:xMode val="edge"/>
          <c:yMode val="edge"/>
          <c:x val="0.151551298405464"/>
          <c:y val="0.0147140242983172"/>
        </c:manualLayout>
      </c:layout>
      <c:overlay val="0"/>
      <c:spPr>
        <a:noFill/>
        <a:ln>
          <a:noFill/>
        </a:ln>
        <a:effectLst/>
      </c:spPr>
    </c:title>
    <c:autoTitleDeleted val="0"/>
    <c:plotArea>
      <c:layout>
        <c:manualLayout>
          <c:layoutTarget val="inner"/>
          <c:xMode val="edge"/>
          <c:yMode val="edge"/>
          <c:x val="0.239068069199339"/>
          <c:y val="0.241890380313199"/>
          <c:w val="0.46866034947405"/>
          <c:h val="0.753775167785235"/>
        </c:manualLayout>
      </c:layout>
      <c:pieChart>
        <c:varyColors val="1"/>
        <c:ser>
          <c:idx val="0"/>
          <c:order val="0"/>
          <c:spPr/>
          <c:explosion val="0"/>
          <c:dPt>
            <c:idx val="0"/>
            <c:bubble3D val="0"/>
            <c:spPr>
              <a:gradFill>
                <a:gsLst>
                  <a:gs pos="100000">
                    <a:schemeClr val="accent1"/>
                  </a:gs>
                  <a:gs pos="0">
                    <a:schemeClr val="accent1">
                      <a:hueOff val="-1670000"/>
                    </a:schemeClr>
                  </a:gs>
                </a:gsLst>
                <a:lin ang="5400000" scaled="0"/>
              </a:gradFill>
              <a:ln>
                <a:gradFill>
                  <a:gsLst>
                    <a:gs pos="100000">
                      <a:schemeClr val="accent1">
                        <a:lumMod val="75000"/>
                      </a:schemeClr>
                    </a:gs>
                    <a:gs pos="0">
                      <a:schemeClr val="accent1">
                        <a:lumMod val="75000"/>
                        <a:hueOff val="-1670000"/>
                      </a:schemeClr>
                    </a:gs>
                  </a:gsLst>
                  <a:lin ang="4620000" scaled="0"/>
                </a:gradFill>
              </a:ln>
              <a:effectLst/>
            </c:spPr>
          </c:dPt>
          <c:dPt>
            <c:idx val="1"/>
            <c:bubble3D val="0"/>
            <c:spPr>
              <a:gradFill>
                <a:gsLst>
                  <a:gs pos="100000">
                    <a:schemeClr val="accent2"/>
                  </a:gs>
                  <a:gs pos="0">
                    <a:schemeClr val="accent2">
                      <a:hueOff val="-1670000"/>
                    </a:schemeClr>
                  </a:gs>
                </a:gsLst>
                <a:lin ang="5400000" scaled="0"/>
              </a:gradFill>
              <a:ln>
                <a:gradFill>
                  <a:gsLst>
                    <a:gs pos="100000">
                      <a:schemeClr val="accent2">
                        <a:lumMod val="75000"/>
                      </a:schemeClr>
                    </a:gs>
                    <a:gs pos="0">
                      <a:schemeClr val="accent2">
                        <a:lumMod val="75000"/>
                        <a:hueOff val="-1670000"/>
                      </a:schemeClr>
                    </a:gs>
                  </a:gsLst>
                  <a:lin ang="4620000" scaled="0"/>
                </a:gradFill>
              </a:ln>
              <a:effectLst/>
            </c:spPr>
          </c:dPt>
          <c:dPt>
            <c:idx val="2"/>
            <c:bubble3D val="0"/>
            <c:spPr>
              <a:gradFill>
                <a:gsLst>
                  <a:gs pos="100000">
                    <a:schemeClr val="accent3"/>
                  </a:gs>
                  <a:gs pos="0">
                    <a:schemeClr val="accent3">
                      <a:hueOff val="-1670000"/>
                    </a:schemeClr>
                  </a:gs>
                </a:gsLst>
                <a:lin ang="5400000" scaled="0"/>
              </a:gradFill>
              <a:ln>
                <a:gradFill>
                  <a:gsLst>
                    <a:gs pos="100000">
                      <a:schemeClr val="accent3">
                        <a:lumMod val="75000"/>
                      </a:schemeClr>
                    </a:gs>
                    <a:gs pos="0">
                      <a:schemeClr val="accent3">
                        <a:lumMod val="75000"/>
                        <a:hueOff val="-1670000"/>
                      </a:schemeClr>
                    </a:gs>
                  </a:gsLst>
                  <a:lin ang="4620000" scaled="0"/>
                </a:gradFill>
              </a:ln>
              <a:effectLst/>
            </c:spPr>
          </c:dPt>
          <c:dPt>
            <c:idx val="3"/>
            <c:bubble3D val="0"/>
            <c:spPr>
              <a:gradFill>
                <a:gsLst>
                  <a:gs pos="100000">
                    <a:schemeClr val="accent4"/>
                  </a:gs>
                  <a:gs pos="0">
                    <a:schemeClr val="accent4">
                      <a:hueOff val="-1670000"/>
                    </a:schemeClr>
                  </a:gs>
                </a:gsLst>
                <a:lin ang="5400000" scaled="0"/>
              </a:gradFill>
              <a:ln>
                <a:gradFill>
                  <a:gsLst>
                    <a:gs pos="100000">
                      <a:schemeClr val="accent4">
                        <a:lumMod val="75000"/>
                      </a:schemeClr>
                    </a:gs>
                    <a:gs pos="0">
                      <a:schemeClr val="accent4">
                        <a:lumMod val="75000"/>
                        <a:hueOff val="-1670000"/>
                      </a:schemeClr>
                    </a:gs>
                  </a:gsLst>
                  <a:lin ang="4620000" scaled="0"/>
                </a:gradFill>
              </a:ln>
              <a:effectLst/>
            </c:spPr>
          </c:dPt>
          <c:dLbls>
            <c:dLbl>
              <c:idx val="0"/>
              <c:layout>
                <c:manualLayout>
                  <c:x val="0.201621638058663"/>
                  <c:y val="0.073452020100604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dk1">
                            <a:lumMod val="75000"/>
                            <a:lumOff val="25000"/>
                          </a:schemeClr>
                        </a:solidFill>
                        <a:latin typeface="+mn-lt"/>
                        <a:ea typeface="+mn-ea"/>
                        <a:cs typeface="+mn-cs"/>
                      </a:defRPr>
                    </a:pPr>
                    <a:r>
                      <a:t>一般公共服务支出2.430.</a:t>
                    </a:r>
                    <a:r>
                      <a:rPr lang="en-US" altLang="zh-CN"/>
                      <a:t>1</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bestFit"/>
              <c:showLegendKey val="0"/>
              <c:showVal val="1"/>
              <c:showCatName val="1"/>
              <c:showSerName val="0"/>
              <c:showPercent val="1"/>
              <c:showBubbleSize val="0"/>
              <c:separator>
</c:separator>
              <c:extLst>
                <c:ext xmlns:c15="http://schemas.microsoft.com/office/drawing/2012/chart" uri="{CE6537A1-D6FC-4f65-9D91-7224C49458BB}">
                  <c15:layout/>
                </c:ext>
              </c:extLst>
            </c:dLbl>
            <c:dLbl>
              <c:idx val="1"/>
              <c:layout>
                <c:manualLayout>
                  <c:x val="0.269471027190091"/>
                  <c:y val="-0.188732341449397"/>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dk1">
                            <a:lumMod val="75000"/>
                            <a:lumOff val="25000"/>
                          </a:schemeClr>
                        </a:solidFill>
                        <a:latin typeface="+mn-lt"/>
                        <a:ea typeface="+mn-ea"/>
                        <a:cs typeface="+mn-cs"/>
                      </a:defRPr>
                    </a:pPr>
                    <a:r>
                      <a:t>社会保障和就业支出3357.3591.</a:t>
                    </a:r>
                    <a:r>
                      <a:rPr lang="en-US" altLang="zh-CN"/>
                      <a:t>2</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bestFit"/>
              <c:showLegendKey val="0"/>
              <c:showVal val="1"/>
              <c:showCatName val="1"/>
              <c:showSerName val="0"/>
              <c:showPercent val="1"/>
              <c:showBubbleSize val="0"/>
              <c:separator>
</c:separator>
              <c:extLst>
                <c:ext xmlns:c15="http://schemas.microsoft.com/office/drawing/2012/chart" uri="{CE6537A1-D6FC-4f65-9D91-7224C49458BB}">
                  <c15:layout/>
                </c:ext>
              </c:extLst>
            </c:dLbl>
            <c:dLbl>
              <c:idx val="2"/>
              <c:layout>
                <c:manualLayout>
                  <c:x val="-0.152110338674051"/>
                  <c:y val="0.133256406714498"/>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dk1">
                            <a:lumMod val="75000"/>
                            <a:lumOff val="25000"/>
                          </a:schemeClr>
                        </a:solidFill>
                        <a:latin typeface="+mn-lt"/>
                        <a:ea typeface="+mn-ea"/>
                        <a:cs typeface="+mn-cs"/>
                      </a:defRPr>
                    </a:pPr>
                    <a:r>
                      <a:t>卫生健康支出139.67</a:t>
                    </a:r>
                  </a:p>
                  <a:p>
                    <a:pPr defTabSz="914400">
                      <a:defRPr lang="zh-CN" sz="1000" b="0" i="0" u="none" strike="noStrike" kern="1200" baseline="0">
                        <a:solidFill>
                          <a:schemeClr val="dk1">
                            <a:lumMod val="75000"/>
                            <a:lumOff val="25000"/>
                          </a:schemeClr>
                        </a:solidFill>
                        <a:latin typeface="+mn-lt"/>
                        <a:ea typeface="+mn-ea"/>
                        <a:cs typeface="+mn-cs"/>
                      </a:defRPr>
                    </a:pPr>
                    <a:r>
                      <a:t>3.</a:t>
                    </a:r>
                    <a:r>
                      <a:rPr lang="en-US" altLang="zh-CN"/>
                      <a:t>8</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bestFit"/>
              <c:showLegendKey val="0"/>
              <c:showVal val="1"/>
              <c:showCatName val="1"/>
              <c:showSerName val="0"/>
              <c:showPercent val="1"/>
              <c:showBubbleSize val="0"/>
              <c:separator>
</c:separator>
              <c:extLst>
                <c:ext xmlns:c15="http://schemas.microsoft.com/office/drawing/2012/chart" uri="{CE6537A1-D6FC-4f65-9D91-7224C49458BB}">
                  <c15:layout/>
                </c:ext>
              </c:extLst>
            </c:dLbl>
            <c:dLbl>
              <c:idx val="3"/>
              <c:layout>
                <c:manualLayout>
                  <c:x val="-0.0659843467790488"/>
                  <c:y val="-0.00366300366300366"/>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dk1">
                            <a:lumMod val="75000"/>
                            <a:lumOff val="25000"/>
                          </a:schemeClr>
                        </a:solidFill>
                        <a:latin typeface="+mn-lt"/>
                        <a:ea typeface="+mn-ea"/>
                        <a:cs typeface="+mn-cs"/>
                      </a:defRPr>
                    </a:pPr>
                    <a:r>
                      <a:t>住房保障支出182.77</a:t>
                    </a:r>
                  </a:p>
                  <a:p>
                    <a:pPr defTabSz="914400">
                      <a:defRPr lang="zh-CN" sz="1000" b="0" i="0" u="none" strike="noStrike" kern="1200" baseline="0">
                        <a:solidFill>
                          <a:schemeClr val="dk1">
                            <a:lumMod val="75000"/>
                            <a:lumOff val="25000"/>
                          </a:schemeClr>
                        </a:solidFill>
                        <a:latin typeface="+mn-lt"/>
                        <a:ea typeface="+mn-ea"/>
                        <a:cs typeface="+mn-cs"/>
                      </a:defRPr>
                    </a:pPr>
                    <a:r>
                      <a:t>4.9%</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bestFit"/>
              <c:showLegendKey val="0"/>
              <c:showVal val="1"/>
              <c:showCatName val="1"/>
              <c:showSerName val="0"/>
              <c:showPercent val="1"/>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outEnd"/>
            <c:showLegendKey val="0"/>
            <c:showVal val="1"/>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'[2025部门决算柱状图.xlsx]5'!$A$2:$A$5</c:f>
              <c:strCache>
                <c:ptCount val="4"/>
                <c:pt idx="0">
                  <c:v>一般公共服务支出</c:v>
                </c:pt>
                <c:pt idx="1">
                  <c:v>社会保障和就业支出</c:v>
                </c:pt>
                <c:pt idx="2">
                  <c:v>卫生健康支出</c:v>
                </c:pt>
                <c:pt idx="3">
                  <c:v>住房保障支出</c:v>
                </c:pt>
              </c:strCache>
            </c:strRef>
          </c:cat>
          <c:val>
            <c:numRef>
              <c:f>'[2025部门决算柱状图.xlsx]5'!$B$2:$B$5</c:f>
              <c:numCache>
                <c:formatCode>General</c:formatCode>
                <c:ptCount val="4"/>
                <c:pt idx="0">
                  <c:v>2.43</c:v>
                </c:pt>
                <c:pt idx="1">
                  <c:v>3357.35</c:v>
                </c:pt>
                <c:pt idx="2">
                  <c:v>139.67</c:v>
                </c:pt>
                <c:pt idx="3">
                  <c:v>182.77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6e5bc71-b61f-4226-9e92-4fd1a4f0dd0b}"/>
      </c:ext>
    </c:extLst>
  </c:chart>
  <c:spPr>
    <a:solidFill>
      <a:schemeClr val="accent4">
        <a:lumMod val="20000"/>
        <a:lumOff val="80000"/>
        <a:alpha val="94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财政拨款“三公”经费支出结构图</a:t>
            </a:r>
          </a:p>
          <a:p>
            <a:pPr>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（单位：万元）</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327232390460344"/>
          <c:y val="0.340914013428633"/>
          <c:w val="0.951192457016084"/>
          <c:h val="0.608187134502924"/>
        </c:manualLayout>
      </c:layout>
      <c:pie3DChart>
        <c:varyColors val="1"/>
        <c:ser>
          <c:idx val="0"/>
          <c:order val="0"/>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'[2024年决算公开柱状图501001.xlsx]7'!$A$1:$A$2</c:f>
              <c:strCache>
                <c:ptCount val="2"/>
                <c:pt idx="0" c:formatCode="0%">
                  <c:v>公务用车购置及运行维护费支出）</c:v>
                </c:pt>
                <c:pt idx="1">
                  <c:v>公务接待费支出</c:v>
                </c:pt>
              </c:strCache>
            </c:strRef>
          </c:cat>
          <c:val>
            <c:numRef>
              <c:f>'[2024年决算公开柱状图501001.xlsx]7'!$B$1:$B$2</c:f>
              <c:numCache>
                <c:formatCode>General</c:formatCode>
                <c:ptCount val="2"/>
                <c:pt idx="0">
                  <c:v>20.44</c:v>
                </c:pt>
                <c:pt idx="1">
                  <c:v>0.96</c:v>
                </c:pt>
              </c:numCache>
            </c:numRef>
          </c:val>
        </c:ser>
        <c:dLbls>
          <c:showLegendKey val="0"/>
          <c:showVal val="1"/>
          <c:showCatName val="0"/>
          <c:showSerName val="0"/>
          <c:showPercent val="0"/>
          <c:showBubbleSize val="0"/>
        </c:dLbls>
      </c:pie3DChart>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81e0cfb5-8915-4af4-a2d6-be0e49c5ae96}"/>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97">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0">
      <cs:styleClr val="auto"/>
    </cs:fillRef>
    <cs:effectRef idx="0"/>
    <cs:fontRef idx="minor">
      <a:schemeClr val="dk1"/>
    </cs:fontRef>
    <cs:spPr>
      <a:gradFill>
        <a:gsLst>
          <a:gs pos="100000">
            <a:schemeClr val="phClr"/>
          </a:gs>
          <a:gs pos="0">
            <a:schemeClr val="phClr">
              <a:hueOff val="-1670000"/>
            </a:schemeClr>
          </a:gs>
        </a:gsLst>
        <a:lin ang="5400000" scaled="0"/>
      </a:gradFill>
      <a:ln>
        <a:gradFill>
          <a:gsLst>
            <a:gs pos="100000">
              <a:schemeClr val="phClr">
                <a:lumMod val="75000"/>
              </a:schemeClr>
            </a:gs>
            <a:gs pos="0">
              <a:schemeClr val="phClr">
                <a:lumMod val="75000"/>
                <a:hueOff val="-1670000"/>
              </a:schemeClr>
            </a:gs>
          </a:gsLst>
          <a:lin ang="4620000" scaled="0"/>
        </a:gra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8">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100000">
            <a:schemeClr val="phClr"/>
          </a:gs>
          <a:gs pos="0">
            <a:schemeClr val="phClr">
              <a:hueOff val="-1670000"/>
            </a:schemeClr>
          </a:gs>
        </a:gsLst>
        <a:lin ang="5400000" scaled="0"/>
      </a:gradFill>
      <a:ln>
        <a:gradFill>
          <a:gsLst>
            <a:gs pos="100000">
              <a:schemeClr val="phClr">
                <a:lumMod val="75000"/>
              </a:schemeClr>
            </a:gs>
            <a:gs pos="0">
              <a:schemeClr val="phClr">
                <a:lumMod val="75000"/>
                <a:hueOff val="-1670000"/>
              </a:schemeClr>
            </a:gs>
          </a:gsLst>
          <a:lin ang="4620000" scaled="0"/>
        </a:gra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104</Pages>
  <Words>49200</Words>
  <Characters>51726</Characters>
  <Lines>63</Lines>
  <Paragraphs>17</Paragraphs>
  <TotalTime>242</TotalTime>
  <ScaleCrop>false</ScaleCrop>
  <LinksUpToDate>false</LinksUpToDate>
  <CharactersWithSpaces>52215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Administrator</cp:lastModifiedBy>
  <cp:lastPrinted>2026-08-27T00:27:00Z</cp:lastPrinted>
  <dcterms:modified xsi:type="dcterms:W3CDTF">2026-09-14T09:27:42Z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3BF536824C220DA3E40E8B68BA118B1C_42</vt:lpwstr>
  </property>
  <property fmtid="{D5CDD505-2E9C-101B-9397-08002B2CF9AE}" pid="4" name="KSOTemplateDocerSaveRecord">
    <vt:lpwstr>eyJoZGlkIjoiOWY2ZDliODJkYTYxYWUyNTY0NjYxMjQ5YTEwOGU4N2QiLCJ1c2VySWQiOiI1NTIxNjQ2OTkifQ==</vt:lpwstr>
  </property>
</Properties>
</file>