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F392AB">
      <w:pPr>
        <w:adjustRightInd w:val="0"/>
        <w:snapToGrid w:val="0"/>
        <w:spacing w:line="400" w:lineRule="exact"/>
        <w:rPr>
          <w:rFonts w:eastAsia="黑体"/>
          <w:snapToGrid w:val="0"/>
          <w:kern w:val="0"/>
          <w:sz w:val="32"/>
          <w:szCs w:val="32"/>
        </w:rPr>
      </w:pPr>
      <w:bookmarkStart w:id="0" w:name="_Toc15378441"/>
      <w:bookmarkStart w:id="1" w:name="_Toc15377193"/>
      <w:bookmarkStart w:id="2" w:name="_Toc15396597"/>
      <w:bookmarkStart w:id="3" w:name="_Toc15396475"/>
      <w:bookmarkStart w:id="4" w:name="_Toc15377425"/>
      <w:bookmarkStart w:id="5" w:name="_Toc15306267"/>
      <w:r>
        <w:rPr>
          <w:rFonts w:eastAsia="黑体"/>
          <w:snapToGrid w:val="0"/>
          <w:kern w:val="0"/>
          <w:sz w:val="32"/>
          <w:szCs w:val="32"/>
        </w:rPr>
        <w:t>附件2</w:t>
      </w:r>
    </w:p>
    <w:p w14:paraId="0E7FEA41">
      <w:pPr>
        <w:pStyle w:val="6"/>
        <w:spacing w:before="93" w:beforeLines="0"/>
        <w:rPr>
          <w:rFonts w:ascii="方正仿宋_GBK" w:eastAsia="方正仿宋_GBK" w:cs="方正仿宋_GBK"/>
          <w:kern w:val="2"/>
          <w:sz w:val="32"/>
          <w:szCs w:val="32"/>
        </w:rPr>
      </w:pPr>
    </w:p>
    <w:p w14:paraId="61095166">
      <w:pPr>
        <w:pStyle w:val="6"/>
        <w:spacing w:before="93" w:beforeLines="0"/>
        <w:rPr>
          <w:rFonts w:ascii="方正仿宋_GBK" w:eastAsia="方正仿宋_GBK" w:cs="方正仿宋_GBK"/>
          <w:kern w:val="2"/>
          <w:sz w:val="32"/>
          <w:szCs w:val="32"/>
        </w:rPr>
      </w:pPr>
    </w:p>
    <w:p w14:paraId="74324B39">
      <w:pPr>
        <w:pStyle w:val="6"/>
        <w:spacing w:before="93" w:beforeLines="0"/>
        <w:rPr>
          <w:rFonts w:hint="eastAsia" w:ascii="方正仿宋_GBK" w:eastAsia="方正仿宋_GBK" w:cs="方正仿宋_GBK"/>
          <w:kern w:val="2"/>
          <w:sz w:val="32"/>
          <w:szCs w:val="32"/>
        </w:rPr>
      </w:pPr>
    </w:p>
    <w:p w14:paraId="4429FBF5">
      <w:pPr>
        <w:pStyle w:val="6"/>
        <w:spacing w:before="93" w:beforeLines="0"/>
        <w:rPr>
          <w:rFonts w:hint="eastAsia" w:ascii="方正仿宋_GBK" w:eastAsia="方正仿宋_GBK" w:cs="方正仿宋_GBK"/>
          <w:kern w:val="2"/>
          <w:sz w:val="32"/>
          <w:szCs w:val="32"/>
        </w:rPr>
      </w:pPr>
    </w:p>
    <w:p w14:paraId="5584F4F6">
      <w:pPr>
        <w:pStyle w:val="6"/>
        <w:spacing w:before="93" w:beforeLines="0"/>
        <w:jc w:val="center"/>
        <w:rPr>
          <w:rFonts w:ascii="Times New Roman" w:hAnsi="Times New Roman" w:eastAsia="方正小标宋简体"/>
          <w:b/>
          <w:bCs/>
          <w:kern w:val="2"/>
          <w:sz w:val="44"/>
          <w:szCs w:val="44"/>
        </w:rPr>
      </w:pPr>
      <w:r>
        <w:rPr>
          <w:rFonts w:ascii="Times New Roman" w:hAnsi="Times New Roman" w:eastAsia="方正小标宋简体"/>
          <w:b/>
          <w:bCs/>
          <w:kern w:val="2"/>
          <w:sz w:val="44"/>
          <w:szCs w:val="44"/>
        </w:rPr>
        <w:t>2025年度</w:t>
      </w:r>
      <w:r>
        <w:rPr>
          <w:rFonts w:ascii="Times New Roman" w:hAnsi="Times New Roman" w:eastAsia="方正小标宋简体"/>
          <w:b/>
          <w:bCs/>
          <w:kern w:val="2"/>
          <w:sz w:val="44"/>
          <w:szCs w:val="44"/>
          <w:lang w:eastAsia="zh-CN"/>
        </w:rPr>
        <w:t>攀枝花市民政局</w:t>
      </w:r>
      <w:r>
        <w:rPr>
          <w:rFonts w:ascii="Times New Roman" w:hAnsi="Times New Roman" w:eastAsia="方正小标宋简体"/>
          <w:b/>
          <w:bCs/>
          <w:kern w:val="2"/>
          <w:sz w:val="44"/>
          <w:szCs w:val="44"/>
        </w:rPr>
        <w:t>决算</w:t>
      </w:r>
    </w:p>
    <w:p w14:paraId="79B55C6B">
      <w:pPr>
        <w:pStyle w:val="6"/>
        <w:spacing w:before="93" w:beforeLines="0"/>
        <w:jc w:val="center"/>
        <w:rPr>
          <w:rFonts w:ascii="Times New Roman" w:hAnsi="Times New Roman" w:eastAsia="方正小标宋简体"/>
          <w:kern w:val="2"/>
          <w:sz w:val="44"/>
          <w:szCs w:val="44"/>
        </w:rPr>
      </w:pPr>
      <w:r>
        <w:rPr>
          <w:rFonts w:ascii="Times New Roman" w:hAnsi="Times New Roman" w:eastAsia="方正小标宋简体"/>
          <w:b/>
          <w:bCs/>
          <w:kern w:val="2"/>
          <w:sz w:val="44"/>
          <w:szCs w:val="44"/>
        </w:rPr>
        <w:t>公开编制说明</w:t>
      </w:r>
    </w:p>
    <w:p w14:paraId="4E193C51">
      <w:pPr>
        <w:pStyle w:val="25"/>
        <w:rPr>
          <w:rFonts w:ascii="Times New Roman" w:hAnsi="Times New Roman"/>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bookmarkEnd w:id="0"/>
    <w:bookmarkEnd w:id="1"/>
    <w:bookmarkEnd w:id="2"/>
    <w:bookmarkEnd w:id="3"/>
    <w:bookmarkEnd w:id="4"/>
    <w:p w14:paraId="461B9AEB">
      <w:pPr>
        <w:pStyle w:val="6"/>
        <w:spacing w:before="93" w:beforeLines="0"/>
        <w:jc w:val="center"/>
        <w:rPr>
          <w:rFonts w:ascii="Times New Roman" w:hAnsi="Times New Roman" w:eastAsia="方正小标宋简体"/>
          <w:b/>
          <w:bCs/>
          <w:kern w:val="2"/>
          <w:sz w:val="44"/>
          <w:szCs w:val="44"/>
        </w:rPr>
      </w:pPr>
      <w:bookmarkStart w:id="6" w:name="_Toc15377194"/>
      <w:bookmarkStart w:id="7" w:name="_Toc15396598"/>
      <w:bookmarkStart w:id="8" w:name="_Toc15396476"/>
      <w:bookmarkStart w:id="9" w:name="_Toc15377426"/>
      <w:bookmarkStart w:id="10" w:name="_Toc15378442"/>
      <w:r>
        <w:rPr>
          <w:rFonts w:ascii="Times New Roman" w:hAnsi="Times New Roman" w:eastAsia="方正小标宋简体"/>
          <w:b/>
          <w:bCs/>
          <w:kern w:val="2"/>
          <w:sz w:val="44"/>
          <w:szCs w:val="44"/>
        </w:rPr>
        <w:t>2025年度攀枝花市</w:t>
      </w:r>
      <w:bookmarkEnd w:id="5"/>
      <w:bookmarkStart w:id="11" w:name="_Toc15306268"/>
      <w:r>
        <w:rPr>
          <w:rFonts w:ascii="Times New Roman" w:hAnsi="Times New Roman" w:eastAsia="方正小标宋简体"/>
          <w:b/>
          <w:bCs/>
          <w:kern w:val="2"/>
          <w:sz w:val="44"/>
          <w:szCs w:val="44"/>
          <w:lang w:eastAsia="zh-CN"/>
        </w:rPr>
        <w:t>民政局</w:t>
      </w:r>
      <w:r>
        <w:rPr>
          <w:rFonts w:ascii="Times New Roman" w:hAnsi="Times New Roman" w:eastAsia="方正小标宋简体"/>
          <w:b/>
          <w:bCs/>
          <w:kern w:val="2"/>
          <w:sz w:val="44"/>
          <w:szCs w:val="44"/>
        </w:rPr>
        <w:t>决算</w:t>
      </w:r>
      <w:bookmarkEnd w:id="6"/>
      <w:bookmarkEnd w:id="7"/>
      <w:bookmarkEnd w:id="8"/>
      <w:bookmarkEnd w:id="9"/>
      <w:bookmarkEnd w:id="10"/>
      <w:bookmarkEnd w:id="11"/>
    </w:p>
    <w:p w14:paraId="454B066C">
      <w:pPr>
        <w:widowControl/>
        <w:suppressAutoHyphens/>
        <w:jc w:val="center"/>
        <w:rPr>
          <w:rFonts w:eastAsia="方正小标宋_GBK"/>
          <w:b/>
          <w:bCs/>
          <w:sz w:val="44"/>
          <w:szCs w:val="44"/>
          <w:lang w:bidi="ar-SA"/>
        </w:rPr>
      </w:pPr>
      <w:r>
        <w:rPr>
          <w:rFonts w:eastAsia="方正小标宋_GBK"/>
          <w:b/>
          <w:bCs/>
          <w:sz w:val="44"/>
          <w:szCs w:val="44"/>
          <w:lang w:bidi="ar-SA"/>
        </w:rPr>
        <w:t>目    录</w:t>
      </w:r>
    </w:p>
    <w:p w14:paraId="19C69470">
      <w:pPr>
        <w:widowControl/>
        <w:suppressAutoHyphens/>
        <w:jc w:val="center"/>
        <w:rPr>
          <w:rFonts w:eastAsia="黑体"/>
          <w:sz w:val="28"/>
          <w:szCs w:val="28"/>
        </w:rPr>
      </w:pPr>
    </w:p>
    <w:p w14:paraId="6E88773A">
      <w:pPr>
        <w:pStyle w:val="14"/>
        <w:adjustRightInd w:val="0"/>
        <w:snapToGrid w:val="0"/>
        <w:spacing w:before="0" w:line="600" w:lineRule="exact"/>
        <w:jc w:val="center"/>
        <w:rPr>
          <w:rFonts w:ascii="Times New Roman" w:hAnsi="Times New Roman" w:eastAsia="方正仿宋简体"/>
          <w:kern w:val="2"/>
          <w:sz w:val="32"/>
          <w:szCs w:val="32"/>
          <w:lang w:val="en-US" w:eastAsia="zh-CN" w:bidi="ar-SA"/>
        </w:rPr>
      </w:pPr>
      <w:r>
        <w:rPr>
          <w:rFonts w:ascii="Times New Roman" w:hAnsi="Times New Roman" w:eastAsia="方正仿宋简体"/>
          <w:kern w:val="2"/>
          <w:sz w:val="32"/>
          <w:szCs w:val="32"/>
          <w:lang w:val="en-US" w:eastAsia="zh-CN" w:bidi="ar-SA"/>
        </w:rPr>
        <w:t>公开时间：2026年9月 1</w:t>
      </w:r>
      <w:r>
        <w:rPr>
          <w:rFonts w:hint="eastAsia" w:ascii="Times New Roman" w:hAnsi="Times New Roman" w:eastAsia="方正仿宋简体"/>
          <w:kern w:val="2"/>
          <w:sz w:val="32"/>
          <w:szCs w:val="32"/>
          <w:lang w:val="en-US" w:eastAsia="zh-CN" w:bidi="ar-SA"/>
        </w:rPr>
        <w:t>4</w:t>
      </w:r>
      <w:bookmarkStart w:id="63" w:name="_GoBack"/>
      <w:bookmarkEnd w:id="63"/>
      <w:r>
        <w:rPr>
          <w:rFonts w:ascii="Times New Roman" w:hAnsi="Times New Roman" w:eastAsia="方正仿宋简体"/>
          <w:kern w:val="2"/>
          <w:sz w:val="32"/>
          <w:szCs w:val="32"/>
          <w:lang w:val="en-US" w:eastAsia="zh-CN" w:bidi="ar-SA"/>
        </w:rPr>
        <w:t>日</w:t>
      </w:r>
    </w:p>
    <w:p w14:paraId="302CF20F"/>
    <w:p w14:paraId="40B193C7">
      <w:pPr>
        <w:pStyle w:val="14"/>
        <w:adjustRightInd w:val="0"/>
        <w:snapToGrid w:val="0"/>
        <w:spacing w:before="0" w:line="600" w:lineRule="exact"/>
        <w:ind w:firstLine="640" w:firstLineChars="200"/>
        <w:jc w:val="left"/>
        <w:rPr>
          <w:rFonts w:ascii="Times New Roman" w:hAnsi="Times New Roman" w:eastAsia="仿宋"/>
          <w:sz w:val="32"/>
          <w:szCs w:val="32"/>
          <w:lang w:eastAsia="zh-CN" w:bidi="ar-SA"/>
        </w:rPr>
      </w:pPr>
      <w:r>
        <w:rPr>
          <w:rFonts w:ascii="Times New Roman" w:hAnsi="Times New Roman" w:eastAsia="黑体"/>
          <w:sz w:val="32"/>
          <w:szCs w:val="32"/>
          <w:lang w:bidi="ar-SA"/>
        </w:rPr>
        <w:t>第一部分 单位概况</w:t>
      </w:r>
      <w:r>
        <w:rPr>
          <w:rFonts w:ascii="Times New Roman" w:hAnsi="Times New Roman" w:eastAsia="方正仿宋简体"/>
          <w:kern w:val="2"/>
          <w:sz w:val="32"/>
          <w:szCs w:val="32"/>
          <w:lang w:val="en-US" w:eastAsia="zh-CN" w:bidi="ar-SA"/>
        </w:rPr>
        <w:tab/>
      </w:r>
      <w:r>
        <w:rPr>
          <w:rFonts w:ascii="Times New Roman" w:hAnsi="Times New Roman" w:eastAsia="方正仿宋简体"/>
          <w:kern w:val="2"/>
          <w:sz w:val="32"/>
          <w:szCs w:val="32"/>
          <w:lang w:val="en-US" w:eastAsia="zh-CN" w:bidi="ar-SA"/>
        </w:rPr>
        <w:t>1</w:t>
      </w:r>
    </w:p>
    <w:p w14:paraId="5D02EA76">
      <w:pPr>
        <w:pStyle w:val="14"/>
        <w:spacing w:line="600" w:lineRule="exact"/>
        <w:rPr>
          <w:rFonts w:ascii="Times New Roman" w:hAnsi="Times New Roman" w:eastAsia="方正仿宋简体"/>
          <w:kern w:val="2"/>
          <w:sz w:val="32"/>
          <w:szCs w:val="32"/>
          <w:lang w:val="en-US" w:eastAsia="zh-CN" w:bidi="ar-SA"/>
        </w:rPr>
      </w:pPr>
      <w:r>
        <w:rPr>
          <w:rFonts w:ascii="Times New Roman" w:hAnsi="Times New Roman" w:eastAsia="楷体_GB2312"/>
          <w:sz w:val="32"/>
          <w:szCs w:val="32"/>
          <w:lang w:bidi="ar-SA"/>
        </w:rPr>
        <w:t xml:space="preserve">    </w:t>
      </w:r>
      <w:r>
        <w:rPr>
          <w:rFonts w:ascii="Times New Roman" w:hAnsi="Times New Roman" w:eastAsia="方正楷体_GBK" w:cs="Times New Roman"/>
          <w:b/>
          <w:bCs/>
          <w:color w:val="auto"/>
          <w:kern w:val="2"/>
          <w:sz w:val="32"/>
          <w:szCs w:val="32"/>
          <w:shd w:val="clear" w:color="auto" w:fill="auto"/>
          <w:lang w:val="en-US" w:eastAsia="zh-CN" w:bidi="ar-SA"/>
        </w:rPr>
        <w:t>一、</w:t>
      </w:r>
      <w:r>
        <w:rPr>
          <w:rFonts w:ascii="Times New Roman" w:hAnsi="Times New Roman" w:eastAsia="方正楷体_GBK" w:cs="Times New Roman"/>
          <w:b w:val="0"/>
          <w:bCs w:val="0"/>
          <w:color w:val="auto"/>
          <w:kern w:val="2"/>
          <w:sz w:val="32"/>
          <w:szCs w:val="32"/>
          <w:shd w:val="clear" w:color="auto" w:fill="auto"/>
          <w:lang w:val="en-US" w:eastAsia="zh-CN" w:bidi="ar-SA"/>
        </w:rPr>
        <w:t>主要职责</w:t>
      </w:r>
      <w:r>
        <w:rPr>
          <w:rFonts w:ascii="Times New Roman" w:hAnsi="Times New Roman" w:eastAsia="方正楷体_GBK" w:cs="Times New Roman"/>
          <w:b/>
          <w:bCs/>
          <w:color w:val="auto"/>
          <w:kern w:val="2"/>
          <w:sz w:val="32"/>
          <w:szCs w:val="32"/>
          <w:shd w:val="clear" w:color="auto" w:fill="auto"/>
          <w:lang w:val="en-US" w:eastAsia="zh-CN" w:bidi="ar-SA"/>
        </w:rPr>
        <w:tab/>
      </w:r>
      <w:r>
        <w:rPr>
          <w:rFonts w:ascii="Times New Roman" w:hAnsi="Times New Roman" w:eastAsia="方正仿宋简体"/>
          <w:b/>
          <w:bCs/>
          <w:kern w:val="2"/>
          <w:sz w:val="32"/>
          <w:szCs w:val="32"/>
          <w:lang w:val="en-US" w:eastAsia="zh-CN" w:bidi="ar-SA"/>
        </w:rPr>
        <w:t>1</w:t>
      </w:r>
    </w:p>
    <w:p w14:paraId="211299F6">
      <w:pPr>
        <w:pStyle w:val="14"/>
        <w:spacing w:line="600" w:lineRule="exact"/>
        <w:rPr>
          <w:rFonts w:ascii="Times New Roman" w:hAnsi="Times New Roman" w:eastAsia="方正仿宋简体"/>
          <w:kern w:val="2"/>
          <w:sz w:val="32"/>
          <w:szCs w:val="32"/>
          <w:lang w:val="en-US" w:eastAsia="zh-CN" w:bidi="ar-SA"/>
        </w:rPr>
      </w:pPr>
      <w:r>
        <w:rPr>
          <w:rFonts w:ascii="Times New Roman" w:hAnsi="Times New Roman" w:eastAsia="方正仿宋简体"/>
          <w:kern w:val="2"/>
          <w:sz w:val="32"/>
          <w:szCs w:val="32"/>
          <w:lang w:val="en-US" w:eastAsia="zh-CN" w:bidi="ar-SA"/>
        </w:rPr>
        <w:t xml:space="preserve">    二、机构设置</w:t>
      </w:r>
      <w:r>
        <w:rPr>
          <w:rFonts w:ascii="Times New Roman" w:hAnsi="Times New Roman" w:eastAsia="方正仿宋简体"/>
          <w:kern w:val="2"/>
          <w:sz w:val="32"/>
          <w:szCs w:val="32"/>
          <w:lang w:val="en-US" w:eastAsia="zh-CN" w:bidi="ar-SA"/>
        </w:rPr>
        <w:tab/>
      </w:r>
      <w:r>
        <w:rPr>
          <w:rFonts w:ascii="Times New Roman" w:hAnsi="Times New Roman" w:eastAsia="方正仿宋简体"/>
          <w:kern w:val="2"/>
          <w:sz w:val="32"/>
          <w:szCs w:val="32"/>
          <w:lang w:val="en-US" w:eastAsia="zh-CN" w:bidi="ar-SA"/>
        </w:rPr>
        <w:t>3</w:t>
      </w:r>
    </w:p>
    <w:p w14:paraId="7CD5C896">
      <w:pPr>
        <w:pStyle w:val="14"/>
        <w:adjustRightInd w:val="0"/>
        <w:snapToGrid w:val="0"/>
        <w:spacing w:before="0" w:line="600" w:lineRule="exact"/>
        <w:ind w:firstLine="640" w:firstLineChars="200"/>
        <w:jc w:val="left"/>
        <w:rPr>
          <w:rFonts w:ascii="Times New Roman" w:hAnsi="Times New Roman" w:eastAsia="方正仿宋简体"/>
          <w:kern w:val="2"/>
          <w:sz w:val="32"/>
          <w:szCs w:val="32"/>
          <w:lang w:val="en-US" w:eastAsia="zh-CN" w:bidi="ar-SA"/>
        </w:rPr>
      </w:pPr>
      <w:r>
        <w:rPr>
          <w:rFonts w:ascii="Times New Roman" w:hAnsi="Times New Roman" w:eastAsia="黑体"/>
          <w:sz w:val="32"/>
          <w:szCs w:val="32"/>
          <w:lang w:val="en-US" w:eastAsia="zh-CN" w:bidi="ar-SA"/>
        </w:rPr>
        <w:t>第二部分 2025年度单位决算情况说明</w:t>
      </w:r>
      <w:r>
        <w:rPr>
          <w:rFonts w:ascii="Times New Roman" w:hAnsi="Times New Roman" w:eastAsia="方正仿宋简体"/>
          <w:kern w:val="2"/>
          <w:sz w:val="32"/>
          <w:szCs w:val="32"/>
          <w:lang w:val="en-US" w:eastAsia="zh-CN" w:bidi="ar-SA"/>
        </w:rPr>
        <w:tab/>
      </w:r>
      <w:r>
        <w:rPr>
          <w:rFonts w:ascii="Times New Roman" w:hAnsi="Times New Roman" w:eastAsia="方正仿宋简体"/>
          <w:kern w:val="2"/>
          <w:sz w:val="32"/>
          <w:szCs w:val="32"/>
          <w:lang w:val="en-US" w:eastAsia="zh-CN" w:bidi="ar-SA"/>
        </w:rPr>
        <w:t>4</w:t>
      </w:r>
    </w:p>
    <w:p w14:paraId="7A810072">
      <w:pPr>
        <w:pStyle w:val="14"/>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Times New Roman" w:hAnsi="Times New Roman" w:eastAsia="方正仿宋简体"/>
          <w:kern w:val="2"/>
          <w:sz w:val="32"/>
          <w:szCs w:val="32"/>
          <w:lang w:val="en-US" w:eastAsia="zh-CN" w:bidi="ar-SA"/>
        </w:rPr>
      </w:pPr>
      <w:r>
        <w:rPr>
          <w:rFonts w:ascii="Times New Roman" w:hAnsi="Times New Roman" w:eastAsia="方正仿宋简体"/>
          <w:kern w:val="2"/>
          <w:sz w:val="32"/>
          <w:szCs w:val="32"/>
          <w:lang w:val="en-US" w:eastAsia="zh-CN" w:bidi="ar-SA"/>
        </w:rPr>
        <w:t>一、收入支出决算总体情况说明</w:t>
      </w:r>
      <w:r>
        <w:rPr>
          <w:rFonts w:ascii="Times New Roman" w:hAnsi="Times New Roman" w:eastAsia="方正仿宋简体"/>
          <w:kern w:val="2"/>
          <w:sz w:val="32"/>
          <w:szCs w:val="32"/>
          <w:lang w:val="en-US" w:eastAsia="zh-CN" w:bidi="ar-SA"/>
        </w:rPr>
        <w:tab/>
      </w:r>
      <w:r>
        <w:rPr>
          <w:rFonts w:ascii="Times New Roman" w:hAnsi="Times New Roman" w:eastAsia="方正仿宋简体"/>
          <w:kern w:val="2"/>
          <w:sz w:val="32"/>
          <w:szCs w:val="32"/>
          <w:lang w:val="en-US" w:eastAsia="zh-CN" w:bidi="ar-SA"/>
        </w:rPr>
        <w:t>4</w:t>
      </w:r>
    </w:p>
    <w:p w14:paraId="0DDF008C">
      <w:pPr>
        <w:pStyle w:val="14"/>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Times New Roman" w:hAnsi="Times New Roman" w:eastAsia="方正仿宋简体"/>
          <w:kern w:val="2"/>
          <w:sz w:val="32"/>
          <w:szCs w:val="32"/>
          <w:lang w:val="en-US" w:eastAsia="zh-CN" w:bidi="ar-SA"/>
        </w:rPr>
      </w:pPr>
      <w:r>
        <w:rPr>
          <w:rFonts w:ascii="Times New Roman" w:hAnsi="Times New Roman" w:eastAsia="方正仿宋简体"/>
          <w:kern w:val="2"/>
          <w:sz w:val="32"/>
          <w:szCs w:val="32"/>
          <w:lang w:val="en-US" w:eastAsia="zh-CN" w:bidi="ar-SA"/>
        </w:rPr>
        <w:t>二、收入决算情况说明</w:t>
      </w:r>
      <w:r>
        <w:rPr>
          <w:rFonts w:ascii="Times New Roman" w:hAnsi="Times New Roman" w:eastAsia="方正仿宋简体"/>
          <w:kern w:val="2"/>
          <w:sz w:val="32"/>
          <w:szCs w:val="32"/>
          <w:lang w:val="en-US" w:eastAsia="zh-CN" w:bidi="ar-SA"/>
        </w:rPr>
        <w:tab/>
      </w:r>
      <w:r>
        <w:rPr>
          <w:rFonts w:ascii="Times New Roman" w:hAnsi="Times New Roman" w:eastAsia="方正仿宋简体"/>
          <w:kern w:val="2"/>
          <w:sz w:val="32"/>
          <w:szCs w:val="32"/>
          <w:lang w:val="en-US" w:eastAsia="zh-CN" w:bidi="ar-SA"/>
        </w:rPr>
        <w:t>4</w:t>
      </w:r>
    </w:p>
    <w:p w14:paraId="4AA6F2D7">
      <w:pPr>
        <w:pStyle w:val="14"/>
        <w:keepNext w:val="0"/>
        <w:keepLines w:val="0"/>
        <w:pageBreakBefore w:val="0"/>
        <w:widowControl w:val="0"/>
        <w:suppressAutoHyphens/>
        <w:kinsoku/>
        <w:wordWrap/>
        <w:overflowPunct/>
        <w:topLinePunct w:val="0"/>
        <w:autoSpaceDE/>
        <w:autoSpaceDN/>
        <w:bidi w:val="0"/>
        <w:adjustRightInd w:val="0"/>
        <w:snapToGrid w:val="0"/>
        <w:spacing w:before="0" w:line="600" w:lineRule="exact"/>
        <w:ind w:firstLine="640" w:firstLineChars="200"/>
        <w:jc w:val="left"/>
        <w:textAlignment w:val="auto"/>
        <w:rPr>
          <w:rFonts w:ascii="Times New Roman" w:hAnsi="Times New Roman" w:eastAsia="方正仿宋简体"/>
          <w:kern w:val="2"/>
          <w:sz w:val="32"/>
          <w:szCs w:val="32"/>
          <w:lang w:val="en-US" w:eastAsia="zh-CN" w:bidi="ar-SA"/>
        </w:rPr>
      </w:pPr>
      <w:r>
        <w:rPr>
          <w:rFonts w:ascii="Times New Roman" w:hAnsi="Times New Roman" w:eastAsia="方正仿宋简体"/>
          <w:kern w:val="2"/>
          <w:sz w:val="32"/>
          <w:szCs w:val="32"/>
          <w:lang w:val="en-US" w:eastAsia="zh-CN" w:bidi="ar-SA"/>
        </w:rPr>
        <w:t>三、支出决算情况说明</w:t>
      </w:r>
      <w:r>
        <w:rPr>
          <w:rFonts w:ascii="Times New Roman" w:hAnsi="Times New Roman" w:eastAsia="方正仿宋简体"/>
          <w:kern w:val="2"/>
          <w:sz w:val="32"/>
          <w:szCs w:val="32"/>
          <w:lang w:val="en-US" w:eastAsia="zh-CN" w:bidi="ar-SA"/>
        </w:rPr>
        <w:tab/>
      </w:r>
      <w:r>
        <w:rPr>
          <w:rFonts w:ascii="Times New Roman" w:hAnsi="Times New Roman" w:eastAsia="方正仿宋简体"/>
          <w:kern w:val="2"/>
          <w:sz w:val="32"/>
          <w:szCs w:val="32"/>
          <w:lang w:val="en-US" w:eastAsia="zh-CN" w:bidi="ar-SA"/>
        </w:rPr>
        <w:t>5</w:t>
      </w:r>
    </w:p>
    <w:p w14:paraId="23666598">
      <w:pPr>
        <w:pStyle w:val="14"/>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Times New Roman" w:hAnsi="Times New Roman" w:eastAsia="方正仿宋简体"/>
          <w:kern w:val="2"/>
          <w:sz w:val="32"/>
          <w:szCs w:val="32"/>
          <w:lang w:val="en-US" w:eastAsia="zh-CN" w:bidi="ar-SA"/>
        </w:rPr>
      </w:pPr>
      <w:r>
        <w:rPr>
          <w:rFonts w:ascii="Times New Roman" w:hAnsi="Times New Roman" w:eastAsia="方正仿宋简体"/>
          <w:kern w:val="2"/>
          <w:sz w:val="32"/>
          <w:szCs w:val="32"/>
          <w:lang w:val="en-US" w:eastAsia="zh-CN" w:bidi="ar-SA"/>
        </w:rPr>
        <w:t>四、财政拨款收入支出决算总体情况说明</w:t>
      </w:r>
      <w:r>
        <w:rPr>
          <w:rFonts w:ascii="Times New Roman" w:hAnsi="Times New Roman" w:eastAsia="方正仿宋简体"/>
          <w:kern w:val="2"/>
          <w:sz w:val="32"/>
          <w:szCs w:val="32"/>
          <w:lang w:val="en-US" w:eastAsia="zh-CN" w:bidi="ar-SA"/>
        </w:rPr>
        <w:tab/>
      </w:r>
      <w:r>
        <w:rPr>
          <w:rFonts w:ascii="Times New Roman" w:hAnsi="Times New Roman" w:eastAsia="方正仿宋简体"/>
          <w:kern w:val="2"/>
          <w:sz w:val="32"/>
          <w:szCs w:val="32"/>
          <w:lang w:val="en-US" w:eastAsia="zh-CN" w:bidi="ar-SA"/>
        </w:rPr>
        <w:t>5</w:t>
      </w:r>
    </w:p>
    <w:p w14:paraId="2348C961">
      <w:pPr>
        <w:pStyle w:val="14"/>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Times New Roman" w:hAnsi="Times New Roman" w:eastAsia="方正仿宋简体"/>
          <w:kern w:val="2"/>
          <w:sz w:val="32"/>
          <w:szCs w:val="32"/>
          <w:lang w:val="en-US" w:eastAsia="zh-CN" w:bidi="ar-SA"/>
        </w:rPr>
      </w:pPr>
      <w:r>
        <w:rPr>
          <w:rFonts w:ascii="Times New Roman" w:hAnsi="Times New Roman" w:eastAsia="方正仿宋简体"/>
          <w:kern w:val="2"/>
          <w:sz w:val="32"/>
          <w:szCs w:val="32"/>
          <w:lang w:val="en-US" w:eastAsia="zh-CN" w:bidi="ar-SA"/>
        </w:rPr>
        <w:t>五、一般公共预算财政拨款支出决算情况说明</w:t>
      </w:r>
      <w:r>
        <w:rPr>
          <w:rFonts w:ascii="Times New Roman" w:hAnsi="Times New Roman" w:eastAsia="方正仿宋简体"/>
          <w:kern w:val="2"/>
          <w:sz w:val="32"/>
          <w:szCs w:val="32"/>
          <w:lang w:val="en-US" w:eastAsia="zh-CN" w:bidi="ar-SA"/>
        </w:rPr>
        <w:tab/>
      </w:r>
      <w:r>
        <w:rPr>
          <w:rFonts w:ascii="Times New Roman" w:hAnsi="Times New Roman" w:eastAsia="方正仿宋简体"/>
          <w:kern w:val="2"/>
          <w:sz w:val="32"/>
          <w:szCs w:val="32"/>
          <w:lang w:val="en-US" w:eastAsia="zh-CN" w:bidi="ar-SA"/>
        </w:rPr>
        <w:t>6</w:t>
      </w:r>
    </w:p>
    <w:p w14:paraId="5B87E2AD">
      <w:pPr>
        <w:pStyle w:val="14"/>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Times New Roman" w:hAnsi="Times New Roman" w:eastAsia="方正仿宋简体"/>
          <w:kern w:val="2"/>
          <w:sz w:val="32"/>
          <w:szCs w:val="32"/>
          <w:lang w:val="en-US" w:eastAsia="zh-CN" w:bidi="ar-SA"/>
        </w:rPr>
      </w:pPr>
      <w:r>
        <w:rPr>
          <w:rFonts w:ascii="Times New Roman" w:hAnsi="Times New Roman" w:eastAsia="方正仿宋简体"/>
          <w:kern w:val="2"/>
          <w:sz w:val="32"/>
          <w:szCs w:val="32"/>
          <w:lang w:val="en-US" w:eastAsia="zh-CN" w:bidi="ar-SA"/>
        </w:rPr>
        <w:t>六、一般公共预算财政拨款基本支出决算情况说明</w:t>
      </w:r>
      <w:r>
        <w:rPr>
          <w:rFonts w:ascii="Times New Roman" w:hAnsi="Times New Roman" w:eastAsia="方正仿宋简体"/>
          <w:kern w:val="2"/>
          <w:sz w:val="32"/>
          <w:szCs w:val="32"/>
          <w:lang w:val="en-US" w:eastAsia="zh-CN" w:bidi="ar-SA"/>
        </w:rPr>
        <w:tab/>
      </w:r>
      <w:r>
        <w:rPr>
          <w:rFonts w:ascii="Times New Roman" w:hAnsi="Times New Roman" w:eastAsia="方正仿宋简体"/>
          <w:kern w:val="2"/>
          <w:sz w:val="32"/>
          <w:szCs w:val="32"/>
          <w:lang w:val="en-US" w:eastAsia="zh-CN" w:bidi="ar-SA"/>
        </w:rPr>
        <w:t>9</w:t>
      </w:r>
    </w:p>
    <w:p w14:paraId="786492EF">
      <w:pPr>
        <w:pStyle w:val="14"/>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Times New Roman" w:hAnsi="Times New Roman" w:eastAsia="方正仿宋简体"/>
          <w:kern w:val="2"/>
          <w:sz w:val="32"/>
          <w:szCs w:val="32"/>
          <w:lang w:val="en-US" w:eastAsia="zh-CN" w:bidi="ar-SA"/>
        </w:rPr>
      </w:pPr>
      <w:r>
        <w:rPr>
          <w:rFonts w:ascii="Times New Roman" w:hAnsi="Times New Roman" w:eastAsia="方正仿宋简体"/>
          <w:kern w:val="2"/>
          <w:sz w:val="32"/>
          <w:szCs w:val="32"/>
          <w:lang w:val="en-US" w:eastAsia="zh-CN" w:bidi="ar-SA"/>
        </w:rPr>
        <w:t>七、财政拨款“三公”经费支出决算情况说明</w:t>
      </w:r>
      <w:r>
        <w:rPr>
          <w:rFonts w:ascii="Times New Roman" w:hAnsi="Times New Roman" w:eastAsia="方正仿宋简体"/>
          <w:kern w:val="2"/>
          <w:sz w:val="32"/>
          <w:szCs w:val="32"/>
          <w:lang w:val="en-US" w:eastAsia="zh-CN" w:bidi="ar-SA"/>
        </w:rPr>
        <w:tab/>
      </w:r>
      <w:r>
        <w:rPr>
          <w:rFonts w:ascii="Times New Roman" w:hAnsi="Times New Roman" w:eastAsia="方正仿宋简体"/>
          <w:kern w:val="2"/>
          <w:sz w:val="32"/>
          <w:szCs w:val="32"/>
          <w:lang w:val="en-US" w:eastAsia="zh-CN" w:bidi="ar-SA"/>
        </w:rPr>
        <w:t>9</w:t>
      </w:r>
    </w:p>
    <w:p w14:paraId="4CDCBE03">
      <w:pPr>
        <w:pStyle w:val="14"/>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Times New Roman" w:hAnsi="Times New Roman" w:eastAsia="方正仿宋简体"/>
          <w:kern w:val="2"/>
          <w:sz w:val="32"/>
          <w:szCs w:val="32"/>
          <w:lang w:val="en-US" w:eastAsia="zh-CN" w:bidi="ar-SA"/>
        </w:rPr>
      </w:pPr>
      <w:r>
        <w:rPr>
          <w:rFonts w:ascii="Times New Roman" w:hAnsi="Times New Roman" w:eastAsia="方正仿宋简体"/>
          <w:kern w:val="2"/>
          <w:sz w:val="32"/>
          <w:szCs w:val="32"/>
          <w:lang w:val="en-US" w:eastAsia="zh-CN" w:bidi="ar-SA"/>
        </w:rPr>
        <w:t>八、政府性基金预算支出决算情况说明</w:t>
      </w:r>
      <w:r>
        <w:rPr>
          <w:rFonts w:ascii="Times New Roman" w:hAnsi="Times New Roman" w:eastAsia="方正仿宋简体"/>
          <w:kern w:val="2"/>
          <w:sz w:val="32"/>
          <w:szCs w:val="32"/>
          <w:lang w:val="en-US" w:eastAsia="zh-CN" w:bidi="ar-SA"/>
        </w:rPr>
        <w:tab/>
      </w:r>
      <w:r>
        <w:rPr>
          <w:rFonts w:ascii="Times New Roman" w:hAnsi="Times New Roman" w:eastAsia="方正仿宋简体"/>
          <w:kern w:val="2"/>
          <w:sz w:val="32"/>
          <w:szCs w:val="32"/>
          <w:lang w:val="en-US" w:eastAsia="zh-CN" w:bidi="ar-SA"/>
        </w:rPr>
        <w:t>11</w:t>
      </w:r>
    </w:p>
    <w:p w14:paraId="27267331">
      <w:pPr>
        <w:pStyle w:val="14"/>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Times New Roman" w:hAnsi="Times New Roman" w:eastAsia="方正仿宋简体"/>
          <w:kern w:val="2"/>
          <w:sz w:val="32"/>
          <w:szCs w:val="32"/>
          <w:lang w:val="en-US" w:eastAsia="zh-CN" w:bidi="ar-SA"/>
        </w:rPr>
      </w:pPr>
      <w:r>
        <w:rPr>
          <w:rFonts w:ascii="Times New Roman" w:hAnsi="Times New Roman" w:eastAsia="方正仿宋简体"/>
          <w:kern w:val="2"/>
          <w:sz w:val="32"/>
          <w:szCs w:val="32"/>
          <w:lang w:val="en-US" w:eastAsia="zh-CN" w:bidi="ar-SA"/>
        </w:rPr>
        <w:t>九、国有资本经营预算支出决算情况说明</w:t>
      </w:r>
      <w:r>
        <w:rPr>
          <w:rFonts w:ascii="Times New Roman" w:hAnsi="Times New Roman" w:eastAsia="方正仿宋简体"/>
          <w:kern w:val="2"/>
          <w:sz w:val="32"/>
          <w:szCs w:val="32"/>
          <w:lang w:val="en-US" w:eastAsia="zh-CN" w:bidi="ar-SA"/>
        </w:rPr>
        <w:tab/>
      </w:r>
      <w:r>
        <w:rPr>
          <w:rFonts w:ascii="Times New Roman" w:hAnsi="Times New Roman" w:eastAsia="方正仿宋简体"/>
          <w:kern w:val="2"/>
          <w:sz w:val="32"/>
          <w:szCs w:val="32"/>
          <w:lang w:val="en-US" w:eastAsia="zh-CN" w:bidi="ar-SA"/>
        </w:rPr>
        <w:t>11</w:t>
      </w:r>
    </w:p>
    <w:p w14:paraId="6340E10F">
      <w:pPr>
        <w:pStyle w:val="14"/>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Times New Roman" w:hAnsi="Times New Roman" w:eastAsia="方正仿宋简体"/>
          <w:kern w:val="2"/>
          <w:sz w:val="32"/>
          <w:szCs w:val="32"/>
          <w:lang w:val="en-US" w:eastAsia="zh-CN" w:bidi="ar-SA"/>
        </w:rPr>
      </w:pPr>
      <w:r>
        <w:rPr>
          <w:rFonts w:ascii="Times New Roman" w:hAnsi="Times New Roman" w:eastAsia="方正仿宋简体"/>
          <w:kern w:val="2"/>
          <w:sz w:val="32"/>
          <w:szCs w:val="32"/>
          <w:lang w:val="en-US" w:eastAsia="zh-CN" w:bidi="ar-SA"/>
        </w:rPr>
        <w:t>十、其他重要事项的情况说明</w:t>
      </w:r>
      <w:r>
        <w:rPr>
          <w:rFonts w:ascii="Times New Roman" w:hAnsi="Times New Roman" w:eastAsia="方正仿宋简体"/>
          <w:kern w:val="2"/>
          <w:sz w:val="32"/>
          <w:szCs w:val="32"/>
          <w:lang w:val="en-US" w:eastAsia="zh-CN" w:bidi="ar-SA"/>
        </w:rPr>
        <w:tab/>
      </w:r>
      <w:r>
        <w:rPr>
          <w:rFonts w:ascii="Times New Roman" w:hAnsi="Times New Roman" w:eastAsia="方正仿宋简体"/>
          <w:kern w:val="2"/>
          <w:sz w:val="32"/>
          <w:szCs w:val="32"/>
          <w:lang w:val="en-US" w:eastAsia="zh-CN" w:bidi="ar-SA"/>
        </w:rPr>
        <w:t>11</w:t>
      </w:r>
    </w:p>
    <w:p w14:paraId="61FEF9A4">
      <w:pPr>
        <w:pStyle w:val="14"/>
        <w:adjustRightInd w:val="0"/>
        <w:snapToGrid w:val="0"/>
        <w:spacing w:before="0" w:line="600" w:lineRule="exact"/>
        <w:ind w:firstLine="640" w:firstLineChars="200"/>
        <w:jc w:val="left"/>
        <w:rPr>
          <w:rFonts w:ascii="Times New Roman" w:hAnsi="Times New Roman" w:eastAsia="方正仿宋简体"/>
          <w:kern w:val="2"/>
          <w:sz w:val="32"/>
          <w:szCs w:val="32"/>
          <w:lang w:val="en-US" w:eastAsia="zh-CN" w:bidi="ar-SA"/>
        </w:rPr>
      </w:pPr>
      <w:r>
        <w:rPr>
          <w:rFonts w:ascii="Times New Roman" w:hAnsi="Times New Roman" w:eastAsia="黑体"/>
          <w:sz w:val="32"/>
          <w:szCs w:val="32"/>
          <w:lang w:val="en-US" w:eastAsia="zh-CN" w:bidi="ar-SA"/>
        </w:rPr>
        <w:t>第三部分 名词解释</w:t>
      </w:r>
      <w:r>
        <w:rPr>
          <w:rFonts w:ascii="Times New Roman" w:hAnsi="Times New Roman" w:eastAsia="方正仿宋简体"/>
          <w:kern w:val="2"/>
          <w:sz w:val="32"/>
          <w:szCs w:val="32"/>
          <w:lang w:val="en-US" w:eastAsia="zh-CN" w:bidi="ar-SA"/>
        </w:rPr>
        <w:tab/>
      </w:r>
      <w:r>
        <w:rPr>
          <w:rFonts w:ascii="Times New Roman" w:hAnsi="Times New Roman" w:eastAsia="方正仿宋简体"/>
          <w:kern w:val="2"/>
          <w:sz w:val="32"/>
          <w:szCs w:val="32"/>
          <w:lang w:val="en-US" w:eastAsia="zh-CN" w:bidi="ar-SA"/>
        </w:rPr>
        <w:t>13</w:t>
      </w:r>
    </w:p>
    <w:p w14:paraId="4597BDF1">
      <w:pPr>
        <w:pStyle w:val="14"/>
        <w:adjustRightInd w:val="0"/>
        <w:snapToGrid w:val="0"/>
        <w:spacing w:before="0" w:line="600" w:lineRule="exact"/>
        <w:ind w:firstLine="640" w:firstLineChars="200"/>
        <w:jc w:val="left"/>
        <w:rPr>
          <w:rFonts w:ascii="Times New Roman" w:hAnsi="Times New Roman" w:eastAsia="方正仿宋简体"/>
          <w:kern w:val="2"/>
          <w:sz w:val="32"/>
          <w:szCs w:val="32"/>
          <w:lang w:val="en-US" w:eastAsia="zh-CN" w:bidi="ar-SA"/>
        </w:rPr>
      </w:pPr>
      <w:r>
        <w:rPr>
          <w:rFonts w:ascii="Times New Roman" w:hAnsi="Times New Roman" w:eastAsia="黑体"/>
          <w:sz w:val="32"/>
          <w:szCs w:val="32"/>
          <w:lang w:val="en-US" w:eastAsia="zh-CN" w:bidi="ar-SA"/>
        </w:rPr>
        <w:t>第四部分 附表</w:t>
      </w:r>
      <w:r>
        <w:rPr>
          <w:rFonts w:ascii="Times New Roman" w:hAnsi="Times New Roman" w:eastAsia="方正仿宋简体"/>
          <w:kern w:val="2"/>
          <w:sz w:val="32"/>
          <w:szCs w:val="32"/>
          <w:lang w:val="en-US" w:eastAsia="zh-CN" w:bidi="ar-SA"/>
        </w:rPr>
        <w:tab/>
      </w:r>
      <w:r>
        <w:rPr>
          <w:rFonts w:ascii="Times New Roman" w:hAnsi="Times New Roman" w:eastAsia="方正仿宋简体"/>
          <w:kern w:val="2"/>
          <w:sz w:val="32"/>
          <w:szCs w:val="32"/>
          <w:lang w:val="en-US" w:eastAsia="zh-CN" w:bidi="ar-SA"/>
        </w:rPr>
        <w:t>15</w:t>
      </w:r>
    </w:p>
    <w:p w14:paraId="1544C8F0">
      <w:pPr>
        <w:pStyle w:val="14"/>
        <w:pageBreakBefore w:val="0"/>
        <w:widowControl w:val="0"/>
        <w:numPr>
          <w:ilvl w:val="0"/>
          <w:numId w:val="1"/>
        </w:numPr>
        <w:kinsoku/>
        <w:wordWrap/>
        <w:overflowPunct/>
        <w:topLinePunct w:val="0"/>
        <w:autoSpaceDE/>
        <w:autoSpaceDN/>
        <w:bidi w:val="0"/>
        <w:adjustRightInd w:val="0"/>
        <w:snapToGrid w:val="0"/>
        <w:spacing w:before="0" w:line="600" w:lineRule="exact"/>
        <w:ind w:left="0" w:firstLine="640" w:firstLineChars="200"/>
        <w:jc w:val="left"/>
        <w:textAlignment w:val="auto"/>
        <w:rPr>
          <w:rFonts w:ascii="Times New Roman" w:hAnsi="Times New Roman" w:eastAsia="方正仿宋简体"/>
          <w:kern w:val="2"/>
          <w:sz w:val="32"/>
          <w:szCs w:val="32"/>
          <w:lang w:val="en-US" w:eastAsia="zh-CN" w:bidi="ar-SA"/>
        </w:rPr>
      </w:pPr>
      <w:r>
        <w:rPr>
          <w:rFonts w:ascii="Times New Roman" w:hAnsi="Times New Roman" w:eastAsia="方正仿宋简体"/>
          <w:kern w:val="2"/>
          <w:sz w:val="32"/>
          <w:szCs w:val="32"/>
          <w:lang w:val="en-US" w:eastAsia="zh-CN" w:bidi="ar-SA"/>
        </w:rPr>
        <w:t>收入支出决算总表</w:t>
      </w:r>
      <w:r>
        <w:rPr>
          <w:rFonts w:ascii="Times New Roman" w:hAnsi="Times New Roman" w:eastAsia="方正仿宋简体"/>
          <w:kern w:val="2"/>
          <w:sz w:val="32"/>
          <w:szCs w:val="32"/>
          <w:lang w:val="en-US" w:eastAsia="zh-CN" w:bidi="ar-SA"/>
        </w:rPr>
        <w:tab/>
      </w:r>
      <w:r>
        <w:rPr>
          <w:rFonts w:ascii="Times New Roman" w:hAnsi="Times New Roman" w:eastAsia="方正仿宋简体"/>
          <w:kern w:val="2"/>
          <w:sz w:val="32"/>
          <w:szCs w:val="32"/>
          <w:lang w:val="en-US" w:eastAsia="zh-CN" w:bidi="ar-SA"/>
        </w:rPr>
        <w:t>15</w:t>
      </w:r>
    </w:p>
    <w:p w14:paraId="4947E881">
      <w:pPr>
        <w:pStyle w:val="14"/>
        <w:pageBreakBefore w:val="0"/>
        <w:widowControl w:val="0"/>
        <w:kinsoku/>
        <w:wordWrap/>
        <w:overflowPunct/>
        <w:topLinePunct w:val="0"/>
        <w:autoSpaceDE/>
        <w:autoSpaceDN/>
        <w:bidi w:val="0"/>
        <w:spacing w:before="0" w:line="600" w:lineRule="exact"/>
        <w:ind w:firstLine="640" w:firstLineChars="200"/>
        <w:textAlignment w:val="auto"/>
        <w:rPr>
          <w:rFonts w:ascii="Times New Roman" w:hAnsi="Times New Roman" w:eastAsia="方正仿宋简体"/>
          <w:kern w:val="2"/>
          <w:sz w:val="32"/>
          <w:szCs w:val="32"/>
          <w:lang w:val="en-US" w:eastAsia="zh-CN" w:bidi="ar-SA"/>
        </w:rPr>
      </w:pPr>
      <w:r>
        <w:rPr>
          <w:rFonts w:ascii="Times New Roman" w:hAnsi="Times New Roman" w:eastAsia="方正仿宋简体"/>
          <w:kern w:val="2"/>
          <w:sz w:val="32"/>
          <w:szCs w:val="32"/>
          <w:lang w:val="en-US" w:eastAsia="zh-CN" w:bidi="ar-SA"/>
        </w:rPr>
        <w:t>二、收入决算表</w:t>
      </w:r>
      <w:r>
        <w:rPr>
          <w:rFonts w:ascii="Times New Roman" w:hAnsi="Times New Roman" w:eastAsia="方正仿宋简体"/>
          <w:kern w:val="2"/>
          <w:sz w:val="32"/>
          <w:szCs w:val="32"/>
          <w:lang w:val="en-US" w:eastAsia="zh-CN" w:bidi="ar-SA"/>
        </w:rPr>
        <w:tab/>
      </w:r>
      <w:r>
        <w:rPr>
          <w:rFonts w:ascii="Times New Roman" w:hAnsi="Times New Roman" w:eastAsia="方正仿宋简体"/>
          <w:kern w:val="2"/>
          <w:sz w:val="32"/>
          <w:szCs w:val="32"/>
          <w:lang w:val="en-US" w:eastAsia="zh-CN" w:bidi="ar-SA"/>
        </w:rPr>
        <w:t>15</w:t>
      </w:r>
    </w:p>
    <w:p w14:paraId="11980B5E">
      <w:pPr>
        <w:pStyle w:val="14"/>
        <w:pageBreakBefore w:val="0"/>
        <w:widowControl w:val="0"/>
        <w:kinsoku/>
        <w:wordWrap/>
        <w:overflowPunct/>
        <w:topLinePunct w:val="0"/>
        <w:autoSpaceDE/>
        <w:autoSpaceDN/>
        <w:bidi w:val="0"/>
        <w:spacing w:line="600" w:lineRule="exact"/>
        <w:ind w:firstLine="640" w:firstLineChars="200"/>
        <w:textAlignment w:val="auto"/>
        <w:rPr>
          <w:rFonts w:ascii="Times New Roman" w:hAnsi="Times New Roman" w:eastAsia="方正仿宋简体"/>
          <w:kern w:val="2"/>
          <w:sz w:val="32"/>
          <w:szCs w:val="32"/>
          <w:lang w:val="en-US" w:eastAsia="zh-CN" w:bidi="ar-SA"/>
        </w:rPr>
      </w:pPr>
      <w:r>
        <w:rPr>
          <w:rFonts w:ascii="Times New Roman" w:hAnsi="Times New Roman" w:eastAsia="方正仿宋简体"/>
          <w:kern w:val="2"/>
          <w:sz w:val="32"/>
          <w:szCs w:val="32"/>
          <w:lang w:val="en-US" w:eastAsia="zh-CN" w:bidi="ar-SA"/>
        </w:rPr>
        <w:t>三、支出决算表</w:t>
      </w:r>
      <w:r>
        <w:rPr>
          <w:rFonts w:ascii="Times New Roman" w:hAnsi="Times New Roman" w:eastAsia="方正仿宋简体"/>
          <w:kern w:val="2"/>
          <w:sz w:val="32"/>
          <w:szCs w:val="32"/>
          <w:lang w:val="en-US" w:eastAsia="zh-CN" w:bidi="ar-SA"/>
        </w:rPr>
        <w:tab/>
      </w:r>
      <w:r>
        <w:rPr>
          <w:rFonts w:ascii="Times New Roman" w:hAnsi="Times New Roman" w:eastAsia="方正仿宋简体"/>
          <w:kern w:val="2"/>
          <w:sz w:val="32"/>
          <w:szCs w:val="32"/>
          <w:lang w:val="en-US" w:eastAsia="zh-CN" w:bidi="ar-SA"/>
        </w:rPr>
        <w:t>15</w:t>
      </w:r>
    </w:p>
    <w:p w14:paraId="510B13F3">
      <w:pPr>
        <w:pStyle w:val="14"/>
        <w:pageBreakBefore w:val="0"/>
        <w:widowControl w:val="0"/>
        <w:kinsoku/>
        <w:wordWrap/>
        <w:overflowPunct/>
        <w:topLinePunct w:val="0"/>
        <w:autoSpaceDE/>
        <w:autoSpaceDN/>
        <w:bidi w:val="0"/>
        <w:spacing w:line="600" w:lineRule="exact"/>
        <w:ind w:firstLine="640" w:firstLineChars="200"/>
        <w:textAlignment w:val="auto"/>
        <w:rPr>
          <w:rFonts w:ascii="Times New Roman" w:hAnsi="Times New Roman" w:eastAsia="方正仿宋简体"/>
          <w:kern w:val="2"/>
          <w:sz w:val="32"/>
          <w:szCs w:val="32"/>
          <w:lang w:val="en-US" w:eastAsia="zh-CN" w:bidi="ar-SA"/>
        </w:rPr>
      </w:pPr>
      <w:r>
        <w:rPr>
          <w:rFonts w:ascii="Times New Roman" w:hAnsi="Times New Roman" w:eastAsia="方正仿宋简体"/>
          <w:kern w:val="2"/>
          <w:sz w:val="32"/>
          <w:szCs w:val="32"/>
          <w:lang w:val="en-US" w:eastAsia="zh-CN" w:bidi="ar-SA"/>
        </w:rPr>
        <w:t>四、财政拨款收入支出决算总表</w:t>
      </w:r>
      <w:r>
        <w:rPr>
          <w:rFonts w:ascii="Times New Roman" w:hAnsi="Times New Roman" w:eastAsia="方正仿宋简体"/>
          <w:kern w:val="2"/>
          <w:sz w:val="32"/>
          <w:szCs w:val="32"/>
          <w:lang w:val="en-US" w:eastAsia="zh-CN" w:bidi="ar-SA"/>
        </w:rPr>
        <w:tab/>
      </w:r>
      <w:r>
        <w:rPr>
          <w:rFonts w:ascii="Times New Roman" w:hAnsi="Times New Roman" w:eastAsia="方正仿宋简体"/>
          <w:kern w:val="2"/>
          <w:sz w:val="32"/>
          <w:szCs w:val="32"/>
          <w:lang w:val="en-US" w:eastAsia="zh-CN" w:bidi="ar-SA"/>
        </w:rPr>
        <w:t>15</w:t>
      </w:r>
    </w:p>
    <w:p w14:paraId="6AEA95D6">
      <w:pPr>
        <w:pStyle w:val="14"/>
        <w:pageBreakBefore w:val="0"/>
        <w:widowControl w:val="0"/>
        <w:kinsoku/>
        <w:wordWrap/>
        <w:overflowPunct/>
        <w:topLinePunct w:val="0"/>
        <w:autoSpaceDE/>
        <w:autoSpaceDN/>
        <w:bidi w:val="0"/>
        <w:spacing w:line="600" w:lineRule="exact"/>
        <w:ind w:firstLine="640" w:firstLineChars="200"/>
        <w:textAlignment w:val="auto"/>
        <w:rPr>
          <w:rFonts w:ascii="Times New Roman" w:hAnsi="Times New Roman" w:eastAsia="方正仿宋简体"/>
          <w:kern w:val="2"/>
          <w:sz w:val="32"/>
          <w:szCs w:val="32"/>
          <w:lang w:val="en-US" w:eastAsia="zh-CN" w:bidi="ar-SA"/>
        </w:rPr>
      </w:pPr>
      <w:r>
        <w:rPr>
          <w:rFonts w:ascii="Times New Roman" w:hAnsi="Times New Roman" w:eastAsia="方正仿宋简体"/>
          <w:kern w:val="2"/>
          <w:sz w:val="32"/>
          <w:szCs w:val="32"/>
          <w:lang w:val="en-US" w:eastAsia="zh-CN" w:bidi="ar-SA"/>
        </w:rPr>
        <w:t>五、财政拨款支出决算明细表</w:t>
      </w:r>
      <w:r>
        <w:rPr>
          <w:rFonts w:ascii="Times New Roman" w:hAnsi="Times New Roman" w:eastAsia="方正仿宋简体"/>
          <w:kern w:val="2"/>
          <w:sz w:val="32"/>
          <w:szCs w:val="32"/>
          <w:lang w:val="en-US" w:eastAsia="zh-CN" w:bidi="ar-SA"/>
        </w:rPr>
        <w:tab/>
      </w:r>
      <w:r>
        <w:rPr>
          <w:rFonts w:ascii="Times New Roman" w:hAnsi="Times New Roman" w:eastAsia="方正仿宋简体"/>
          <w:kern w:val="2"/>
          <w:sz w:val="32"/>
          <w:szCs w:val="32"/>
          <w:lang w:val="en-US" w:eastAsia="zh-CN" w:bidi="ar-SA"/>
        </w:rPr>
        <w:t>15</w:t>
      </w:r>
    </w:p>
    <w:p w14:paraId="128682E8">
      <w:pPr>
        <w:pStyle w:val="14"/>
        <w:pageBreakBefore w:val="0"/>
        <w:widowControl w:val="0"/>
        <w:kinsoku/>
        <w:wordWrap/>
        <w:overflowPunct/>
        <w:topLinePunct w:val="0"/>
        <w:autoSpaceDE/>
        <w:autoSpaceDN/>
        <w:bidi w:val="0"/>
        <w:spacing w:line="600" w:lineRule="exact"/>
        <w:ind w:firstLine="640" w:firstLineChars="200"/>
        <w:textAlignment w:val="auto"/>
        <w:rPr>
          <w:rFonts w:ascii="Times New Roman" w:hAnsi="Times New Roman" w:eastAsia="方正仿宋简体"/>
          <w:kern w:val="2"/>
          <w:sz w:val="32"/>
          <w:szCs w:val="32"/>
          <w:lang w:val="en-US" w:eastAsia="zh-CN" w:bidi="ar-SA"/>
        </w:rPr>
      </w:pPr>
      <w:r>
        <w:rPr>
          <w:rFonts w:ascii="Times New Roman" w:hAnsi="Times New Roman" w:eastAsia="方正仿宋简体"/>
          <w:kern w:val="2"/>
          <w:sz w:val="32"/>
          <w:szCs w:val="32"/>
          <w:lang w:val="en-US" w:eastAsia="zh-CN" w:bidi="ar-SA"/>
        </w:rPr>
        <w:t>六、一般公共预算财政拨款支出决算表</w:t>
      </w:r>
      <w:r>
        <w:rPr>
          <w:rFonts w:ascii="Times New Roman" w:hAnsi="Times New Roman" w:eastAsia="方正仿宋简体"/>
          <w:kern w:val="2"/>
          <w:sz w:val="32"/>
          <w:szCs w:val="32"/>
          <w:lang w:val="en-US" w:eastAsia="zh-CN" w:bidi="ar-SA"/>
        </w:rPr>
        <w:tab/>
      </w:r>
      <w:r>
        <w:rPr>
          <w:rFonts w:ascii="Times New Roman" w:hAnsi="Times New Roman" w:eastAsia="方正仿宋简体"/>
          <w:kern w:val="2"/>
          <w:sz w:val="32"/>
          <w:szCs w:val="32"/>
          <w:lang w:val="en-US" w:eastAsia="zh-CN" w:bidi="ar-SA"/>
        </w:rPr>
        <w:t>15</w:t>
      </w:r>
    </w:p>
    <w:p w14:paraId="02F068D5">
      <w:pPr>
        <w:pStyle w:val="14"/>
        <w:pageBreakBefore w:val="0"/>
        <w:widowControl w:val="0"/>
        <w:kinsoku/>
        <w:wordWrap/>
        <w:overflowPunct/>
        <w:topLinePunct w:val="0"/>
        <w:autoSpaceDE/>
        <w:autoSpaceDN/>
        <w:bidi w:val="0"/>
        <w:spacing w:line="600" w:lineRule="exact"/>
        <w:ind w:firstLine="640" w:firstLineChars="200"/>
        <w:textAlignment w:val="auto"/>
        <w:rPr>
          <w:rFonts w:ascii="Times New Roman" w:hAnsi="Times New Roman" w:eastAsia="方正仿宋简体"/>
          <w:kern w:val="2"/>
          <w:sz w:val="32"/>
          <w:szCs w:val="32"/>
          <w:lang w:val="en-US" w:eastAsia="zh-CN" w:bidi="ar-SA"/>
        </w:rPr>
      </w:pPr>
      <w:r>
        <w:rPr>
          <w:rFonts w:ascii="Times New Roman" w:hAnsi="Times New Roman" w:eastAsia="方正仿宋简体"/>
          <w:kern w:val="2"/>
          <w:sz w:val="32"/>
          <w:szCs w:val="32"/>
          <w:lang w:val="en-US" w:eastAsia="zh-CN" w:bidi="ar-SA"/>
        </w:rPr>
        <w:t>七、一般公共预算财政拨款支出决算明细表</w:t>
      </w:r>
      <w:r>
        <w:rPr>
          <w:rFonts w:ascii="Times New Roman" w:hAnsi="Times New Roman" w:eastAsia="方正仿宋简体"/>
          <w:kern w:val="2"/>
          <w:sz w:val="32"/>
          <w:szCs w:val="32"/>
          <w:lang w:val="en-US" w:eastAsia="zh-CN" w:bidi="ar-SA"/>
        </w:rPr>
        <w:tab/>
      </w:r>
      <w:r>
        <w:rPr>
          <w:rFonts w:ascii="Times New Roman" w:hAnsi="Times New Roman" w:eastAsia="方正仿宋简体"/>
          <w:kern w:val="2"/>
          <w:sz w:val="32"/>
          <w:szCs w:val="32"/>
          <w:lang w:val="en-US" w:eastAsia="zh-CN" w:bidi="ar-SA"/>
        </w:rPr>
        <w:t>15</w:t>
      </w:r>
    </w:p>
    <w:p w14:paraId="5940E26D">
      <w:pPr>
        <w:pStyle w:val="14"/>
        <w:pageBreakBefore w:val="0"/>
        <w:widowControl w:val="0"/>
        <w:kinsoku/>
        <w:wordWrap/>
        <w:overflowPunct/>
        <w:topLinePunct w:val="0"/>
        <w:autoSpaceDE/>
        <w:autoSpaceDN/>
        <w:bidi w:val="0"/>
        <w:spacing w:line="600" w:lineRule="exact"/>
        <w:ind w:firstLine="640" w:firstLineChars="200"/>
        <w:textAlignment w:val="auto"/>
        <w:rPr>
          <w:rFonts w:ascii="Times New Roman" w:hAnsi="Times New Roman" w:eastAsia="方正仿宋简体"/>
          <w:kern w:val="2"/>
          <w:sz w:val="32"/>
          <w:szCs w:val="32"/>
          <w:lang w:val="en-US" w:eastAsia="zh-CN" w:bidi="ar-SA"/>
        </w:rPr>
      </w:pPr>
      <w:r>
        <w:rPr>
          <w:rFonts w:ascii="Times New Roman" w:hAnsi="Times New Roman" w:eastAsia="方正仿宋简体"/>
          <w:kern w:val="2"/>
          <w:sz w:val="32"/>
          <w:szCs w:val="32"/>
          <w:lang w:val="en-US" w:eastAsia="zh-CN" w:bidi="ar-SA"/>
        </w:rPr>
        <w:t>八、一般公共预算财政拨款基本支出决算明细表</w:t>
      </w:r>
      <w:r>
        <w:rPr>
          <w:rFonts w:ascii="Times New Roman" w:hAnsi="Times New Roman" w:eastAsia="方正仿宋简体"/>
          <w:kern w:val="2"/>
          <w:sz w:val="32"/>
          <w:szCs w:val="32"/>
          <w:lang w:val="en-US" w:eastAsia="zh-CN" w:bidi="ar-SA"/>
        </w:rPr>
        <w:tab/>
      </w:r>
      <w:r>
        <w:rPr>
          <w:rFonts w:ascii="Times New Roman" w:hAnsi="Times New Roman" w:eastAsia="方正仿宋简体"/>
          <w:kern w:val="2"/>
          <w:sz w:val="32"/>
          <w:szCs w:val="32"/>
          <w:lang w:val="en-US" w:eastAsia="zh-CN" w:bidi="ar-SA"/>
        </w:rPr>
        <w:t>15</w:t>
      </w:r>
    </w:p>
    <w:p w14:paraId="077AA865">
      <w:pPr>
        <w:pStyle w:val="14"/>
        <w:pageBreakBefore w:val="0"/>
        <w:widowControl w:val="0"/>
        <w:kinsoku/>
        <w:wordWrap/>
        <w:overflowPunct/>
        <w:topLinePunct w:val="0"/>
        <w:autoSpaceDE/>
        <w:autoSpaceDN/>
        <w:bidi w:val="0"/>
        <w:spacing w:line="600" w:lineRule="exact"/>
        <w:ind w:firstLine="640" w:firstLineChars="200"/>
        <w:textAlignment w:val="auto"/>
        <w:rPr>
          <w:rFonts w:ascii="Times New Roman" w:hAnsi="Times New Roman" w:eastAsia="方正仿宋简体"/>
          <w:kern w:val="2"/>
          <w:sz w:val="32"/>
          <w:szCs w:val="32"/>
          <w:lang w:val="en-US" w:eastAsia="zh-CN" w:bidi="ar-SA"/>
        </w:rPr>
      </w:pPr>
      <w:r>
        <w:rPr>
          <w:rFonts w:ascii="Times New Roman" w:hAnsi="Times New Roman" w:eastAsia="方正仿宋简体"/>
          <w:kern w:val="2"/>
          <w:sz w:val="32"/>
          <w:szCs w:val="32"/>
          <w:lang w:val="en-US" w:eastAsia="zh-CN" w:bidi="ar-SA"/>
        </w:rPr>
        <w:t>九、一般公共预算财政拨款项目支出决算表</w:t>
      </w:r>
      <w:r>
        <w:rPr>
          <w:rFonts w:ascii="Times New Roman" w:hAnsi="Times New Roman" w:eastAsia="方正仿宋简体"/>
          <w:kern w:val="2"/>
          <w:sz w:val="32"/>
          <w:szCs w:val="32"/>
          <w:lang w:val="en-US" w:eastAsia="zh-CN" w:bidi="ar-SA"/>
        </w:rPr>
        <w:tab/>
      </w:r>
      <w:r>
        <w:rPr>
          <w:rFonts w:ascii="Times New Roman" w:hAnsi="Times New Roman" w:eastAsia="方正仿宋简体"/>
          <w:kern w:val="2"/>
          <w:sz w:val="32"/>
          <w:szCs w:val="32"/>
          <w:lang w:val="en-US" w:eastAsia="zh-CN" w:bidi="ar-SA"/>
        </w:rPr>
        <w:t>15</w:t>
      </w:r>
    </w:p>
    <w:p w14:paraId="2C275BB5">
      <w:pPr>
        <w:pStyle w:val="14"/>
        <w:pageBreakBefore w:val="0"/>
        <w:widowControl w:val="0"/>
        <w:kinsoku/>
        <w:wordWrap/>
        <w:overflowPunct/>
        <w:topLinePunct w:val="0"/>
        <w:autoSpaceDE/>
        <w:autoSpaceDN/>
        <w:bidi w:val="0"/>
        <w:spacing w:line="600" w:lineRule="exact"/>
        <w:ind w:firstLine="640" w:firstLineChars="200"/>
        <w:textAlignment w:val="auto"/>
        <w:rPr>
          <w:rFonts w:ascii="Times New Roman" w:hAnsi="Times New Roman" w:eastAsia="方正仿宋简体"/>
          <w:kern w:val="2"/>
          <w:sz w:val="32"/>
          <w:szCs w:val="32"/>
          <w:lang w:val="en-US" w:eastAsia="zh-CN" w:bidi="ar-SA"/>
        </w:rPr>
      </w:pPr>
      <w:r>
        <w:rPr>
          <w:rFonts w:ascii="Times New Roman" w:hAnsi="Times New Roman" w:eastAsia="方正仿宋简体"/>
          <w:kern w:val="2"/>
          <w:sz w:val="32"/>
          <w:szCs w:val="32"/>
          <w:lang w:val="en-US" w:eastAsia="zh-CN" w:bidi="ar-SA"/>
        </w:rPr>
        <w:t>十、政府性基金预算财政拨款收入支出决算表</w:t>
      </w:r>
      <w:r>
        <w:rPr>
          <w:rFonts w:ascii="Times New Roman" w:hAnsi="Times New Roman" w:eastAsia="方正仿宋简体"/>
          <w:kern w:val="2"/>
          <w:sz w:val="32"/>
          <w:szCs w:val="32"/>
          <w:lang w:val="en-US" w:eastAsia="zh-CN" w:bidi="ar-SA"/>
        </w:rPr>
        <w:tab/>
      </w:r>
      <w:r>
        <w:rPr>
          <w:rFonts w:ascii="Times New Roman" w:hAnsi="Times New Roman" w:eastAsia="方正仿宋简体"/>
          <w:kern w:val="2"/>
          <w:sz w:val="32"/>
          <w:szCs w:val="32"/>
          <w:lang w:val="en-US" w:eastAsia="zh-CN" w:bidi="ar-SA"/>
        </w:rPr>
        <w:t>15</w:t>
      </w:r>
    </w:p>
    <w:p w14:paraId="6E59C0BE">
      <w:pPr>
        <w:pStyle w:val="14"/>
        <w:pageBreakBefore w:val="0"/>
        <w:widowControl w:val="0"/>
        <w:kinsoku/>
        <w:wordWrap/>
        <w:overflowPunct/>
        <w:topLinePunct w:val="0"/>
        <w:autoSpaceDE/>
        <w:autoSpaceDN/>
        <w:bidi w:val="0"/>
        <w:spacing w:line="600" w:lineRule="exact"/>
        <w:ind w:firstLine="640" w:firstLineChars="200"/>
        <w:textAlignment w:val="auto"/>
        <w:rPr>
          <w:rFonts w:ascii="Times New Roman" w:hAnsi="Times New Roman" w:eastAsia="方正仿宋简体"/>
          <w:kern w:val="2"/>
          <w:sz w:val="32"/>
          <w:szCs w:val="32"/>
          <w:lang w:val="en-US" w:eastAsia="zh-CN" w:bidi="ar-SA"/>
        </w:rPr>
      </w:pPr>
      <w:r>
        <w:rPr>
          <w:rFonts w:ascii="Times New Roman" w:hAnsi="Times New Roman" w:eastAsia="方正仿宋简体"/>
          <w:kern w:val="2"/>
          <w:sz w:val="32"/>
          <w:szCs w:val="32"/>
          <w:lang w:val="en-US" w:eastAsia="zh-CN" w:bidi="ar-SA"/>
        </w:rPr>
        <w:t>十一、国有资本经营预算财政拨款收入支出决算表</w:t>
      </w:r>
      <w:r>
        <w:rPr>
          <w:rFonts w:ascii="Times New Roman" w:hAnsi="Times New Roman" w:eastAsia="方正仿宋简体"/>
          <w:kern w:val="2"/>
          <w:sz w:val="32"/>
          <w:szCs w:val="32"/>
          <w:lang w:val="en-US" w:eastAsia="zh-CN" w:bidi="ar-SA"/>
        </w:rPr>
        <w:tab/>
      </w:r>
      <w:r>
        <w:rPr>
          <w:rFonts w:ascii="Times New Roman" w:hAnsi="Times New Roman" w:eastAsia="方正仿宋简体"/>
          <w:kern w:val="2"/>
          <w:sz w:val="32"/>
          <w:szCs w:val="32"/>
          <w:lang w:val="en-US" w:eastAsia="zh-CN" w:bidi="ar-SA"/>
        </w:rPr>
        <w:t>15</w:t>
      </w:r>
    </w:p>
    <w:p w14:paraId="6CB5A006">
      <w:pPr>
        <w:pStyle w:val="14"/>
        <w:pageBreakBefore w:val="0"/>
        <w:widowControl w:val="0"/>
        <w:kinsoku/>
        <w:wordWrap/>
        <w:overflowPunct/>
        <w:topLinePunct w:val="0"/>
        <w:autoSpaceDE/>
        <w:autoSpaceDN/>
        <w:bidi w:val="0"/>
        <w:spacing w:line="600" w:lineRule="exact"/>
        <w:ind w:firstLine="640" w:firstLineChars="200"/>
        <w:textAlignment w:val="auto"/>
        <w:rPr>
          <w:rFonts w:ascii="Times New Roman" w:hAnsi="Times New Roman" w:eastAsia="方正仿宋简体"/>
          <w:kern w:val="2"/>
          <w:sz w:val="32"/>
          <w:szCs w:val="32"/>
          <w:lang w:val="en-US" w:eastAsia="zh-CN" w:bidi="ar-SA"/>
        </w:rPr>
      </w:pPr>
      <w:r>
        <w:rPr>
          <w:rFonts w:ascii="Times New Roman" w:hAnsi="Times New Roman" w:eastAsia="方正仿宋简体"/>
          <w:kern w:val="2"/>
          <w:sz w:val="32"/>
          <w:szCs w:val="32"/>
          <w:lang w:val="en-US" w:eastAsia="zh-CN" w:bidi="ar-SA"/>
        </w:rPr>
        <w:t>十二、国有资本经营预算财政拨款支出决算表</w:t>
      </w:r>
      <w:r>
        <w:rPr>
          <w:rFonts w:ascii="Times New Roman" w:hAnsi="Times New Roman" w:eastAsia="方正仿宋简体"/>
          <w:kern w:val="2"/>
          <w:sz w:val="32"/>
          <w:szCs w:val="32"/>
          <w:lang w:val="en-US" w:eastAsia="zh-CN" w:bidi="ar-SA"/>
        </w:rPr>
        <w:tab/>
      </w:r>
      <w:r>
        <w:rPr>
          <w:rFonts w:ascii="Times New Roman" w:hAnsi="Times New Roman" w:eastAsia="方正仿宋简体"/>
          <w:kern w:val="2"/>
          <w:sz w:val="32"/>
          <w:szCs w:val="32"/>
          <w:lang w:val="en-US" w:eastAsia="zh-CN" w:bidi="ar-SA"/>
        </w:rPr>
        <w:t>15</w:t>
      </w:r>
    </w:p>
    <w:p w14:paraId="449E8509">
      <w:pPr>
        <w:pStyle w:val="14"/>
        <w:pageBreakBefore w:val="0"/>
        <w:widowControl w:val="0"/>
        <w:kinsoku/>
        <w:wordWrap/>
        <w:overflowPunct/>
        <w:topLinePunct w:val="0"/>
        <w:autoSpaceDE/>
        <w:autoSpaceDN/>
        <w:bidi w:val="0"/>
        <w:spacing w:line="600" w:lineRule="exact"/>
        <w:ind w:firstLine="640" w:firstLineChars="200"/>
        <w:textAlignment w:val="auto"/>
        <w:rPr>
          <w:rFonts w:ascii="Times New Roman" w:hAnsi="Times New Roman" w:eastAsia="方正仿宋简体"/>
          <w:kern w:val="2"/>
          <w:sz w:val="32"/>
          <w:szCs w:val="32"/>
          <w:lang w:val="en-US" w:eastAsia="zh-CN" w:bidi="ar-SA"/>
        </w:rPr>
      </w:pPr>
      <w:r>
        <w:rPr>
          <w:rFonts w:ascii="Times New Roman" w:hAnsi="Times New Roman" w:eastAsia="方正仿宋简体"/>
          <w:kern w:val="2"/>
          <w:sz w:val="32"/>
          <w:szCs w:val="32"/>
          <w:lang w:val="en-US" w:eastAsia="zh-CN" w:bidi="ar-SA"/>
        </w:rPr>
        <w:t>十三、财政拨款“三公”经费支出决算表</w:t>
      </w:r>
      <w:r>
        <w:rPr>
          <w:rFonts w:ascii="Times New Roman" w:hAnsi="Times New Roman" w:eastAsia="方正仿宋简体"/>
          <w:kern w:val="2"/>
          <w:sz w:val="32"/>
          <w:szCs w:val="32"/>
          <w:lang w:val="en-US" w:eastAsia="zh-CN" w:bidi="ar-SA"/>
        </w:rPr>
        <w:tab/>
      </w:r>
      <w:r>
        <w:rPr>
          <w:rFonts w:ascii="Times New Roman" w:hAnsi="Times New Roman" w:eastAsia="方正仿宋简体"/>
          <w:kern w:val="2"/>
          <w:sz w:val="32"/>
          <w:szCs w:val="32"/>
          <w:lang w:val="en-US" w:eastAsia="zh-CN" w:bidi="ar-SA"/>
        </w:rPr>
        <w:t>15</w:t>
      </w:r>
    </w:p>
    <w:p w14:paraId="23213C3D">
      <w:pPr>
        <w:pStyle w:val="2"/>
        <w:keepNext/>
        <w:keepLines/>
        <w:pageBreakBefore w:val="0"/>
        <w:widowControl w:val="0"/>
        <w:kinsoku/>
        <w:wordWrap/>
        <w:overflowPunct/>
        <w:topLinePunct w:val="0"/>
        <w:autoSpaceDE/>
        <w:autoSpaceDN/>
        <w:bidi w:val="0"/>
        <w:ind w:firstLine="643" w:firstLineChars="200"/>
        <w:jc w:val="center"/>
        <w:textAlignment w:val="auto"/>
        <w:rPr>
          <w:rFonts w:eastAsia="方正仿宋简体"/>
          <w:kern w:val="2"/>
          <w:sz w:val="32"/>
          <w:szCs w:val="32"/>
          <w:lang w:val="en-US" w:eastAsia="zh-CN" w:bidi="ar-SA"/>
        </w:rPr>
        <w:sectPr>
          <w:footerReference r:id="rId5" w:type="default"/>
          <w:footerReference r:id="rId6" w:type="even"/>
          <w:pgSz w:w="11906" w:h="16838"/>
          <w:pgMar w:top="1440" w:right="1800" w:bottom="1440" w:left="1800" w:header="720" w:footer="720" w:gutter="0"/>
          <w:pgNumType w:fmt="numberInDash" w:start="1" w:chapStyle="1"/>
          <w:cols w:space="720" w:num="1"/>
          <w:titlePg/>
          <w:docGrid w:type="lines" w:linePitch="312" w:charSpace="0"/>
        </w:sectPr>
      </w:pPr>
    </w:p>
    <w:p w14:paraId="5C50E226">
      <w:pPr>
        <w:pStyle w:val="2"/>
        <w:jc w:val="center"/>
        <w:rPr>
          <w:rStyle w:val="23"/>
          <w:rFonts w:eastAsia="方正小标宋_GBK"/>
          <w:b w:val="0"/>
          <w:bCs w:val="0"/>
          <w:lang w:bidi="ar-SA"/>
        </w:rPr>
      </w:pPr>
      <w:r>
        <w:rPr>
          <w:rFonts w:eastAsia="方正小标宋_GBK"/>
          <w:lang w:bidi="ar-SA"/>
        </w:rPr>
        <w:t>第一部分 单位</w:t>
      </w:r>
      <w:r>
        <w:rPr>
          <w:rStyle w:val="23"/>
          <w:rFonts w:eastAsia="方正小标宋_GBK"/>
          <w:b w:val="0"/>
          <w:bCs w:val="0"/>
          <w:lang w:bidi="ar-SA"/>
        </w:rPr>
        <w:t>概况</w:t>
      </w:r>
    </w:p>
    <w:p w14:paraId="2CA04EDE">
      <w:pPr>
        <w:widowControl/>
        <w:suppressAutoHyphens/>
        <w:jc w:val="left"/>
        <w:rPr>
          <w:rFonts w:eastAsia="黑体"/>
          <w:sz w:val="32"/>
          <w:szCs w:val="32"/>
        </w:rPr>
      </w:pPr>
    </w:p>
    <w:p w14:paraId="75338F6D">
      <w:pPr>
        <w:pStyle w:val="16"/>
        <w:adjustRightInd w:val="0"/>
        <w:snapToGrid w:val="0"/>
        <w:spacing w:line="440" w:lineRule="exact"/>
        <w:ind w:firstLine="160" w:firstLineChars="50"/>
        <w:jc w:val="left"/>
        <w:rPr>
          <w:rStyle w:val="24"/>
          <w:rFonts w:ascii="Times New Roman" w:hAnsi="Times New Roman" w:eastAsia="黑体"/>
          <w:b w:val="0"/>
          <w:bCs w:val="0"/>
        </w:rPr>
      </w:pPr>
      <w:r>
        <w:rPr>
          <w:rStyle w:val="24"/>
          <w:rFonts w:ascii="Times New Roman" w:hAnsi="Times New Roman" w:eastAsia="黑体"/>
          <w:b w:val="0"/>
          <w:bCs w:val="0"/>
        </w:rPr>
        <w:t>一、主要职责</w:t>
      </w:r>
    </w:p>
    <w:p w14:paraId="3A2CBFE5">
      <w:pPr>
        <w:snapToGrid w:val="0"/>
        <w:spacing w:line="600" w:lineRule="exact"/>
        <w:ind w:firstLine="640" w:firstLineChars="200"/>
        <w:rPr>
          <w:rFonts w:eastAsia="方正仿宋简体"/>
          <w:sz w:val="32"/>
          <w:szCs w:val="32"/>
          <w:lang w:bidi="ar-SA"/>
        </w:rPr>
      </w:pPr>
      <w:r>
        <w:rPr>
          <w:rFonts w:eastAsia="方正仿宋简体"/>
          <w:sz w:val="32"/>
          <w:szCs w:val="32"/>
          <w:lang w:bidi="ar-SA"/>
        </w:rPr>
        <w:t xml:space="preserve">（一）贯彻执行党和国家有关民政工作的方针政策和法律法规，拟订全市民政事业发展规划、政策、标准并组织实施。 </w:t>
      </w:r>
    </w:p>
    <w:p w14:paraId="15DC8165">
      <w:pPr>
        <w:snapToGrid w:val="0"/>
        <w:spacing w:line="600" w:lineRule="exact"/>
        <w:ind w:firstLine="640" w:firstLineChars="200"/>
        <w:rPr>
          <w:rFonts w:eastAsia="方正仿宋简体"/>
          <w:sz w:val="32"/>
          <w:szCs w:val="32"/>
          <w:lang w:bidi="ar-SA"/>
        </w:rPr>
      </w:pPr>
      <w:r>
        <w:rPr>
          <w:rFonts w:eastAsia="方正仿宋简体"/>
          <w:sz w:val="32"/>
          <w:szCs w:val="32"/>
          <w:lang w:bidi="ar-SA"/>
        </w:rPr>
        <w:t xml:space="preserve">（二）拟订社会团体、社会服务机构等社会组织登记和监督管理办法并组织实施，按照管理权限依法对社会组织进行登记管理和执法监督。 </w:t>
      </w:r>
    </w:p>
    <w:p w14:paraId="4193AE3B">
      <w:pPr>
        <w:snapToGrid w:val="0"/>
        <w:spacing w:line="600" w:lineRule="exact"/>
        <w:ind w:firstLine="640" w:firstLineChars="200"/>
        <w:rPr>
          <w:rFonts w:eastAsia="方正仿宋简体"/>
          <w:sz w:val="32"/>
          <w:szCs w:val="32"/>
          <w:lang w:bidi="ar-SA"/>
        </w:rPr>
      </w:pPr>
      <w:r>
        <w:rPr>
          <w:rFonts w:eastAsia="方正仿宋简体"/>
          <w:sz w:val="32"/>
          <w:szCs w:val="32"/>
          <w:lang w:bidi="ar-SA"/>
        </w:rPr>
        <w:t xml:space="preserve">（三）牵头拟订社会救助规划、政策、标准，统筹推进社会救助体系建设，负责城乡居民最低生活保障、特困人员救助供养、临时救助、生活无着流浪乞讨人员救助工作。 </w:t>
      </w:r>
    </w:p>
    <w:p w14:paraId="0BDA8D97">
      <w:pPr>
        <w:snapToGrid w:val="0"/>
        <w:spacing w:line="600" w:lineRule="exact"/>
        <w:ind w:firstLine="640" w:firstLineChars="200"/>
        <w:rPr>
          <w:rFonts w:eastAsia="方正仿宋简体"/>
          <w:sz w:val="32"/>
          <w:szCs w:val="32"/>
          <w:lang w:bidi="ar-SA"/>
        </w:rPr>
      </w:pPr>
      <w:r>
        <w:rPr>
          <w:rFonts w:eastAsia="方正仿宋简体"/>
          <w:sz w:val="32"/>
          <w:szCs w:val="32"/>
          <w:lang w:bidi="ar-SA"/>
        </w:rPr>
        <w:t xml:space="preserve">（四）拟订城乡基层群众自治建设和社区治理政策，指导城乡社区治理体系、服务体系和治理能力建设，提出加强和改进城乡基层政权建设的建议，推动基层民主政治建设。 </w:t>
      </w:r>
    </w:p>
    <w:p w14:paraId="3A79112C">
      <w:pPr>
        <w:snapToGrid w:val="0"/>
        <w:spacing w:line="600" w:lineRule="exact"/>
        <w:ind w:firstLine="640" w:firstLineChars="200"/>
        <w:rPr>
          <w:rFonts w:eastAsia="方正仿宋简体"/>
          <w:sz w:val="32"/>
          <w:szCs w:val="32"/>
          <w:lang w:bidi="ar-SA"/>
        </w:rPr>
      </w:pPr>
      <w:r>
        <w:rPr>
          <w:rFonts w:eastAsia="方正仿宋简体"/>
          <w:sz w:val="32"/>
          <w:szCs w:val="32"/>
          <w:lang w:bidi="ar-SA"/>
        </w:rPr>
        <w:t xml:space="preserve">（五）拟订行政区划管理政策和行政区域界线、地名管理办法，负责县（区）、乡（镇）行政区划设立、命名、撤销、变更和政府驻地迁移审核报批工作，组织并指导全市行政区域界线的勘定和管理工作。调处行政区域边界争议，负责全市地名管理工作。 </w:t>
      </w:r>
    </w:p>
    <w:p w14:paraId="5A833E7C">
      <w:pPr>
        <w:snapToGrid w:val="0"/>
        <w:spacing w:line="600" w:lineRule="exact"/>
        <w:ind w:firstLine="640" w:firstLineChars="200"/>
        <w:rPr>
          <w:rFonts w:eastAsia="方正仿宋简体"/>
          <w:sz w:val="32"/>
          <w:szCs w:val="32"/>
          <w:lang w:bidi="ar-SA"/>
        </w:rPr>
      </w:pPr>
      <w:r>
        <w:rPr>
          <w:rFonts w:eastAsia="方正仿宋简体"/>
          <w:sz w:val="32"/>
          <w:szCs w:val="32"/>
          <w:lang w:bidi="ar-SA"/>
        </w:rPr>
        <w:t xml:space="preserve">（六）组织实施婚姻管理政策，推进婚俗改革。 </w:t>
      </w:r>
    </w:p>
    <w:p w14:paraId="2401672C">
      <w:pPr>
        <w:snapToGrid w:val="0"/>
        <w:spacing w:line="600" w:lineRule="exact"/>
        <w:ind w:firstLine="640" w:firstLineChars="200"/>
        <w:rPr>
          <w:rFonts w:eastAsia="方正仿宋简体"/>
          <w:sz w:val="32"/>
          <w:szCs w:val="32"/>
          <w:lang w:bidi="ar-SA"/>
        </w:rPr>
      </w:pPr>
      <w:r>
        <w:rPr>
          <w:rFonts w:eastAsia="方正仿宋简体"/>
          <w:sz w:val="32"/>
          <w:szCs w:val="32"/>
          <w:lang w:bidi="ar-SA"/>
        </w:rPr>
        <w:t xml:space="preserve">（七）拟订殡葬管理政策、服务规范并组织实施，负责殡葬管理工作，推进殡葬改革。 </w:t>
      </w:r>
    </w:p>
    <w:p w14:paraId="71CE5227">
      <w:pPr>
        <w:snapToGrid w:val="0"/>
        <w:spacing w:line="600" w:lineRule="exact"/>
        <w:ind w:firstLine="640" w:firstLineChars="200"/>
        <w:rPr>
          <w:rFonts w:eastAsia="方正仿宋简体"/>
          <w:sz w:val="32"/>
          <w:szCs w:val="32"/>
          <w:lang w:bidi="ar-SA"/>
        </w:rPr>
      </w:pPr>
      <w:r>
        <w:rPr>
          <w:rFonts w:eastAsia="方正仿宋简体"/>
          <w:sz w:val="32"/>
          <w:szCs w:val="32"/>
          <w:lang w:bidi="ar-SA"/>
        </w:rPr>
        <w:t xml:space="preserve">（八）拟订社会福利事业发展规划、政策、标准，拟订社会福利机构管理办法并指导实施，拟订残疾人权益保护政策并监督实施。负责康复辅助器具行业管理，统筹推进残疾人福利制度建设和康复辅助器具产业发展。 </w:t>
      </w:r>
    </w:p>
    <w:p w14:paraId="0DF3ED12">
      <w:pPr>
        <w:snapToGrid w:val="0"/>
        <w:spacing w:line="600" w:lineRule="exact"/>
        <w:ind w:firstLine="640" w:firstLineChars="200"/>
        <w:rPr>
          <w:rFonts w:eastAsia="方正仿宋简体"/>
          <w:sz w:val="32"/>
          <w:szCs w:val="32"/>
          <w:lang w:bidi="ar-SA"/>
        </w:rPr>
      </w:pPr>
      <w:r>
        <w:rPr>
          <w:rFonts w:eastAsia="方正仿宋简体"/>
          <w:sz w:val="32"/>
          <w:szCs w:val="32"/>
          <w:lang w:bidi="ar-SA"/>
        </w:rPr>
        <w:t>（九）统筹推进、督促指导、监督管理养老服务工作，拟订养老服务体系建设规划、政策、标准并组织实施，承担</w:t>
      </w:r>
    </w:p>
    <w:p w14:paraId="7F8DF354">
      <w:pPr>
        <w:snapToGrid/>
        <w:spacing w:line="600" w:lineRule="exact"/>
        <w:ind w:firstLine="640" w:firstLineChars="200"/>
        <w:rPr>
          <w:rFonts w:eastAsia="方正仿宋简体"/>
          <w:sz w:val="32"/>
          <w:szCs w:val="32"/>
          <w:lang w:bidi="ar-SA"/>
        </w:rPr>
      </w:pPr>
      <w:r>
        <w:rPr>
          <w:rFonts w:eastAsia="方正仿宋简体"/>
          <w:sz w:val="32"/>
          <w:szCs w:val="32"/>
          <w:lang w:bidi="ar-SA"/>
        </w:rPr>
        <w:t xml:space="preserve">老年人福利和特殊困难老年人救助工作，协调推进农村留守老年人关爱服务工作，承担城乡老年社会组织管理工作。 </w:t>
      </w:r>
    </w:p>
    <w:p w14:paraId="5E37A728">
      <w:pPr>
        <w:snapToGrid w:val="0"/>
        <w:spacing w:line="600" w:lineRule="exact"/>
        <w:ind w:firstLine="640" w:firstLineChars="200"/>
        <w:rPr>
          <w:rFonts w:eastAsia="方正仿宋简体"/>
          <w:sz w:val="32"/>
          <w:szCs w:val="32"/>
          <w:lang w:bidi="ar-SA"/>
        </w:rPr>
      </w:pPr>
      <w:r>
        <w:rPr>
          <w:rFonts w:eastAsia="方正仿宋简体"/>
          <w:sz w:val="32"/>
          <w:szCs w:val="32"/>
          <w:lang w:bidi="ar-SA"/>
        </w:rPr>
        <w:t xml:space="preserve">（十）拟订儿童福利、孤弃儿童保障、儿童收养、儿童救助保护政策和标准并组织实施，健全农村留守儿童关爱服务体系和困境儿童保障制度。 </w:t>
      </w:r>
    </w:p>
    <w:p w14:paraId="2D01788E">
      <w:pPr>
        <w:snapToGrid w:val="0"/>
        <w:spacing w:line="600" w:lineRule="exact"/>
        <w:ind w:firstLine="640" w:firstLineChars="200"/>
        <w:rPr>
          <w:rFonts w:eastAsia="方正仿宋简体"/>
          <w:sz w:val="32"/>
          <w:szCs w:val="32"/>
          <w:lang w:bidi="ar-SA"/>
        </w:rPr>
      </w:pPr>
      <w:r>
        <w:rPr>
          <w:rFonts w:eastAsia="方正仿宋简体"/>
          <w:sz w:val="32"/>
          <w:szCs w:val="32"/>
          <w:lang w:bidi="ar-SA"/>
        </w:rPr>
        <w:t xml:space="preserve">（十一）组织拟订促进慈善事业发展政策，指导社会捐赠工作。指导福利彩票销售工作，管理本级福利彩票公益金，监督全市福利彩票公益金的管理、使用。 </w:t>
      </w:r>
    </w:p>
    <w:p w14:paraId="47C253B1">
      <w:pPr>
        <w:snapToGrid w:val="0"/>
        <w:spacing w:line="600" w:lineRule="exact"/>
        <w:ind w:firstLine="640" w:firstLineChars="200"/>
        <w:rPr>
          <w:rFonts w:eastAsia="方正仿宋简体"/>
          <w:sz w:val="32"/>
          <w:szCs w:val="32"/>
          <w:lang w:bidi="ar-SA"/>
        </w:rPr>
      </w:pPr>
      <w:r>
        <w:rPr>
          <w:rFonts w:eastAsia="方正仿宋简体"/>
          <w:sz w:val="32"/>
          <w:szCs w:val="32"/>
          <w:lang w:bidi="ar-SA"/>
        </w:rPr>
        <w:t xml:space="preserve">（十二）拟订社会工作、志愿服务政策和标准，会同有关部门推进社会工作人才队伍建设和相关志愿者队伍建设。 </w:t>
      </w:r>
    </w:p>
    <w:p w14:paraId="42F5F5DC">
      <w:pPr>
        <w:snapToGrid w:val="0"/>
        <w:spacing w:line="600" w:lineRule="exact"/>
        <w:ind w:firstLine="640" w:firstLineChars="200"/>
        <w:rPr>
          <w:rFonts w:eastAsia="方正仿宋简体"/>
          <w:sz w:val="32"/>
          <w:szCs w:val="32"/>
          <w:lang w:bidi="ar-SA"/>
        </w:rPr>
      </w:pPr>
      <w:r>
        <w:rPr>
          <w:rFonts w:eastAsia="方正仿宋简体"/>
          <w:sz w:val="32"/>
          <w:szCs w:val="32"/>
          <w:lang w:bidi="ar-SA"/>
        </w:rPr>
        <w:t xml:space="preserve">（十三）依法依规负责康复辅助器具行业和社会福利、养老服务、殡葬服务、救助管理机构安全生产监督管理工作。负责职责范围内的职业健康、生态环境保护、审批服务便民化等工作。 </w:t>
      </w:r>
    </w:p>
    <w:p w14:paraId="3D12F76B">
      <w:pPr>
        <w:snapToGrid w:val="0"/>
        <w:spacing w:line="600" w:lineRule="exact"/>
        <w:ind w:firstLine="640" w:firstLineChars="200"/>
        <w:rPr>
          <w:rFonts w:eastAsia="方正仿宋简体"/>
          <w:sz w:val="32"/>
          <w:szCs w:val="32"/>
          <w:lang w:bidi="ar-SA"/>
        </w:rPr>
      </w:pPr>
      <w:r>
        <w:rPr>
          <w:rFonts w:eastAsia="方正仿宋简体"/>
          <w:sz w:val="32"/>
          <w:szCs w:val="32"/>
          <w:lang w:bidi="ar-SA"/>
        </w:rPr>
        <w:t>（十四）完成市委、市政府交办的其他任务。</w:t>
      </w:r>
    </w:p>
    <w:p w14:paraId="39116C67">
      <w:pPr>
        <w:pStyle w:val="3"/>
        <w:spacing w:before="0" w:after="0"/>
        <w:ind w:firstLine="640" w:firstLineChars="200"/>
        <w:rPr>
          <w:rFonts w:ascii="Times New Roman" w:hAnsi="Times New Roman"/>
        </w:rPr>
      </w:pPr>
      <w:r>
        <w:rPr>
          <w:rFonts w:ascii="Times New Roman" w:hAnsi="Times New Roman" w:eastAsia="黑体"/>
          <w:b w:val="0"/>
        </w:rPr>
        <w:t>二、机构设置</w:t>
      </w:r>
    </w:p>
    <w:p w14:paraId="0C70210A">
      <w:pPr>
        <w:snapToGrid w:val="0"/>
        <w:spacing w:line="560" w:lineRule="exact"/>
        <w:ind w:firstLine="640" w:firstLineChars="200"/>
        <w:rPr>
          <w:rFonts w:eastAsia="方正仿宋_GBK"/>
          <w:sz w:val="32"/>
          <w:szCs w:val="32"/>
          <w:highlight w:val="none"/>
          <w:lang w:eastAsia="zh-CN" w:bidi="ar-SA"/>
        </w:rPr>
      </w:pPr>
      <w:r>
        <w:rPr>
          <w:rFonts w:eastAsia="方正仿宋_GBK"/>
          <w:color w:val="auto"/>
          <w:sz w:val="32"/>
          <w:szCs w:val="32"/>
          <w:highlight w:val="none"/>
          <w:lang w:val="en-US" w:eastAsia="zh-CN" w:bidi="ar-SA"/>
        </w:rPr>
        <w:t>四川省攀枝花市民政局内设业务科室8个，非独立核算事业单位2个。</w:t>
      </w:r>
      <w:r>
        <w:rPr>
          <w:rFonts w:eastAsia="方正仿宋_GBK"/>
          <w:sz w:val="32"/>
          <w:szCs w:val="32"/>
          <w:highlight w:val="none"/>
          <w:lang w:bidi="ar-SA"/>
        </w:rPr>
        <w:t>其中</w:t>
      </w:r>
      <w:r>
        <w:rPr>
          <w:rFonts w:eastAsia="方正仿宋_GBK"/>
          <w:sz w:val="32"/>
          <w:szCs w:val="32"/>
          <w:highlight w:val="none"/>
          <w:lang w:eastAsia="zh-CN" w:bidi="ar-SA"/>
        </w:rPr>
        <w:t>参公事业单位</w:t>
      </w:r>
      <w:r>
        <w:rPr>
          <w:rFonts w:eastAsia="方正仿宋_GBK"/>
          <w:sz w:val="32"/>
          <w:szCs w:val="32"/>
          <w:highlight w:val="none"/>
          <w:lang w:val="en-US" w:eastAsia="zh-CN" w:bidi="ar-SA"/>
        </w:rPr>
        <w:t>1个（攀枝花</w:t>
      </w:r>
      <w:r>
        <w:rPr>
          <w:rFonts w:eastAsia="方正仿宋_GBK"/>
          <w:sz w:val="32"/>
          <w:szCs w:val="32"/>
          <w:highlight w:val="none"/>
          <w:lang w:eastAsia="zh-CN" w:bidi="ar-SA"/>
        </w:rPr>
        <w:t>市老龄事业发展中心</w:t>
      </w:r>
      <w:r>
        <w:rPr>
          <w:rFonts w:eastAsia="方正仿宋_GBK"/>
          <w:sz w:val="32"/>
          <w:szCs w:val="32"/>
          <w:highlight w:val="none"/>
          <w:lang w:val="en-US" w:eastAsia="zh-CN" w:bidi="ar-SA"/>
        </w:rPr>
        <w:t>），</w:t>
      </w:r>
      <w:r>
        <w:rPr>
          <w:rFonts w:eastAsia="方正仿宋_GBK"/>
          <w:sz w:val="32"/>
          <w:szCs w:val="32"/>
          <w:highlight w:val="none"/>
          <w:lang w:eastAsia="zh-CN" w:bidi="ar-SA"/>
        </w:rPr>
        <w:t>财政补助事业单位1个（</w:t>
      </w:r>
      <w:r>
        <w:rPr>
          <w:rFonts w:eastAsia="方正仿宋_GBK"/>
          <w:sz w:val="32"/>
          <w:szCs w:val="32"/>
          <w:highlight w:val="none"/>
          <w:lang w:val="en-US" w:eastAsia="zh-CN" w:bidi="ar-SA"/>
        </w:rPr>
        <w:t>攀枝花市民政事业促进中心、慈善事业发展中心</w:t>
      </w:r>
      <w:r>
        <w:rPr>
          <w:rFonts w:eastAsia="方正仿宋_GBK"/>
          <w:sz w:val="32"/>
          <w:szCs w:val="32"/>
          <w:highlight w:val="none"/>
          <w:lang w:eastAsia="zh-CN" w:bidi="ar-SA"/>
        </w:rPr>
        <w:t>）。</w:t>
      </w:r>
    </w:p>
    <w:p w14:paraId="46108E01">
      <w:pPr>
        <w:snapToGrid w:val="0"/>
        <w:spacing w:line="560" w:lineRule="exact"/>
        <w:ind w:firstLine="640" w:firstLineChars="200"/>
        <w:rPr>
          <w:rFonts w:eastAsia="方正仿宋_GBK"/>
          <w:sz w:val="32"/>
          <w:szCs w:val="32"/>
          <w:highlight w:val="none"/>
          <w:lang w:bidi="ar-SA"/>
        </w:rPr>
      </w:pPr>
    </w:p>
    <w:p w14:paraId="3B84CA00">
      <w:pPr>
        <w:snapToGrid w:val="0"/>
        <w:spacing w:line="560" w:lineRule="exact"/>
        <w:ind w:firstLine="640" w:firstLineChars="200"/>
        <w:rPr>
          <w:rFonts w:eastAsia="方正仿宋_GBK"/>
          <w:sz w:val="32"/>
          <w:szCs w:val="32"/>
          <w:highlight w:val="none"/>
          <w:lang w:bidi="ar-SA"/>
        </w:rPr>
      </w:pPr>
    </w:p>
    <w:p w14:paraId="38742033">
      <w:pPr>
        <w:snapToGrid w:val="0"/>
        <w:spacing w:line="560" w:lineRule="exact"/>
        <w:ind w:firstLine="640" w:firstLineChars="200"/>
        <w:rPr>
          <w:rFonts w:eastAsia="方正仿宋_GBK"/>
          <w:sz w:val="32"/>
          <w:szCs w:val="32"/>
          <w:highlight w:val="none"/>
          <w:lang w:bidi="ar-SA"/>
        </w:rPr>
      </w:pPr>
    </w:p>
    <w:p w14:paraId="29C7BC81">
      <w:pPr>
        <w:snapToGrid w:val="0"/>
        <w:spacing w:line="560" w:lineRule="exact"/>
        <w:ind w:firstLine="640" w:firstLineChars="200"/>
        <w:rPr>
          <w:rFonts w:eastAsia="方正仿宋_GBK"/>
          <w:sz w:val="32"/>
          <w:szCs w:val="32"/>
          <w:highlight w:val="none"/>
          <w:lang w:bidi="ar-SA"/>
        </w:rPr>
      </w:pPr>
    </w:p>
    <w:p w14:paraId="731FE5D0">
      <w:pPr>
        <w:snapToGrid w:val="0"/>
        <w:spacing w:line="560" w:lineRule="exact"/>
        <w:ind w:firstLine="640" w:firstLineChars="200"/>
        <w:rPr>
          <w:rFonts w:eastAsia="方正仿宋_GBK"/>
          <w:sz w:val="32"/>
          <w:szCs w:val="32"/>
          <w:highlight w:val="none"/>
          <w:lang w:bidi="ar-SA"/>
        </w:rPr>
      </w:pPr>
    </w:p>
    <w:p w14:paraId="3AB2FD23">
      <w:pPr>
        <w:snapToGrid w:val="0"/>
        <w:spacing w:line="560" w:lineRule="exact"/>
        <w:ind w:firstLine="640" w:firstLineChars="200"/>
        <w:rPr>
          <w:rFonts w:eastAsia="方正仿宋_GBK"/>
          <w:sz w:val="32"/>
          <w:szCs w:val="32"/>
          <w:highlight w:val="none"/>
          <w:lang w:bidi="ar-SA"/>
        </w:rPr>
      </w:pPr>
    </w:p>
    <w:p w14:paraId="61DAAB96">
      <w:pPr>
        <w:snapToGrid w:val="0"/>
        <w:spacing w:line="560" w:lineRule="exact"/>
        <w:ind w:firstLine="640" w:firstLineChars="200"/>
        <w:rPr>
          <w:rFonts w:eastAsia="方正仿宋_GBK"/>
          <w:sz w:val="32"/>
          <w:szCs w:val="32"/>
          <w:highlight w:val="none"/>
          <w:lang w:bidi="ar-SA"/>
        </w:rPr>
      </w:pPr>
    </w:p>
    <w:p w14:paraId="0CB997E5">
      <w:pPr>
        <w:snapToGrid w:val="0"/>
        <w:spacing w:line="560" w:lineRule="exact"/>
        <w:ind w:firstLine="640" w:firstLineChars="200"/>
        <w:rPr>
          <w:rFonts w:eastAsia="方正仿宋_GBK"/>
          <w:sz w:val="32"/>
          <w:szCs w:val="32"/>
          <w:highlight w:val="none"/>
          <w:lang w:bidi="ar-SA"/>
        </w:rPr>
      </w:pPr>
    </w:p>
    <w:p w14:paraId="3CAB2031">
      <w:pPr>
        <w:snapToGrid w:val="0"/>
        <w:spacing w:line="560" w:lineRule="exact"/>
        <w:ind w:firstLine="640" w:firstLineChars="200"/>
        <w:rPr>
          <w:rFonts w:eastAsia="方正仿宋_GBK"/>
          <w:sz w:val="32"/>
          <w:szCs w:val="32"/>
          <w:highlight w:val="none"/>
          <w:lang w:bidi="ar-SA"/>
        </w:rPr>
      </w:pPr>
    </w:p>
    <w:p w14:paraId="4C3F27E1">
      <w:pPr>
        <w:snapToGrid w:val="0"/>
        <w:spacing w:line="560" w:lineRule="exact"/>
        <w:ind w:firstLine="640" w:firstLineChars="200"/>
        <w:rPr>
          <w:rFonts w:eastAsia="方正仿宋_GBK"/>
          <w:sz w:val="32"/>
          <w:szCs w:val="32"/>
          <w:highlight w:val="none"/>
          <w:lang w:bidi="ar-SA"/>
        </w:rPr>
      </w:pPr>
    </w:p>
    <w:p w14:paraId="0D503B00">
      <w:pPr>
        <w:snapToGrid w:val="0"/>
        <w:spacing w:line="560" w:lineRule="exact"/>
        <w:ind w:firstLine="640" w:firstLineChars="200"/>
        <w:rPr>
          <w:rFonts w:eastAsia="方正仿宋_GBK"/>
          <w:sz w:val="32"/>
          <w:szCs w:val="32"/>
          <w:highlight w:val="none"/>
          <w:lang w:bidi="ar-SA"/>
        </w:rPr>
      </w:pPr>
    </w:p>
    <w:p w14:paraId="1F14FC79">
      <w:pPr>
        <w:snapToGrid w:val="0"/>
        <w:spacing w:line="560" w:lineRule="exact"/>
        <w:ind w:firstLine="640" w:firstLineChars="200"/>
        <w:rPr>
          <w:rFonts w:eastAsia="方正仿宋_GBK"/>
          <w:sz w:val="32"/>
          <w:szCs w:val="32"/>
          <w:highlight w:val="none"/>
          <w:lang w:bidi="ar-SA"/>
        </w:rPr>
      </w:pPr>
    </w:p>
    <w:p w14:paraId="23370DD3">
      <w:pPr>
        <w:snapToGrid w:val="0"/>
        <w:spacing w:line="560" w:lineRule="exact"/>
        <w:ind w:firstLine="640" w:firstLineChars="200"/>
        <w:rPr>
          <w:rFonts w:eastAsia="方正仿宋_GBK"/>
          <w:sz w:val="32"/>
          <w:szCs w:val="32"/>
          <w:highlight w:val="none"/>
          <w:lang w:bidi="ar-SA"/>
        </w:rPr>
      </w:pPr>
    </w:p>
    <w:p w14:paraId="6A8C7C5F">
      <w:pPr>
        <w:snapToGrid w:val="0"/>
        <w:spacing w:line="560" w:lineRule="exact"/>
        <w:ind w:firstLine="640" w:firstLineChars="200"/>
        <w:rPr>
          <w:rFonts w:eastAsia="方正仿宋_GBK"/>
          <w:sz w:val="32"/>
          <w:szCs w:val="32"/>
          <w:highlight w:val="none"/>
          <w:lang w:bidi="ar-SA"/>
        </w:rPr>
      </w:pPr>
    </w:p>
    <w:p w14:paraId="6AA503A9">
      <w:pPr>
        <w:snapToGrid w:val="0"/>
        <w:spacing w:line="560" w:lineRule="exact"/>
        <w:ind w:firstLine="640" w:firstLineChars="200"/>
        <w:rPr>
          <w:rFonts w:eastAsia="方正仿宋_GBK"/>
          <w:sz w:val="32"/>
          <w:szCs w:val="32"/>
          <w:highlight w:val="none"/>
          <w:lang w:bidi="ar-SA"/>
        </w:rPr>
      </w:pPr>
    </w:p>
    <w:p w14:paraId="677260D5">
      <w:pPr>
        <w:snapToGrid w:val="0"/>
        <w:spacing w:line="560" w:lineRule="exact"/>
        <w:ind w:firstLine="640" w:firstLineChars="200"/>
        <w:rPr>
          <w:rFonts w:eastAsia="方正仿宋_GBK"/>
          <w:sz w:val="32"/>
          <w:szCs w:val="32"/>
          <w:highlight w:val="none"/>
          <w:lang w:bidi="ar-SA"/>
        </w:rPr>
      </w:pPr>
    </w:p>
    <w:p w14:paraId="10D1A6F3">
      <w:pPr>
        <w:snapToGrid w:val="0"/>
        <w:spacing w:line="560" w:lineRule="exact"/>
        <w:ind w:firstLine="640" w:firstLineChars="200"/>
        <w:rPr>
          <w:rFonts w:eastAsia="方正仿宋_GBK"/>
          <w:sz w:val="32"/>
          <w:szCs w:val="32"/>
          <w:highlight w:val="none"/>
          <w:lang w:bidi="ar-SA"/>
        </w:rPr>
      </w:pPr>
    </w:p>
    <w:p w14:paraId="0CDB8A04">
      <w:pPr>
        <w:snapToGrid w:val="0"/>
        <w:spacing w:line="560" w:lineRule="exact"/>
        <w:ind w:firstLine="640" w:firstLineChars="200"/>
        <w:rPr>
          <w:rFonts w:eastAsia="方正仿宋_GBK"/>
          <w:sz w:val="32"/>
          <w:szCs w:val="32"/>
          <w:highlight w:val="none"/>
          <w:lang w:bidi="ar-SA"/>
        </w:rPr>
      </w:pPr>
    </w:p>
    <w:p w14:paraId="5D1F025E">
      <w:pPr>
        <w:snapToGrid w:val="0"/>
        <w:spacing w:line="560" w:lineRule="exact"/>
        <w:ind w:firstLine="640" w:firstLineChars="200"/>
        <w:rPr>
          <w:rFonts w:eastAsia="方正仿宋_GBK"/>
          <w:sz w:val="32"/>
          <w:szCs w:val="32"/>
          <w:highlight w:val="none"/>
          <w:lang w:bidi="ar-SA"/>
        </w:rPr>
      </w:pPr>
    </w:p>
    <w:p w14:paraId="0216270E">
      <w:pPr>
        <w:keepNext w:val="0"/>
        <w:keepLines w:val="0"/>
        <w:pageBreakBefore w:val="0"/>
        <w:widowControl/>
        <w:numPr>
          <w:ilvl w:val="0"/>
          <w:numId w:val="2"/>
        </w:numPr>
        <w:kinsoku/>
        <w:wordWrap/>
        <w:overflowPunct/>
        <w:topLinePunct w:val="0"/>
        <w:autoSpaceDE/>
        <w:autoSpaceDN/>
        <w:bidi w:val="0"/>
        <w:adjustRightInd/>
        <w:snapToGrid/>
        <w:spacing w:line="700" w:lineRule="exact"/>
        <w:contextualSpacing/>
        <w:jc w:val="center"/>
        <w:textAlignment w:val="auto"/>
        <w:rPr>
          <w:rFonts w:eastAsia="方正小标宋_GBK"/>
          <w:b/>
          <w:bCs/>
          <w:sz w:val="44"/>
          <w:szCs w:val="44"/>
          <w:shd w:val="clear" w:color="auto" w:fill="FFFFFF"/>
          <w:lang w:eastAsia="zh-CN" w:bidi="ar-SA"/>
        </w:rPr>
      </w:pPr>
      <w:bookmarkStart w:id="12" w:name="_Toc15396602"/>
      <w:bookmarkStart w:id="13" w:name="_Toc15377204"/>
      <w:r>
        <w:rPr>
          <w:rFonts w:eastAsia="方正小标宋_GBK"/>
          <w:b/>
          <w:bCs/>
          <w:sz w:val="44"/>
          <w:szCs w:val="44"/>
          <w:shd w:val="clear" w:color="auto" w:fill="FFFFFF"/>
          <w:lang w:eastAsia="zh-CN" w:bidi="ar-SA"/>
        </w:rPr>
        <w:t>2025年度部门决算情况说明</w:t>
      </w:r>
      <w:bookmarkEnd w:id="12"/>
      <w:bookmarkEnd w:id="13"/>
    </w:p>
    <w:p w14:paraId="43419ACD"/>
    <w:p w14:paraId="5C64F24D">
      <w:pPr>
        <w:pStyle w:val="30"/>
        <w:spacing w:line="600" w:lineRule="exact"/>
        <w:outlineLvl w:val="1"/>
        <w:rPr>
          <w:rFonts w:eastAsia="方正黑体_GBK"/>
          <w:b w:val="0"/>
          <w:bCs w:val="0"/>
          <w:color w:val="auto"/>
          <w:kern w:val="2"/>
          <w:sz w:val="32"/>
          <w:szCs w:val="32"/>
          <w:lang w:val="en-US" w:eastAsia="zh-CN" w:bidi="ar-SA"/>
        </w:rPr>
      </w:pPr>
      <w:bookmarkStart w:id="14" w:name="_Toc15377205"/>
      <w:bookmarkStart w:id="15" w:name="_Toc15396603"/>
      <w:r>
        <w:rPr>
          <w:rFonts w:eastAsia="方正黑体_GBK"/>
          <w:b w:val="0"/>
          <w:bCs w:val="0"/>
          <w:color w:val="auto"/>
          <w:kern w:val="2"/>
          <w:sz w:val="32"/>
          <w:szCs w:val="32"/>
          <w:lang w:val="en-US" w:eastAsia="zh-CN" w:bidi="ar-SA"/>
        </w:rPr>
        <w:t>一、收入支出决算总体情况说明</w:t>
      </w:r>
      <w:bookmarkEnd w:id="14"/>
      <w:bookmarkEnd w:id="15"/>
    </w:p>
    <w:p w14:paraId="3D73A392">
      <w:pPr>
        <w:pStyle w:val="30"/>
        <w:spacing w:line="600" w:lineRule="exact"/>
        <w:outlineLvl w:val="1"/>
        <w:rPr>
          <w:rFonts w:eastAsia="方正仿宋_GBK"/>
          <w:color w:val="auto"/>
          <w:kern w:val="2"/>
          <w:sz w:val="32"/>
          <w:szCs w:val="32"/>
          <w:highlight w:val="none"/>
          <w:lang w:val="en-US" w:eastAsia="zh-CN" w:bidi="ar-SA"/>
        </w:rPr>
      </w:pPr>
      <w:r>
        <w:rPr>
          <w:rFonts w:eastAsia="方正仿宋_GBK"/>
          <w:color w:val="auto"/>
          <w:kern w:val="2"/>
          <w:sz w:val="32"/>
          <w:szCs w:val="32"/>
          <w:highlight w:val="none"/>
          <w:lang w:val="en-US" w:eastAsia="zh-CN" w:bidi="ar-SA"/>
        </w:rPr>
        <w:t>2025年度收入、支出总计均为1154.25万元。与上年度相比，收入、支出总计各减少117.91万元，下降9.</w:t>
      </w:r>
      <w:r>
        <w:rPr>
          <w:rFonts w:hint="eastAsia" w:eastAsia="方正仿宋_GBK"/>
          <w:color w:val="auto"/>
          <w:kern w:val="2"/>
          <w:sz w:val="32"/>
          <w:szCs w:val="32"/>
          <w:highlight w:val="none"/>
          <w:lang w:val="en-US" w:eastAsia="zh-CN" w:bidi="ar-SA"/>
        </w:rPr>
        <w:t>3</w:t>
      </w:r>
      <w:r>
        <w:rPr>
          <w:rFonts w:eastAsia="方正仿宋_GBK"/>
          <w:color w:val="auto"/>
          <w:kern w:val="2"/>
          <w:sz w:val="32"/>
          <w:szCs w:val="32"/>
          <w:highlight w:val="none"/>
          <w:lang w:val="en-US" w:eastAsia="zh-CN" w:bidi="ar-SA"/>
        </w:rPr>
        <w:t>%。主要变动原因是基本支出减少36.09万元，项目支出减少81.72万元。</w:t>
      </w:r>
    </w:p>
    <w:p w14:paraId="7E59730C">
      <w:pPr>
        <w:ind w:firstLine="420" w:firstLineChars="200"/>
        <w:rPr>
          <w:rFonts w:eastAsia="方正仿宋简体"/>
          <w:kern w:val="2"/>
          <w:sz w:val="32"/>
          <w:szCs w:val="32"/>
          <w:lang w:val="en-US" w:eastAsia="zh-CN" w:bidi="ar-SA"/>
        </w:rPr>
      </w:pPr>
      <w:r>
        <w:drawing>
          <wp:inline distT="0" distB="0" distL="114300" distR="114300">
            <wp:extent cx="4838700" cy="2762250"/>
            <wp:effectExtent l="0" t="0" r="21" b="42"/>
            <wp:docPr id="7" name="图片 1"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2.png"/>
                    <pic:cNvPicPr>
                      <a:picLocks noChangeAspect="1"/>
                    </pic:cNvPicPr>
                  </pic:nvPicPr>
                  <pic:blipFill>
                    <a:blip r:embed="rId10"/>
                    <a:stretch>
                      <a:fillRect/>
                    </a:stretch>
                  </pic:blipFill>
                  <pic:spPr>
                    <a:xfrm>
                      <a:off x="0" y="0"/>
                      <a:ext cx="4838700" cy="2762250"/>
                    </a:xfrm>
                    <a:prstGeom prst="rect">
                      <a:avLst/>
                    </a:prstGeom>
                    <a:noFill/>
                    <a:ln w="9525" cap="flat" cmpd="sng">
                      <a:noFill/>
                      <a:prstDash val="solid"/>
                      <a:round/>
                    </a:ln>
                  </pic:spPr>
                </pic:pic>
              </a:graphicData>
            </a:graphic>
          </wp:inline>
        </w:drawing>
      </w:r>
    </w:p>
    <w:p w14:paraId="756E3401">
      <w:pPr>
        <w:pStyle w:val="30"/>
        <w:spacing w:line="600" w:lineRule="exact"/>
        <w:jc w:val="center"/>
        <w:outlineLvl w:val="1"/>
        <w:rPr>
          <w:rFonts w:eastAsia="方正仿宋_GBK"/>
          <w:color w:val="auto"/>
          <w:kern w:val="2"/>
          <w:sz w:val="32"/>
          <w:szCs w:val="32"/>
          <w:highlight w:val="none"/>
          <w:lang w:val="en-US" w:eastAsia="zh-CN" w:bidi="ar-SA"/>
        </w:rPr>
      </w:pPr>
      <w:bookmarkStart w:id="16" w:name="_Toc15377206"/>
      <w:bookmarkStart w:id="17" w:name="_Toc15396604"/>
      <w:r>
        <w:rPr>
          <w:rFonts w:eastAsia="方正仿宋_GBK"/>
          <w:color w:val="auto"/>
          <w:kern w:val="2"/>
          <w:sz w:val="32"/>
          <w:szCs w:val="32"/>
          <w:highlight w:val="none"/>
          <w:lang w:val="en-US" w:eastAsia="zh-CN" w:bidi="ar-SA"/>
        </w:rPr>
        <w:t>（图1：收入、支出决算总计变动情况图）</w:t>
      </w:r>
    </w:p>
    <w:p w14:paraId="151F1942">
      <w:pPr>
        <w:pStyle w:val="30"/>
        <w:spacing w:line="600" w:lineRule="exact"/>
        <w:outlineLvl w:val="1"/>
        <w:rPr>
          <w:rFonts w:eastAsia="方正黑体_GBK"/>
          <w:b w:val="0"/>
          <w:bCs w:val="0"/>
          <w:color w:val="auto"/>
          <w:kern w:val="2"/>
          <w:sz w:val="32"/>
          <w:szCs w:val="32"/>
          <w:lang w:val="en-US" w:eastAsia="zh-CN" w:bidi="ar-SA"/>
        </w:rPr>
      </w:pPr>
      <w:r>
        <w:rPr>
          <w:rFonts w:eastAsia="方正黑体_GBK"/>
          <w:b w:val="0"/>
          <w:bCs w:val="0"/>
          <w:color w:val="auto"/>
          <w:kern w:val="2"/>
          <w:sz w:val="32"/>
          <w:szCs w:val="32"/>
          <w:lang w:val="en-US" w:eastAsia="zh-CN" w:bidi="ar-SA"/>
        </w:rPr>
        <w:t>二、收入决算情况说明</w:t>
      </w:r>
      <w:bookmarkEnd w:id="16"/>
      <w:bookmarkEnd w:id="17"/>
    </w:p>
    <w:p w14:paraId="0C46B3C3">
      <w:pPr>
        <w:pStyle w:val="30"/>
        <w:spacing w:line="600" w:lineRule="exact"/>
        <w:outlineLvl w:val="1"/>
        <w:rPr>
          <w:rFonts w:eastAsia="方正仿宋_GBK"/>
          <w:color w:val="auto"/>
          <w:kern w:val="2"/>
          <w:sz w:val="32"/>
          <w:szCs w:val="32"/>
          <w:highlight w:val="none"/>
          <w:lang w:val="en-US" w:eastAsia="zh-CN" w:bidi="ar-SA"/>
        </w:rPr>
      </w:pPr>
      <w:r>
        <w:rPr>
          <w:rFonts w:eastAsia="方正仿宋_GBK"/>
          <w:color w:val="auto"/>
          <w:kern w:val="2"/>
          <w:sz w:val="32"/>
          <w:szCs w:val="32"/>
          <w:highlight w:val="none"/>
          <w:lang w:val="en-US" w:eastAsia="zh-CN" w:bidi="ar-SA"/>
        </w:rPr>
        <w:t>2025年度本年收入合计1154.25万元，其中：一般公共预算财政拨款收入977.44万元，占84.</w:t>
      </w:r>
      <w:r>
        <w:rPr>
          <w:rFonts w:hint="eastAsia" w:eastAsia="方正仿宋_GBK"/>
          <w:color w:val="auto"/>
          <w:kern w:val="2"/>
          <w:sz w:val="32"/>
          <w:szCs w:val="32"/>
          <w:highlight w:val="none"/>
          <w:lang w:val="en-US" w:eastAsia="zh-CN" w:bidi="ar-SA"/>
        </w:rPr>
        <w:t>7</w:t>
      </w:r>
      <w:r>
        <w:rPr>
          <w:rFonts w:eastAsia="方正仿宋_GBK"/>
          <w:color w:val="auto"/>
          <w:kern w:val="2"/>
          <w:sz w:val="32"/>
          <w:szCs w:val="32"/>
          <w:highlight w:val="none"/>
          <w:lang w:val="en-US" w:eastAsia="zh-CN" w:bidi="ar-SA"/>
        </w:rPr>
        <w:t>%；政府性基金预算财政拨款收入176.8万元，占15.3%。</w:t>
      </w:r>
    </w:p>
    <w:p w14:paraId="2FB7A6AF">
      <w:pPr>
        <w:ind w:firstLine="525" w:firstLineChars="250"/>
        <w:rPr>
          <w:rFonts w:eastAsia="仿宋_GB2312"/>
          <w:sz w:val="32"/>
          <w:szCs w:val="32"/>
        </w:rPr>
      </w:pPr>
      <w:r>
        <w:drawing>
          <wp:inline distT="0" distB="0" distL="114300" distR="114300">
            <wp:extent cx="4572000" cy="2743200"/>
            <wp:effectExtent l="0" t="0" r="0" b="0"/>
            <wp:docPr id="10"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137797F">
      <w:pPr>
        <w:pStyle w:val="30"/>
        <w:spacing w:line="600" w:lineRule="exact"/>
        <w:jc w:val="center"/>
        <w:outlineLvl w:val="1"/>
        <w:rPr>
          <w:rFonts w:eastAsia="方正黑体_GBK"/>
          <w:b w:val="0"/>
          <w:bCs w:val="0"/>
          <w:color w:val="auto"/>
          <w:kern w:val="2"/>
          <w:sz w:val="32"/>
          <w:szCs w:val="32"/>
          <w:lang w:val="en-US" w:eastAsia="zh-CN" w:bidi="ar-SA"/>
        </w:rPr>
      </w:pPr>
      <w:bookmarkStart w:id="18" w:name="_Toc15377207"/>
      <w:bookmarkStart w:id="19" w:name="_Toc15396605"/>
      <w:r>
        <w:rPr>
          <w:rFonts w:eastAsia="方正仿宋_GBK"/>
          <w:color w:val="auto"/>
          <w:kern w:val="2"/>
          <w:sz w:val="32"/>
          <w:szCs w:val="32"/>
          <w:highlight w:val="none"/>
          <w:lang w:val="en-US" w:eastAsia="zh-CN" w:bidi="ar-SA"/>
        </w:rPr>
        <w:t>（图2：收入决算结构图）</w:t>
      </w:r>
    </w:p>
    <w:p w14:paraId="265BE80C">
      <w:pPr>
        <w:pStyle w:val="30"/>
        <w:spacing w:line="600" w:lineRule="exact"/>
        <w:outlineLvl w:val="1"/>
        <w:rPr>
          <w:rFonts w:eastAsia="方正黑体_GBK"/>
          <w:b w:val="0"/>
          <w:bCs w:val="0"/>
          <w:color w:val="auto"/>
          <w:kern w:val="2"/>
          <w:sz w:val="32"/>
          <w:szCs w:val="32"/>
          <w:lang w:val="en-US" w:eastAsia="zh-CN" w:bidi="ar-SA"/>
        </w:rPr>
      </w:pPr>
      <w:r>
        <w:rPr>
          <w:rFonts w:eastAsia="方正黑体_GBK"/>
          <w:b w:val="0"/>
          <w:bCs w:val="0"/>
          <w:color w:val="auto"/>
          <w:kern w:val="2"/>
          <w:sz w:val="32"/>
          <w:szCs w:val="32"/>
          <w:lang w:val="en-US" w:eastAsia="zh-CN" w:bidi="ar-SA"/>
        </w:rPr>
        <w:t>三、支出决算情况说明</w:t>
      </w:r>
      <w:bookmarkEnd w:id="18"/>
      <w:bookmarkEnd w:id="19"/>
    </w:p>
    <w:p w14:paraId="502A57EA">
      <w:pPr>
        <w:pStyle w:val="30"/>
        <w:spacing w:line="600" w:lineRule="exact"/>
        <w:outlineLvl w:val="1"/>
        <w:rPr>
          <w:rFonts w:eastAsia="方正仿宋_GBK"/>
          <w:color w:val="auto"/>
          <w:kern w:val="2"/>
          <w:sz w:val="32"/>
          <w:szCs w:val="32"/>
          <w:highlight w:val="none"/>
          <w:lang w:val="en-US" w:eastAsia="zh-CN" w:bidi="ar-SA"/>
        </w:rPr>
      </w:pPr>
      <w:r>
        <w:rPr>
          <w:rFonts w:eastAsia="方正仿宋_GBK"/>
          <w:color w:val="auto"/>
          <w:kern w:val="2"/>
          <w:sz w:val="32"/>
          <w:szCs w:val="32"/>
          <w:highlight w:val="none"/>
          <w:lang w:val="en-US" w:eastAsia="zh-CN" w:bidi="ar-SA"/>
        </w:rPr>
        <w:t>2025年度本年支出合计1154.25万元，其中：基本支出917.55万元，占79.</w:t>
      </w:r>
      <w:r>
        <w:rPr>
          <w:rFonts w:hint="eastAsia" w:eastAsia="方正仿宋_GBK"/>
          <w:color w:val="auto"/>
          <w:kern w:val="2"/>
          <w:sz w:val="32"/>
          <w:szCs w:val="32"/>
          <w:highlight w:val="none"/>
          <w:lang w:val="en-US" w:eastAsia="zh-CN" w:bidi="ar-SA"/>
        </w:rPr>
        <w:t>5</w:t>
      </w:r>
      <w:r>
        <w:rPr>
          <w:rFonts w:eastAsia="方正仿宋_GBK"/>
          <w:color w:val="auto"/>
          <w:kern w:val="2"/>
          <w:sz w:val="32"/>
          <w:szCs w:val="32"/>
          <w:highlight w:val="none"/>
          <w:lang w:val="en-US" w:eastAsia="zh-CN" w:bidi="ar-SA"/>
        </w:rPr>
        <w:t>%；项目支出236.7万元，占20.5%。</w:t>
      </w:r>
    </w:p>
    <w:p w14:paraId="1AA68426">
      <w:pPr>
        <w:pStyle w:val="5"/>
        <w:rPr>
          <w:rFonts w:eastAsia="仿宋_GB2312"/>
          <w:sz w:val="32"/>
          <w:szCs w:val="32"/>
        </w:rPr>
      </w:pPr>
      <w:r>
        <w:drawing>
          <wp:inline distT="0" distB="0" distL="114300" distR="114300">
            <wp:extent cx="5232400" cy="2881630"/>
            <wp:effectExtent l="4445" t="4445" r="20955" b="9525"/>
            <wp:docPr id="11" name="图表 3" descr="7b0a202020202263686172745265734964223a202232303437323230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625BA95">
      <w:pPr>
        <w:pStyle w:val="30"/>
        <w:spacing w:line="600" w:lineRule="exact"/>
        <w:jc w:val="center"/>
        <w:outlineLvl w:val="1"/>
        <w:rPr>
          <w:rFonts w:eastAsia="方正黑体_GBK"/>
          <w:b w:val="0"/>
          <w:bCs w:val="0"/>
          <w:color w:val="auto"/>
          <w:kern w:val="2"/>
          <w:sz w:val="32"/>
          <w:szCs w:val="32"/>
          <w:lang w:val="en-US" w:eastAsia="zh-CN" w:bidi="ar-SA"/>
        </w:rPr>
      </w:pPr>
      <w:bookmarkStart w:id="20" w:name="_Toc15377208"/>
      <w:bookmarkStart w:id="21" w:name="_Toc15396606"/>
      <w:r>
        <w:rPr>
          <w:rFonts w:eastAsia="方正仿宋_GBK"/>
          <w:color w:val="auto"/>
          <w:kern w:val="2"/>
          <w:sz w:val="32"/>
          <w:szCs w:val="32"/>
          <w:highlight w:val="none"/>
          <w:lang w:val="en-US" w:eastAsia="zh-CN" w:bidi="ar-SA"/>
        </w:rPr>
        <w:t>（图3：支出决算结构图）</w:t>
      </w:r>
    </w:p>
    <w:p w14:paraId="673E2005">
      <w:pPr>
        <w:pStyle w:val="30"/>
        <w:spacing w:line="600" w:lineRule="exact"/>
        <w:outlineLvl w:val="1"/>
        <w:rPr>
          <w:rFonts w:eastAsia="方正黑体_GBK"/>
          <w:b w:val="0"/>
          <w:bCs w:val="0"/>
          <w:color w:val="auto"/>
          <w:kern w:val="2"/>
          <w:sz w:val="32"/>
          <w:szCs w:val="32"/>
          <w:lang w:val="en-US" w:eastAsia="zh-CN" w:bidi="ar-SA"/>
        </w:rPr>
      </w:pPr>
      <w:r>
        <w:rPr>
          <w:rFonts w:eastAsia="方正黑体_GBK"/>
          <w:b w:val="0"/>
          <w:bCs w:val="0"/>
          <w:color w:val="auto"/>
          <w:kern w:val="2"/>
          <w:sz w:val="32"/>
          <w:szCs w:val="32"/>
          <w:lang w:val="en-US" w:eastAsia="zh-CN" w:bidi="ar-SA"/>
        </w:rPr>
        <w:t>四、财政拨款收入支出决算总体情况说明</w:t>
      </w:r>
      <w:bookmarkEnd w:id="20"/>
      <w:bookmarkEnd w:id="21"/>
    </w:p>
    <w:p w14:paraId="3CF422FC">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eastAsia="方正仿宋_GBK"/>
          <w:color w:val="auto"/>
          <w:sz w:val="32"/>
          <w:szCs w:val="32"/>
          <w:highlight w:val="none"/>
          <w:lang w:val="en-US" w:eastAsia="zh-CN" w:bidi="ar-SA"/>
        </w:rPr>
      </w:pPr>
      <w:r>
        <w:rPr>
          <w:rFonts w:eastAsia="方正仿宋_GBK"/>
          <w:color w:val="auto"/>
          <w:sz w:val="32"/>
          <w:szCs w:val="32"/>
          <w:highlight w:val="none"/>
          <w:lang w:val="en-US" w:eastAsia="zh-CN" w:bidi="ar-SA"/>
        </w:rPr>
        <w:t>2025年度财政拨款收入、支出总计均为1154.25万元。与上年度相比，财政拨款收入、支出总计各减少117.91万元，下降9.</w:t>
      </w:r>
      <w:r>
        <w:rPr>
          <w:rFonts w:hint="eastAsia" w:eastAsia="方正仿宋_GBK"/>
          <w:color w:val="auto"/>
          <w:sz w:val="32"/>
          <w:szCs w:val="32"/>
          <w:highlight w:val="none"/>
          <w:lang w:val="en-US" w:eastAsia="zh-CN" w:bidi="ar-SA"/>
        </w:rPr>
        <w:t>3</w:t>
      </w:r>
      <w:r>
        <w:rPr>
          <w:rFonts w:eastAsia="方正仿宋_GBK"/>
          <w:color w:val="auto"/>
          <w:sz w:val="32"/>
          <w:szCs w:val="32"/>
          <w:highlight w:val="none"/>
          <w:lang w:val="en-US" w:eastAsia="zh-CN" w:bidi="ar-SA"/>
        </w:rPr>
        <w:t>%。主要变动原因是基本支出减少36.09万元，项目支出减少81.72万元。</w:t>
      </w:r>
    </w:p>
    <w:p w14:paraId="63FC1088">
      <w:pPr>
        <w:spacing w:line="600" w:lineRule="exact"/>
        <w:ind w:firstLine="640"/>
        <w:rPr>
          <w:rFonts w:eastAsia="仿宋_GB2312"/>
          <w:sz w:val="32"/>
          <w:szCs w:val="32"/>
        </w:rPr>
      </w:pPr>
    </w:p>
    <w:p w14:paraId="783078AC">
      <w:pPr>
        <w:spacing w:line="600" w:lineRule="exact"/>
        <w:ind w:firstLine="640"/>
        <w:rPr>
          <w:rFonts w:eastAsia="仿宋_GB2312"/>
          <w:sz w:val="32"/>
          <w:szCs w:val="32"/>
        </w:rPr>
      </w:pPr>
    </w:p>
    <w:p w14:paraId="12EEA668">
      <w:pPr>
        <w:spacing w:line="600" w:lineRule="exact"/>
        <w:ind w:firstLine="640"/>
        <w:rPr>
          <w:rFonts w:eastAsia="仿宋_GB2312"/>
          <w:sz w:val="32"/>
          <w:szCs w:val="32"/>
        </w:rPr>
      </w:pPr>
    </w:p>
    <w:p w14:paraId="5D786BB1">
      <w:pPr>
        <w:spacing w:line="600" w:lineRule="exact"/>
        <w:ind w:firstLine="640"/>
        <w:rPr>
          <w:rFonts w:eastAsia="仿宋_GB2312"/>
          <w:sz w:val="32"/>
          <w:szCs w:val="32"/>
        </w:rPr>
      </w:pPr>
    </w:p>
    <w:p w14:paraId="7174EDFD">
      <w:pPr>
        <w:spacing w:line="600" w:lineRule="exact"/>
        <w:ind w:firstLine="640"/>
        <w:rPr>
          <w:rFonts w:eastAsia="仿宋_GB2312"/>
          <w:sz w:val="32"/>
          <w:szCs w:val="32"/>
        </w:rPr>
      </w:pPr>
    </w:p>
    <w:p w14:paraId="449D64A4">
      <w:pPr>
        <w:spacing w:line="600" w:lineRule="exact"/>
        <w:ind w:firstLine="640"/>
        <w:rPr>
          <w:rFonts w:eastAsia="仿宋_GB2312"/>
          <w:sz w:val="32"/>
          <w:szCs w:val="32"/>
        </w:rPr>
      </w:pPr>
    </w:p>
    <w:p w14:paraId="14C07F8F">
      <w:pPr>
        <w:spacing w:line="600" w:lineRule="exact"/>
        <w:ind w:firstLine="640"/>
        <w:rPr>
          <w:rFonts w:eastAsia="仿宋_GB2312"/>
          <w:sz w:val="32"/>
          <w:szCs w:val="32"/>
        </w:rPr>
      </w:pPr>
    </w:p>
    <w:p w14:paraId="4DC3668C">
      <w:pPr>
        <w:spacing w:line="600" w:lineRule="exact"/>
        <w:ind w:firstLine="640"/>
        <w:rPr>
          <w:rFonts w:eastAsia="仿宋_GB2312"/>
          <w:sz w:val="32"/>
          <w:szCs w:val="32"/>
        </w:rPr>
      </w:pPr>
      <w:r>
        <w:drawing>
          <wp:anchor distT="0" distB="0" distL="114300" distR="114300" simplePos="0" relativeHeight="251659264" behindDoc="0" locked="0" layoutInCell="1" allowOverlap="1">
            <wp:simplePos x="0" y="0"/>
            <wp:positionH relativeFrom="column">
              <wp:posOffset>406400</wp:posOffset>
            </wp:positionH>
            <wp:positionV relativeFrom="paragraph">
              <wp:posOffset>-2457450</wp:posOffset>
            </wp:positionV>
            <wp:extent cx="4838700" cy="2762250"/>
            <wp:effectExtent l="0" t="0" r="0" b="0"/>
            <wp:wrapNone/>
            <wp:docPr id="12" name="图片 5"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descr="2.png"/>
                    <pic:cNvPicPr>
                      <a:picLocks noChangeAspect="1"/>
                    </pic:cNvPicPr>
                  </pic:nvPicPr>
                  <pic:blipFill>
                    <a:blip r:embed="rId10"/>
                    <a:stretch>
                      <a:fillRect/>
                    </a:stretch>
                  </pic:blipFill>
                  <pic:spPr>
                    <a:xfrm>
                      <a:off x="0" y="0"/>
                      <a:ext cx="4838700" cy="2762250"/>
                    </a:xfrm>
                    <a:prstGeom prst="rect">
                      <a:avLst/>
                    </a:prstGeom>
                    <a:noFill/>
                    <a:ln w="9525" cap="flat" cmpd="sng">
                      <a:noFill/>
                      <a:prstDash val="solid"/>
                      <a:round/>
                    </a:ln>
                  </pic:spPr>
                </pic:pic>
              </a:graphicData>
            </a:graphic>
          </wp:anchor>
        </w:drawing>
      </w:r>
    </w:p>
    <w:p w14:paraId="1D94D050">
      <w:pPr>
        <w:spacing w:line="600" w:lineRule="exact"/>
        <w:ind w:firstLine="640" w:firstLineChars="200"/>
        <w:jc w:val="center"/>
        <w:rPr>
          <w:rFonts w:eastAsia="仿宋_GB2312"/>
          <w:sz w:val="32"/>
          <w:szCs w:val="32"/>
        </w:rPr>
      </w:pPr>
      <w:bookmarkStart w:id="22" w:name="_Toc15396607"/>
      <w:bookmarkStart w:id="23" w:name="_Toc15377209"/>
      <w:r>
        <w:rPr>
          <w:rFonts w:eastAsia="仿宋_GB2312"/>
          <w:sz w:val="32"/>
          <w:szCs w:val="32"/>
        </w:rPr>
        <w:t>（图4：财政拨款收、支决算总计变动情况）</w:t>
      </w:r>
    </w:p>
    <w:p w14:paraId="1F2C4F85">
      <w:pPr>
        <w:pStyle w:val="30"/>
        <w:spacing w:line="600" w:lineRule="exact"/>
        <w:outlineLvl w:val="1"/>
        <w:rPr>
          <w:rFonts w:eastAsia="方正黑体_GBK"/>
          <w:b w:val="0"/>
          <w:bCs w:val="0"/>
          <w:color w:val="auto"/>
          <w:kern w:val="2"/>
          <w:sz w:val="32"/>
          <w:szCs w:val="32"/>
          <w:lang w:val="en-US" w:eastAsia="zh-CN" w:bidi="ar-SA"/>
        </w:rPr>
      </w:pPr>
      <w:r>
        <w:rPr>
          <w:rFonts w:eastAsia="方正黑体_GBK"/>
          <w:b w:val="0"/>
          <w:bCs w:val="0"/>
          <w:color w:val="auto"/>
          <w:kern w:val="2"/>
          <w:sz w:val="32"/>
          <w:szCs w:val="32"/>
          <w:lang w:val="en-US" w:eastAsia="zh-CN" w:bidi="ar-SA"/>
        </w:rPr>
        <w:t>五、一般公共预算财政拨款支出决算情况说明</w:t>
      </w:r>
      <w:bookmarkEnd w:id="22"/>
      <w:bookmarkEnd w:id="23"/>
    </w:p>
    <w:p w14:paraId="429A4433">
      <w:pPr>
        <w:pageBreakBefore w:val="0"/>
        <w:widowControl w:val="0"/>
        <w:kinsoku/>
        <w:wordWrap/>
        <w:overflowPunct/>
        <w:topLinePunct w:val="0"/>
        <w:autoSpaceDE/>
        <w:autoSpaceDN/>
        <w:bidi w:val="0"/>
        <w:adjustRightInd w:val="0"/>
        <w:snapToGrid w:val="0"/>
        <w:spacing w:line="560" w:lineRule="exact"/>
        <w:ind w:firstLine="643" w:firstLineChars="200"/>
        <w:rPr>
          <w:rFonts w:eastAsia="方正楷体_GBK"/>
          <w:b/>
          <w:bCs/>
          <w:color w:val="auto"/>
          <w:kern w:val="2"/>
          <w:sz w:val="32"/>
          <w:szCs w:val="32"/>
          <w:shd w:val="clear" w:color="auto" w:fill="auto"/>
          <w:lang w:val="zh-CN" w:eastAsia="zh-CN" w:bidi="ar-SA"/>
        </w:rPr>
      </w:pPr>
      <w:bookmarkStart w:id="24" w:name="_Toc15377210"/>
      <w:r>
        <w:rPr>
          <w:rFonts w:eastAsia="方正楷体_GBK"/>
          <w:b/>
          <w:bCs/>
          <w:color w:val="auto"/>
          <w:kern w:val="2"/>
          <w:sz w:val="32"/>
          <w:szCs w:val="32"/>
          <w:shd w:val="clear" w:color="auto" w:fill="auto"/>
          <w:lang w:val="zh-CN" w:eastAsia="zh-CN" w:bidi="ar-SA"/>
        </w:rPr>
        <w:t>（一）一般公共预算财政拨款支出决算总体情况</w:t>
      </w:r>
      <w:bookmarkEnd w:id="24"/>
    </w:p>
    <w:p w14:paraId="5611553A">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eastAsia="方正仿宋_GBK"/>
          <w:color w:val="auto"/>
          <w:sz w:val="32"/>
          <w:szCs w:val="32"/>
          <w:highlight w:val="none"/>
          <w:lang w:val="en-US" w:eastAsia="zh-CN" w:bidi="ar-SA"/>
        </w:rPr>
      </w:pPr>
      <w:r>
        <w:rPr>
          <w:rFonts w:eastAsia="方正仿宋_GBK"/>
          <w:color w:val="auto"/>
          <w:sz w:val="32"/>
          <w:szCs w:val="32"/>
          <w:highlight w:val="none"/>
          <w:lang w:val="en-US" w:eastAsia="zh-CN" w:bidi="ar-SA"/>
        </w:rPr>
        <w:t>2025年度一般公共预算财政拨款支出977.44万元，占本年支出合计的84.</w:t>
      </w:r>
      <w:r>
        <w:rPr>
          <w:rFonts w:hint="eastAsia" w:eastAsia="方正仿宋_GBK"/>
          <w:color w:val="auto"/>
          <w:sz w:val="32"/>
          <w:szCs w:val="32"/>
          <w:highlight w:val="none"/>
          <w:lang w:val="en-US" w:eastAsia="zh-CN" w:bidi="ar-SA"/>
        </w:rPr>
        <w:t>7</w:t>
      </w:r>
      <w:r>
        <w:rPr>
          <w:rFonts w:eastAsia="方正仿宋_GBK"/>
          <w:color w:val="auto"/>
          <w:sz w:val="32"/>
          <w:szCs w:val="32"/>
          <w:highlight w:val="none"/>
          <w:lang w:val="en-US" w:eastAsia="zh-CN" w:bidi="ar-SA"/>
        </w:rPr>
        <w:t>%。与上年度相比，一般公共预算财政拨款支出987.43万元，减少9.99万元，下降1.%。主要变动原因是2025年一般公共预算财政拨款项目支出减少。</w:t>
      </w:r>
    </w:p>
    <w:p w14:paraId="7A3EC189">
      <w:pPr>
        <w:spacing w:line="600" w:lineRule="exact"/>
        <w:ind w:firstLine="640" w:firstLineChars="200"/>
        <w:outlineLvl w:val="2"/>
        <w:rPr>
          <w:rFonts w:eastAsia="楷体_GB2312"/>
          <w:b/>
          <w:sz w:val="32"/>
          <w:szCs w:val="32"/>
        </w:rPr>
      </w:pPr>
      <w:bookmarkStart w:id="25" w:name="_Toc15377211"/>
      <w:r>
        <w:rPr>
          <w:rFonts w:eastAsia="方正仿宋_GBK"/>
          <w:color w:val="auto"/>
          <w:sz w:val="32"/>
          <w:szCs w:val="32"/>
          <w:highlight w:val="none"/>
          <w:lang w:val="en-US" w:eastAsia="zh-CN" w:bidi="ar-SA"/>
        </w:rPr>
        <w:drawing>
          <wp:anchor distT="0" distB="0" distL="114300" distR="114300" simplePos="0" relativeHeight="251659264" behindDoc="0" locked="0" layoutInCell="1" allowOverlap="1">
            <wp:simplePos x="0" y="0"/>
            <wp:positionH relativeFrom="column">
              <wp:posOffset>-204470</wp:posOffset>
            </wp:positionH>
            <wp:positionV relativeFrom="paragraph">
              <wp:posOffset>5715</wp:posOffset>
            </wp:positionV>
            <wp:extent cx="5243195" cy="2266315"/>
            <wp:effectExtent l="4445" t="4445" r="10160" b="15240"/>
            <wp:wrapNone/>
            <wp:docPr id="14" name="图表 2" descr="7b0a202020202263686172745265734964223a202232303437323139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606953C2">
      <w:pPr>
        <w:spacing w:line="600" w:lineRule="exact"/>
        <w:ind w:firstLine="643" w:firstLineChars="200"/>
        <w:outlineLvl w:val="2"/>
        <w:rPr>
          <w:rFonts w:eastAsia="楷体_GB2312"/>
          <w:b/>
          <w:sz w:val="32"/>
          <w:szCs w:val="32"/>
        </w:rPr>
      </w:pPr>
    </w:p>
    <w:p w14:paraId="45748238">
      <w:pPr>
        <w:spacing w:line="600" w:lineRule="exact"/>
        <w:ind w:firstLine="643" w:firstLineChars="200"/>
        <w:outlineLvl w:val="2"/>
        <w:rPr>
          <w:rFonts w:eastAsia="楷体_GB2312"/>
          <w:b/>
          <w:sz w:val="32"/>
          <w:szCs w:val="32"/>
        </w:rPr>
      </w:pPr>
    </w:p>
    <w:p w14:paraId="3F02B19B">
      <w:pPr>
        <w:spacing w:line="600" w:lineRule="exact"/>
        <w:ind w:firstLine="643" w:firstLineChars="200"/>
        <w:outlineLvl w:val="2"/>
        <w:rPr>
          <w:rFonts w:eastAsia="楷体_GB2312"/>
          <w:b/>
          <w:sz w:val="32"/>
          <w:szCs w:val="32"/>
        </w:rPr>
      </w:pPr>
    </w:p>
    <w:p w14:paraId="1C5C18DC">
      <w:pPr>
        <w:spacing w:line="600" w:lineRule="exact"/>
        <w:outlineLvl w:val="2"/>
        <w:rPr>
          <w:rFonts w:eastAsia="楷体_GB2312"/>
          <w:b/>
          <w:sz w:val="32"/>
          <w:szCs w:val="32"/>
        </w:rPr>
      </w:pPr>
    </w:p>
    <w:p w14:paraId="3E8B7501">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eastAsia="楷体_GB2312"/>
          <w:b/>
          <w:sz w:val="32"/>
          <w:szCs w:val="32"/>
        </w:rPr>
      </w:pPr>
      <w:r>
        <w:rPr>
          <w:rFonts w:eastAsia="方正仿宋_GBK"/>
          <w:color w:val="auto"/>
          <w:sz w:val="32"/>
          <w:szCs w:val="32"/>
          <w:highlight w:val="none"/>
          <w:lang w:val="en-US" w:eastAsia="zh-CN" w:bidi="ar-SA"/>
        </w:rPr>
        <w:t>（图5：一般公共预算财政拨款支出决算变动情况）</w:t>
      </w:r>
    </w:p>
    <w:p w14:paraId="794C9B77">
      <w:pPr>
        <w:pageBreakBefore w:val="0"/>
        <w:widowControl w:val="0"/>
        <w:kinsoku/>
        <w:wordWrap/>
        <w:overflowPunct/>
        <w:topLinePunct w:val="0"/>
        <w:autoSpaceDE/>
        <w:autoSpaceDN/>
        <w:bidi w:val="0"/>
        <w:adjustRightInd w:val="0"/>
        <w:snapToGrid w:val="0"/>
        <w:spacing w:line="560" w:lineRule="exact"/>
        <w:ind w:firstLine="643" w:firstLineChars="200"/>
        <w:rPr>
          <w:rFonts w:eastAsia="方正楷体_GBK"/>
          <w:b/>
          <w:bCs/>
          <w:color w:val="auto"/>
          <w:kern w:val="2"/>
          <w:sz w:val="32"/>
          <w:szCs w:val="32"/>
          <w:shd w:val="clear" w:color="auto" w:fill="auto"/>
          <w:lang w:val="zh-CN" w:eastAsia="zh-CN" w:bidi="ar-SA"/>
        </w:rPr>
      </w:pPr>
      <w:r>
        <w:rPr>
          <w:rFonts w:eastAsia="方正楷体_GBK"/>
          <w:b/>
          <w:bCs/>
          <w:color w:val="auto"/>
          <w:kern w:val="2"/>
          <w:sz w:val="32"/>
          <w:szCs w:val="32"/>
          <w:shd w:val="clear" w:color="auto" w:fill="auto"/>
          <w:lang w:val="zh-CN" w:eastAsia="zh-CN" w:bidi="ar-SA"/>
        </w:rPr>
        <w:t>（二）一般公共预算财政拨款支出决算结构情况</w:t>
      </w:r>
      <w:bookmarkEnd w:id="25"/>
    </w:p>
    <w:p w14:paraId="76CC4654">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eastAsia="方正仿宋_GBK"/>
          <w:color w:val="auto"/>
          <w:sz w:val="32"/>
          <w:szCs w:val="32"/>
          <w:highlight w:val="none"/>
          <w:lang w:val="en-US" w:eastAsia="zh-CN" w:bidi="ar-SA"/>
        </w:rPr>
      </w:pPr>
      <w:r>
        <w:rPr>
          <w:rFonts w:eastAsia="方正仿宋_GBK"/>
          <w:color w:val="auto"/>
          <w:sz w:val="32"/>
          <w:szCs w:val="32"/>
          <w:highlight w:val="none"/>
          <w:lang w:val="en-US" w:eastAsia="zh-CN" w:bidi="ar-SA"/>
        </w:rPr>
        <w:t>2025年度一般公共预算财政拨款支出977.44万元，主要用于以下方面：社会保障和就业支出882.23万元，占90.</w:t>
      </w:r>
      <w:r>
        <w:rPr>
          <w:rFonts w:hint="eastAsia" w:eastAsia="方正仿宋_GBK"/>
          <w:color w:val="auto"/>
          <w:sz w:val="32"/>
          <w:szCs w:val="32"/>
          <w:highlight w:val="none"/>
          <w:lang w:val="en-US" w:eastAsia="zh-CN" w:bidi="ar-SA"/>
        </w:rPr>
        <w:t>2</w:t>
      </w:r>
      <w:r>
        <w:rPr>
          <w:rFonts w:eastAsia="方正仿宋_GBK"/>
          <w:color w:val="auto"/>
          <w:sz w:val="32"/>
          <w:szCs w:val="32"/>
          <w:highlight w:val="none"/>
          <w:lang w:val="en-US" w:eastAsia="zh-CN" w:bidi="ar-SA"/>
        </w:rPr>
        <w:t>%；卫生健康支出39.01万元，占</w:t>
      </w:r>
      <w:r>
        <w:rPr>
          <w:rFonts w:hint="eastAsia" w:eastAsia="方正仿宋_GBK"/>
          <w:color w:val="auto"/>
          <w:sz w:val="32"/>
          <w:szCs w:val="32"/>
          <w:highlight w:val="none"/>
          <w:lang w:val="en-US" w:eastAsia="zh-CN" w:bidi="ar-SA"/>
        </w:rPr>
        <w:t>4</w:t>
      </w:r>
      <w:r>
        <w:rPr>
          <w:rFonts w:eastAsia="方正仿宋_GBK"/>
          <w:color w:val="auto"/>
          <w:sz w:val="32"/>
          <w:szCs w:val="32"/>
          <w:highlight w:val="none"/>
          <w:lang w:val="en-US" w:eastAsia="zh-CN" w:bidi="ar-SA"/>
        </w:rPr>
        <w:t>%；住房保障支出56.21万元，占5.</w:t>
      </w:r>
      <w:r>
        <w:rPr>
          <w:rFonts w:hint="eastAsia" w:eastAsia="方正仿宋_GBK"/>
          <w:color w:val="auto"/>
          <w:sz w:val="32"/>
          <w:szCs w:val="32"/>
          <w:highlight w:val="none"/>
          <w:lang w:val="en-US" w:eastAsia="zh-CN" w:bidi="ar-SA"/>
        </w:rPr>
        <w:t>8</w:t>
      </w:r>
      <w:r>
        <w:rPr>
          <w:rFonts w:eastAsia="方正仿宋_GBK"/>
          <w:color w:val="auto"/>
          <w:sz w:val="32"/>
          <w:szCs w:val="32"/>
          <w:highlight w:val="none"/>
          <w:lang w:val="en-US" w:eastAsia="zh-CN" w:bidi="ar-SA"/>
        </w:rPr>
        <w:t>%。</w:t>
      </w:r>
    </w:p>
    <w:p w14:paraId="79D3E00C">
      <w:pPr>
        <w:pStyle w:val="5"/>
        <w:rPr>
          <w:rFonts w:eastAsia="仿宋_GB2312"/>
          <w:sz w:val="32"/>
          <w:szCs w:val="32"/>
        </w:rPr>
      </w:pPr>
      <w:r>
        <w:drawing>
          <wp:inline distT="0" distB="0" distL="114300" distR="114300">
            <wp:extent cx="5273040" cy="3780790"/>
            <wp:effectExtent l="0" t="0" r="0" b="0"/>
            <wp:docPr id="1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A105EB7">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eastAsia="方正仿宋_GBK"/>
          <w:color w:val="auto"/>
          <w:sz w:val="32"/>
          <w:szCs w:val="32"/>
          <w:highlight w:val="none"/>
          <w:lang w:val="en-US" w:eastAsia="zh-CN" w:bidi="ar-SA"/>
        </w:rPr>
      </w:pPr>
      <w:bookmarkStart w:id="26" w:name="_Toc15377212"/>
      <w:r>
        <w:rPr>
          <w:rFonts w:eastAsia="方正仿宋_GBK"/>
          <w:color w:val="auto"/>
          <w:sz w:val="32"/>
          <w:szCs w:val="32"/>
          <w:highlight w:val="none"/>
          <w:lang w:val="en-US" w:eastAsia="zh-CN" w:bidi="ar-SA"/>
        </w:rPr>
        <w:t>（图6：一般公共预算财政拨款支出决算结构）</w:t>
      </w:r>
    </w:p>
    <w:p w14:paraId="57043533">
      <w:pPr>
        <w:pageBreakBefore w:val="0"/>
        <w:widowControl w:val="0"/>
        <w:kinsoku/>
        <w:wordWrap/>
        <w:overflowPunct/>
        <w:topLinePunct w:val="0"/>
        <w:autoSpaceDE/>
        <w:autoSpaceDN/>
        <w:bidi w:val="0"/>
        <w:adjustRightInd w:val="0"/>
        <w:snapToGrid w:val="0"/>
        <w:spacing w:line="560" w:lineRule="exact"/>
        <w:ind w:firstLine="643" w:firstLineChars="200"/>
        <w:rPr>
          <w:rFonts w:eastAsia="方正楷体_GBK"/>
          <w:b/>
          <w:bCs/>
          <w:color w:val="auto"/>
          <w:kern w:val="2"/>
          <w:sz w:val="32"/>
          <w:szCs w:val="32"/>
          <w:shd w:val="clear" w:color="auto" w:fill="auto"/>
          <w:lang w:val="zh-CN" w:eastAsia="zh-CN" w:bidi="ar-SA"/>
        </w:rPr>
      </w:pPr>
      <w:r>
        <w:rPr>
          <w:rFonts w:eastAsia="方正楷体_GBK"/>
          <w:b/>
          <w:bCs/>
          <w:color w:val="auto"/>
          <w:kern w:val="2"/>
          <w:sz w:val="32"/>
          <w:szCs w:val="32"/>
          <w:shd w:val="clear" w:color="auto" w:fill="auto"/>
          <w:lang w:val="zh-CN" w:eastAsia="zh-CN" w:bidi="ar-SA"/>
        </w:rPr>
        <w:t>（三）一般公共预算财政拨款支出决算具体情况</w:t>
      </w:r>
      <w:bookmarkEnd w:id="26"/>
    </w:p>
    <w:p w14:paraId="37A005DA">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eastAsia="方正仿宋_GBK"/>
          <w:color w:val="auto"/>
          <w:sz w:val="32"/>
          <w:szCs w:val="32"/>
          <w:highlight w:val="none"/>
          <w:lang w:val="en-US" w:eastAsia="zh-CN" w:bidi="ar-SA"/>
        </w:rPr>
      </w:pPr>
      <w:bookmarkStart w:id="27" w:name="_Toc15377213"/>
      <w:bookmarkStart w:id="28" w:name="_Toc15377444"/>
      <w:bookmarkStart w:id="29" w:name="_Toc15378460"/>
      <w:r>
        <w:rPr>
          <w:rFonts w:eastAsia="方正仿宋_GBK"/>
          <w:color w:val="auto"/>
          <w:sz w:val="32"/>
          <w:szCs w:val="32"/>
          <w:highlight w:val="none"/>
          <w:lang w:val="en-US" w:eastAsia="zh-CN" w:bidi="ar-SA"/>
        </w:rPr>
        <w:t>2025年度一般公共预算支出决算数为977.44</w:t>
      </w:r>
      <w:r>
        <w:rPr>
          <w:rFonts w:hint="eastAsia" w:eastAsia="方正仿宋_GBK"/>
          <w:color w:val="auto"/>
          <w:sz w:val="32"/>
          <w:szCs w:val="32"/>
          <w:highlight w:val="none"/>
          <w:lang w:val="en-US" w:eastAsia="zh-CN" w:bidi="ar-SA"/>
        </w:rPr>
        <w:t>万元</w:t>
      </w:r>
      <w:r>
        <w:rPr>
          <w:rFonts w:eastAsia="方正仿宋_GBK"/>
          <w:color w:val="auto"/>
          <w:sz w:val="32"/>
          <w:szCs w:val="32"/>
          <w:highlight w:val="none"/>
          <w:lang w:val="en-US" w:eastAsia="zh-CN" w:bidi="ar-SA"/>
        </w:rPr>
        <w:t>，完成预算100%。其中：</w:t>
      </w:r>
      <w:bookmarkEnd w:id="27"/>
      <w:bookmarkEnd w:id="28"/>
      <w:bookmarkEnd w:id="29"/>
    </w:p>
    <w:p w14:paraId="3686E67B">
      <w:pPr>
        <w:spacing w:line="600" w:lineRule="exact"/>
        <w:ind w:left="0" w:firstLine="643" w:firstLineChars="200"/>
        <w:rPr>
          <w:rFonts w:eastAsia="方正仿宋_GBK"/>
          <w:kern w:val="2"/>
          <w:sz w:val="32"/>
          <w:szCs w:val="32"/>
          <w:highlight w:val="none"/>
          <w:lang w:val="en-US" w:eastAsia="zh-CN" w:bidi="ar-SA"/>
        </w:rPr>
      </w:pPr>
      <w:r>
        <w:rPr>
          <w:rFonts w:eastAsia="方正仿宋_GBK"/>
          <w:b/>
          <w:bCs/>
          <w:kern w:val="2"/>
          <w:sz w:val="32"/>
          <w:szCs w:val="32"/>
          <w:highlight w:val="none"/>
          <w:lang w:val="en-US" w:eastAsia="zh-CN" w:bidi="ar-SA"/>
        </w:rPr>
        <w:t>1.社会保障和就业（类）民政管理事务（款）行政运行（项）：</w:t>
      </w:r>
      <w:r>
        <w:rPr>
          <w:rFonts w:eastAsia="方正仿宋_GBK"/>
          <w:kern w:val="2"/>
          <w:sz w:val="32"/>
          <w:szCs w:val="32"/>
          <w:highlight w:val="none"/>
          <w:lang w:val="en-US" w:eastAsia="zh-CN" w:bidi="ar-SA"/>
        </w:rPr>
        <w:t>支出决算为457.59万元，完成预算100% 。</w:t>
      </w:r>
    </w:p>
    <w:p w14:paraId="26A91A22">
      <w:pPr>
        <w:spacing w:line="560" w:lineRule="exact"/>
        <w:ind w:firstLine="640"/>
        <w:rPr>
          <w:rFonts w:eastAsia="仿宋_GB2312"/>
          <w:sz w:val="32"/>
          <w:szCs w:val="32"/>
        </w:rPr>
      </w:pPr>
      <w:r>
        <w:rPr>
          <w:rFonts w:eastAsia="仿宋_GB2312"/>
          <w:b/>
          <w:bCs/>
          <w:sz w:val="32"/>
          <w:szCs w:val="32"/>
          <w:lang w:val="en-US" w:eastAsia="zh-CN"/>
        </w:rPr>
        <w:t>2.</w:t>
      </w:r>
      <w:r>
        <w:rPr>
          <w:rFonts w:eastAsia="方正仿宋_GBK"/>
          <w:b/>
          <w:bCs/>
          <w:kern w:val="2"/>
          <w:sz w:val="32"/>
          <w:szCs w:val="32"/>
          <w:highlight w:val="none"/>
          <w:lang w:val="en-US" w:eastAsia="zh-CN" w:bidi="ar-SA"/>
        </w:rPr>
        <w:t>社会保障和就业（类）民政管理事务（款）其他民政管理事务（项）：</w:t>
      </w:r>
      <w:r>
        <w:rPr>
          <w:rFonts w:eastAsia="方正仿宋_GBK"/>
          <w:kern w:val="2"/>
          <w:sz w:val="32"/>
          <w:szCs w:val="32"/>
          <w:highlight w:val="none"/>
          <w:lang w:val="en-US" w:eastAsia="zh-CN" w:bidi="ar-SA"/>
        </w:rPr>
        <w:t>支出决算为208.27万元，完成预算100%。</w:t>
      </w:r>
    </w:p>
    <w:p w14:paraId="7C9595AF">
      <w:pPr>
        <w:spacing w:line="560" w:lineRule="exact"/>
        <w:ind w:firstLine="640"/>
        <w:rPr>
          <w:rFonts w:eastAsia="方正仿宋_GBK"/>
          <w:kern w:val="2"/>
          <w:sz w:val="32"/>
          <w:szCs w:val="32"/>
          <w:highlight w:val="none"/>
          <w:lang w:val="en-US" w:eastAsia="zh-CN" w:bidi="ar-SA"/>
        </w:rPr>
      </w:pPr>
      <w:r>
        <w:rPr>
          <w:rFonts w:eastAsia="仿宋_GB2312"/>
          <w:b/>
          <w:bCs/>
          <w:sz w:val="32"/>
          <w:szCs w:val="32"/>
          <w:lang w:val="en-US" w:eastAsia="zh-CN"/>
        </w:rPr>
        <w:t>3.</w:t>
      </w:r>
      <w:r>
        <w:rPr>
          <w:rFonts w:eastAsia="方正仿宋_GBK"/>
          <w:b/>
          <w:bCs/>
          <w:kern w:val="2"/>
          <w:sz w:val="32"/>
          <w:szCs w:val="32"/>
          <w:highlight w:val="none"/>
          <w:lang w:val="en-US" w:eastAsia="zh-CN" w:bidi="ar-SA"/>
        </w:rPr>
        <w:t>社会保障和就业（类）行政事业单位养老支出（款）行政单位离退休（项）：</w:t>
      </w:r>
      <w:r>
        <w:rPr>
          <w:rFonts w:eastAsia="方正仿宋_GBK"/>
          <w:kern w:val="2"/>
          <w:sz w:val="32"/>
          <w:szCs w:val="32"/>
          <w:highlight w:val="none"/>
          <w:lang w:val="en-US" w:eastAsia="zh-CN" w:bidi="ar-SA"/>
        </w:rPr>
        <w:t>支出决算为106.95万元，完成预算100%。</w:t>
      </w:r>
    </w:p>
    <w:p w14:paraId="0B1C1F42">
      <w:pPr>
        <w:spacing w:line="560" w:lineRule="exact"/>
        <w:ind w:firstLine="640"/>
        <w:rPr>
          <w:rFonts w:eastAsia="方正仿宋_GBK"/>
          <w:kern w:val="2"/>
          <w:sz w:val="32"/>
          <w:szCs w:val="32"/>
          <w:highlight w:val="none"/>
          <w:lang w:val="en-US" w:eastAsia="zh-CN" w:bidi="ar-SA"/>
        </w:rPr>
      </w:pPr>
      <w:r>
        <w:rPr>
          <w:rFonts w:eastAsia="仿宋_GB2312"/>
          <w:b/>
          <w:bCs/>
          <w:sz w:val="32"/>
          <w:szCs w:val="32"/>
          <w:lang w:val="en-US" w:eastAsia="zh-CN"/>
        </w:rPr>
        <w:t>4.</w:t>
      </w:r>
      <w:r>
        <w:rPr>
          <w:rFonts w:eastAsia="方正仿宋_GBK"/>
          <w:b/>
          <w:bCs/>
          <w:kern w:val="2"/>
          <w:sz w:val="32"/>
          <w:szCs w:val="32"/>
          <w:highlight w:val="none"/>
          <w:lang w:val="en-US" w:eastAsia="zh-CN" w:bidi="ar-SA"/>
        </w:rPr>
        <w:t>社会保障和就业（类）行政事业单位养老支出（款）机关事业单位基本养老保险缴费支出（项）：</w:t>
      </w:r>
      <w:r>
        <w:rPr>
          <w:rFonts w:eastAsia="方正仿宋_GBK"/>
          <w:kern w:val="2"/>
          <w:sz w:val="32"/>
          <w:szCs w:val="32"/>
          <w:highlight w:val="none"/>
          <w:lang w:val="en-US" w:eastAsia="zh-CN" w:bidi="ar-SA"/>
        </w:rPr>
        <w:t>支出决算为71.57万元，完成预算100%。</w:t>
      </w:r>
    </w:p>
    <w:p w14:paraId="0FA2B9F8">
      <w:pPr>
        <w:spacing w:line="560" w:lineRule="exact"/>
        <w:ind w:firstLine="640"/>
        <w:rPr>
          <w:rFonts w:eastAsia="方正仿宋_GBK"/>
          <w:kern w:val="2"/>
          <w:sz w:val="32"/>
          <w:szCs w:val="32"/>
          <w:highlight w:val="none"/>
          <w:lang w:val="en-US" w:eastAsia="zh-CN" w:bidi="ar-SA"/>
        </w:rPr>
      </w:pPr>
      <w:r>
        <w:rPr>
          <w:rFonts w:eastAsia="仿宋_GB2312"/>
          <w:b/>
          <w:bCs/>
          <w:sz w:val="32"/>
          <w:szCs w:val="32"/>
          <w:lang w:val="en-US" w:eastAsia="zh-CN"/>
        </w:rPr>
        <w:t>5.</w:t>
      </w:r>
      <w:r>
        <w:rPr>
          <w:rFonts w:eastAsia="方正仿宋_GBK"/>
          <w:b/>
          <w:bCs/>
          <w:kern w:val="2"/>
          <w:sz w:val="32"/>
          <w:szCs w:val="32"/>
          <w:highlight w:val="none"/>
          <w:lang w:val="en-US" w:eastAsia="zh-CN" w:bidi="ar-SA"/>
        </w:rPr>
        <w:t>社会保障和就业（类）抚恤（款）死亡抚恤（项）：</w:t>
      </w:r>
      <w:r>
        <w:rPr>
          <w:rFonts w:eastAsia="方正仿宋_GBK"/>
          <w:kern w:val="2"/>
          <w:sz w:val="32"/>
          <w:szCs w:val="32"/>
          <w:highlight w:val="none"/>
          <w:lang w:val="en-US" w:eastAsia="zh-CN" w:bidi="ar-SA"/>
        </w:rPr>
        <w:t>支出决算为30.64万元，完成预算100%。</w:t>
      </w:r>
    </w:p>
    <w:p w14:paraId="53D79B3B">
      <w:pPr>
        <w:spacing w:line="600" w:lineRule="exact"/>
        <w:ind w:firstLine="640"/>
        <w:rPr>
          <w:rFonts w:eastAsia="仿宋_GB2312"/>
          <w:sz w:val="32"/>
          <w:szCs w:val="32"/>
        </w:rPr>
      </w:pPr>
      <w:r>
        <w:rPr>
          <w:rFonts w:eastAsia="仿宋_GB2312"/>
          <w:b/>
          <w:bCs/>
          <w:sz w:val="32"/>
          <w:szCs w:val="32"/>
          <w:lang w:val="en-US" w:eastAsia="zh-CN"/>
        </w:rPr>
        <w:t>6.</w:t>
      </w:r>
      <w:r>
        <w:rPr>
          <w:rFonts w:eastAsia="方正仿宋_GBK"/>
          <w:b/>
          <w:bCs/>
          <w:kern w:val="2"/>
          <w:sz w:val="32"/>
          <w:szCs w:val="32"/>
          <w:highlight w:val="none"/>
          <w:lang w:val="en-US" w:eastAsia="zh-CN" w:bidi="ar-SA"/>
        </w:rPr>
        <w:t>社会保障和就业（类）社会福利（款）儿童福利（项）：</w:t>
      </w:r>
      <w:r>
        <w:rPr>
          <w:rFonts w:eastAsia="方正仿宋_GBK"/>
          <w:kern w:val="2"/>
          <w:sz w:val="32"/>
          <w:szCs w:val="32"/>
          <w:highlight w:val="none"/>
          <w:lang w:val="en-US" w:eastAsia="zh-CN" w:bidi="ar-SA"/>
        </w:rPr>
        <w:t>支出决算为7.21万元，完成预算100%。</w:t>
      </w:r>
    </w:p>
    <w:p w14:paraId="77ED015B">
      <w:pPr>
        <w:spacing w:line="560" w:lineRule="exact"/>
        <w:ind w:firstLine="640"/>
        <w:rPr>
          <w:rFonts w:eastAsia="方正仿宋_GBK"/>
          <w:kern w:val="2"/>
          <w:sz w:val="32"/>
          <w:szCs w:val="32"/>
          <w:highlight w:val="none"/>
          <w:lang w:val="en-US" w:eastAsia="zh-CN" w:bidi="ar-SA"/>
        </w:rPr>
      </w:pPr>
      <w:r>
        <w:rPr>
          <w:rFonts w:eastAsia="方正仿宋_GBK"/>
          <w:b/>
          <w:bCs/>
          <w:kern w:val="2"/>
          <w:sz w:val="32"/>
          <w:szCs w:val="32"/>
          <w:highlight w:val="none"/>
          <w:lang w:val="en-US" w:eastAsia="zh-CN" w:bidi="ar-SA"/>
        </w:rPr>
        <w:t>7.卫生健康（类）行政事业单位医疗（款）行政单位医疗（项）：</w:t>
      </w:r>
      <w:r>
        <w:rPr>
          <w:rFonts w:eastAsia="方正仿宋_GBK"/>
          <w:kern w:val="2"/>
          <w:sz w:val="32"/>
          <w:szCs w:val="32"/>
          <w:highlight w:val="none"/>
          <w:lang w:val="en-US" w:eastAsia="zh-CN" w:bidi="ar-SA"/>
        </w:rPr>
        <w:t>支出决算为26.2万元，完成预算100%。</w:t>
      </w:r>
    </w:p>
    <w:p w14:paraId="2DFDD368">
      <w:pPr>
        <w:spacing w:line="600" w:lineRule="exact"/>
        <w:ind w:firstLine="640"/>
        <w:rPr>
          <w:rFonts w:eastAsia="方正仿宋_GBK"/>
          <w:kern w:val="2"/>
          <w:sz w:val="32"/>
          <w:szCs w:val="32"/>
          <w:highlight w:val="none"/>
          <w:lang w:val="en-US" w:eastAsia="zh-CN" w:bidi="ar-SA"/>
        </w:rPr>
      </w:pPr>
      <w:r>
        <w:rPr>
          <w:rFonts w:eastAsia="仿宋_GB2312"/>
          <w:b/>
          <w:bCs/>
          <w:sz w:val="32"/>
          <w:szCs w:val="32"/>
          <w:lang w:val="en-US" w:eastAsia="zh-CN"/>
        </w:rPr>
        <w:t>8.</w:t>
      </w:r>
      <w:r>
        <w:rPr>
          <w:rFonts w:eastAsia="方正仿宋_GBK"/>
          <w:b/>
          <w:bCs/>
          <w:kern w:val="2"/>
          <w:sz w:val="32"/>
          <w:szCs w:val="32"/>
          <w:highlight w:val="none"/>
          <w:lang w:val="en-US" w:eastAsia="zh-CN" w:bidi="ar-SA"/>
        </w:rPr>
        <w:t>卫生健康（类）行政事业单位医疗（款）事业单位医疗（项）：</w:t>
      </w:r>
      <w:r>
        <w:rPr>
          <w:rFonts w:eastAsia="方正仿宋_GBK"/>
          <w:kern w:val="2"/>
          <w:sz w:val="32"/>
          <w:szCs w:val="32"/>
          <w:highlight w:val="none"/>
          <w:lang w:val="en-US" w:eastAsia="zh-CN" w:bidi="ar-SA"/>
        </w:rPr>
        <w:t>支出决算为8.84万元，完成预算100%。</w:t>
      </w:r>
    </w:p>
    <w:p w14:paraId="10A6AF0C">
      <w:pPr>
        <w:spacing w:line="560" w:lineRule="exact"/>
        <w:ind w:firstLine="640"/>
        <w:rPr>
          <w:rFonts w:eastAsia="方正仿宋_GBK"/>
          <w:kern w:val="2"/>
          <w:sz w:val="32"/>
          <w:szCs w:val="32"/>
          <w:highlight w:val="none"/>
          <w:lang w:val="en-US" w:eastAsia="zh-CN" w:bidi="ar-SA"/>
        </w:rPr>
      </w:pPr>
      <w:r>
        <w:rPr>
          <w:rFonts w:eastAsia="方正仿宋_GBK"/>
          <w:kern w:val="2"/>
          <w:sz w:val="32"/>
          <w:szCs w:val="32"/>
          <w:highlight w:val="none"/>
          <w:lang w:val="en-US" w:eastAsia="zh-CN" w:bidi="ar-SA"/>
        </w:rPr>
        <w:t>9.</w:t>
      </w:r>
      <w:r>
        <w:rPr>
          <w:rFonts w:eastAsia="方正仿宋_GBK"/>
          <w:b/>
          <w:bCs/>
          <w:kern w:val="2"/>
          <w:sz w:val="32"/>
          <w:szCs w:val="32"/>
          <w:highlight w:val="none"/>
          <w:lang w:val="en-US" w:eastAsia="zh-CN" w:bidi="ar-SA"/>
        </w:rPr>
        <w:t>卫生健康（类）行政事业单位医疗（款）公务员医疗补助（项）：</w:t>
      </w:r>
      <w:r>
        <w:rPr>
          <w:rFonts w:eastAsia="方正仿宋_GBK"/>
          <w:kern w:val="2"/>
          <w:sz w:val="32"/>
          <w:szCs w:val="32"/>
          <w:highlight w:val="none"/>
          <w:lang w:val="en-US" w:eastAsia="zh-CN" w:bidi="ar-SA"/>
        </w:rPr>
        <w:t>支出决算为3.97万元，完成预算100%。</w:t>
      </w:r>
    </w:p>
    <w:p w14:paraId="5058811A">
      <w:pPr>
        <w:spacing w:line="560" w:lineRule="exact"/>
        <w:ind w:firstLine="640"/>
        <w:rPr>
          <w:rFonts w:eastAsia="仿宋_GB2312"/>
          <w:sz w:val="32"/>
          <w:szCs w:val="32"/>
        </w:rPr>
      </w:pPr>
      <w:r>
        <w:rPr>
          <w:rFonts w:eastAsia="仿宋_GB2312"/>
          <w:b/>
          <w:bCs/>
          <w:sz w:val="32"/>
          <w:szCs w:val="32"/>
          <w:lang w:val="en-US" w:eastAsia="zh-CN"/>
        </w:rPr>
        <w:t>10.</w:t>
      </w:r>
      <w:r>
        <w:rPr>
          <w:rFonts w:eastAsia="方正仿宋_GBK"/>
          <w:b/>
          <w:bCs/>
          <w:kern w:val="2"/>
          <w:sz w:val="32"/>
          <w:szCs w:val="32"/>
          <w:highlight w:val="none"/>
          <w:lang w:val="en-US" w:eastAsia="zh-CN" w:bidi="ar-SA"/>
        </w:rPr>
        <w:t>住房保障支出（类）住房保障支出（款）住房公积金（项）：</w:t>
      </w:r>
      <w:r>
        <w:rPr>
          <w:rFonts w:eastAsia="方正仿宋_GBK"/>
          <w:kern w:val="2"/>
          <w:sz w:val="32"/>
          <w:szCs w:val="32"/>
          <w:highlight w:val="none"/>
          <w:lang w:val="en-US" w:eastAsia="zh-CN" w:bidi="ar-SA"/>
        </w:rPr>
        <w:t>支出决算为56.21万元，完成预算100%。</w:t>
      </w:r>
    </w:p>
    <w:p w14:paraId="5E764162">
      <w:pPr>
        <w:tabs>
          <w:tab w:val="right" w:pos="8306"/>
        </w:tabs>
        <w:spacing w:line="600" w:lineRule="exact"/>
        <w:ind w:firstLine="640"/>
        <w:outlineLvl w:val="1"/>
        <w:rPr>
          <w:rStyle w:val="24"/>
          <w:rFonts w:ascii="Times New Roman" w:hAnsi="Times New Roman"/>
        </w:rPr>
      </w:pPr>
      <w:bookmarkStart w:id="30" w:name="_Toc15377214"/>
      <w:bookmarkStart w:id="31" w:name="_Toc15396608"/>
      <w:r>
        <w:rPr>
          <w:rFonts w:eastAsia="方正黑体_GBK"/>
          <w:b w:val="0"/>
          <w:bCs w:val="0"/>
          <w:color w:val="auto"/>
          <w:kern w:val="2"/>
          <w:sz w:val="32"/>
          <w:szCs w:val="32"/>
          <w:lang w:val="en-US" w:eastAsia="zh-CN" w:bidi="ar-SA"/>
        </w:rPr>
        <w:t>六、一般公共预算财政拨款基本支出决算情况说明</w:t>
      </w:r>
      <w:bookmarkEnd w:id="30"/>
      <w:bookmarkEnd w:id="31"/>
      <w:r>
        <w:rPr>
          <w:rStyle w:val="24"/>
          <w:rFonts w:ascii="Times New Roman" w:hAnsi="Times New Roman" w:eastAsia="黑体"/>
          <w:b w:val="0"/>
        </w:rPr>
        <w:tab/>
      </w:r>
    </w:p>
    <w:p w14:paraId="4245136C">
      <w:pPr>
        <w:spacing w:line="600" w:lineRule="exact"/>
        <w:ind w:firstLine="640"/>
        <w:rPr>
          <w:rFonts w:eastAsia="方正仿宋_GBK"/>
          <w:kern w:val="2"/>
          <w:sz w:val="32"/>
          <w:szCs w:val="32"/>
          <w:highlight w:val="none"/>
          <w:lang w:val="en-US" w:eastAsia="zh-CN" w:bidi="ar-SA"/>
        </w:rPr>
      </w:pPr>
      <w:r>
        <w:rPr>
          <w:rFonts w:eastAsia="方正仿宋_GBK"/>
          <w:kern w:val="2"/>
          <w:sz w:val="32"/>
          <w:szCs w:val="32"/>
          <w:highlight w:val="none"/>
          <w:lang w:val="en-US" w:eastAsia="zh-CN" w:bidi="ar-SA"/>
        </w:rPr>
        <w:t>2025年度一般公共预算财政拨款基本支出917.55万元，其中：</w:t>
      </w:r>
    </w:p>
    <w:p w14:paraId="77318738">
      <w:pPr>
        <w:spacing w:line="600" w:lineRule="exact"/>
        <w:ind w:firstLine="640"/>
        <w:rPr>
          <w:rFonts w:eastAsia="方正仿宋_GBK"/>
          <w:kern w:val="2"/>
          <w:sz w:val="32"/>
          <w:szCs w:val="32"/>
          <w:highlight w:val="none"/>
          <w:lang w:val="en-US" w:eastAsia="zh-CN" w:bidi="ar-SA"/>
        </w:rPr>
      </w:pPr>
      <w:r>
        <w:rPr>
          <w:rFonts w:eastAsia="方正仿宋_GBK"/>
          <w:kern w:val="2"/>
          <w:sz w:val="32"/>
          <w:szCs w:val="32"/>
          <w:highlight w:val="none"/>
          <w:lang w:val="en-US" w:eastAsia="zh-CN" w:bidi="ar-SA"/>
        </w:rPr>
        <w:t>人员经费823.47万元，主要包括：基本工资、津贴补贴、奖金、绩效工资、机关事业单位基本养老保险缴费、其他社会保障缴费、退休费、抚恤金、生活补助、医疗费补助、奖励金、住房公积金。</w:t>
      </w:r>
      <w:r>
        <w:rPr>
          <w:rFonts w:eastAsia="方正仿宋_GBK"/>
          <w:kern w:val="2"/>
          <w:sz w:val="32"/>
          <w:szCs w:val="32"/>
          <w:highlight w:val="none"/>
          <w:lang w:val="en-US" w:eastAsia="zh-CN" w:bidi="ar-SA"/>
        </w:rPr>
        <w:br w:type="textWrapping"/>
      </w:r>
      <w:r>
        <w:rPr>
          <w:rFonts w:eastAsia="仿宋_GB2312"/>
          <w:sz w:val="32"/>
          <w:szCs w:val="32"/>
        </w:rPr>
        <w:t>　　</w:t>
      </w:r>
      <w:r>
        <w:rPr>
          <w:rFonts w:eastAsia="方正仿宋_GBK"/>
          <w:kern w:val="2"/>
          <w:sz w:val="32"/>
          <w:szCs w:val="32"/>
          <w:highlight w:val="none"/>
          <w:lang w:val="en-US" w:eastAsia="zh-CN" w:bidi="ar-SA"/>
        </w:rPr>
        <w:t>公用经费94.08万元，主要包括：办公费、水费、电费、邮电费、物业管理费、差旅费、维修（护）费、租赁费、会议费、培训费、公务接待费、委托业务费、工会经费、福利费、公务用车运行维护费、其他交通费、其他商品和服务支出等。</w:t>
      </w:r>
    </w:p>
    <w:p w14:paraId="03234D9D">
      <w:pPr>
        <w:tabs>
          <w:tab w:val="right" w:pos="8306"/>
        </w:tabs>
        <w:spacing w:line="600" w:lineRule="exact"/>
        <w:ind w:firstLine="640"/>
        <w:outlineLvl w:val="1"/>
        <w:rPr>
          <w:rFonts w:eastAsia="方正黑体_GBK"/>
          <w:b w:val="0"/>
          <w:bCs w:val="0"/>
          <w:color w:val="auto"/>
          <w:kern w:val="2"/>
          <w:sz w:val="32"/>
          <w:szCs w:val="32"/>
          <w:lang w:val="en-US" w:eastAsia="zh-CN" w:bidi="ar-SA"/>
        </w:rPr>
      </w:pPr>
      <w:bookmarkStart w:id="32" w:name="_Toc15377215"/>
      <w:bookmarkStart w:id="33" w:name="_Toc15396609"/>
      <w:r>
        <w:rPr>
          <w:rFonts w:eastAsia="方正黑体_GBK"/>
          <w:b w:val="0"/>
          <w:bCs w:val="0"/>
          <w:color w:val="auto"/>
          <w:kern w:val="2"/>
          <w:sz w:val="32"/>
          <w:szCs w:val="32"/>
          <w:lang w:val="en-US" w:eastAsia="zh-CN" w:bidi="ar-SA"/>
        </w:rPr>
        <w:t>七、财政拨款“三公”经费支出决算情况说明</w:t>
      </w:r>
      <w:bookmarkEnd w:id="32"/>
      <w:bookmarkEnd w:id="33"/>
    </w:p>
    <w:p w14:paraId="72C494E0">
      <w:pPr>
        <w:pageBreakBefore w:val="0"/>
        <w:widowControl w:val="0"/>
        <w:kinsoku/>
        <w:wordWrap/>
        <w:overflowPunct/>
        <w:topLinePunct w:val="0"/>
        <w:autoSpaceDE/>
        <w:autoSpaceDN/>
        <w:bidi w:val="0"/>
        <w:adjustRightInd w:val="0"/>
        <w:snapToGrid w:val="0"/>
        <w:spacing w:line="560" w:lineRule="exact"/>
        <w:ind w:firstLine="643" w:firstLineChars="200"/>
        <w:rPr>
          <w:rFonts w:eastAsia="方正楷体_GBK"/>
          <w:b/>
          <w:bCs/>
          <w:color w:val="auto"/>
          <w:kern w:val="2"/>
          <w:sz w:val="32"/>
          <w:szCs w:val="32"/>
          <w:shd w:val="clear" w:color="auto" w:fill="auto"/>
          <w:lang w:val="zh-CN" w:eastAsia="zh-CN" w:bidi="ar-SA"/>
        </w:rPr>
      </w:pPr>
      <w:bookmarkStart w:id="34" w:name="_Toc15377216"/>
      <w:r>
        <w:rPr>
          <w:rFonts w:eastAsia="方正楷体_GBK"/>
          <w:b/>
          <w:bCs/>
          <w:color w:val="auto"/>
          <w:kern w:val="2"/>
          <w:sz w:val="32"/>
          <w:szCs w:val="32"/>
          <w:shd w:val="clear" w:color="auto" w:fill="auto"/>
          <w:lang w:val="zh-CN" w:eastAsia="zh-CN" w:bidi="ar-SA"/>
        </w:rPr>
        <w:t>（一）财政拨款“三公”经费支出决算总体情况说明</w:t>
      </w:r>
      <w:bookmarkEnd w:id="34"/>
    </w:p>
    <w:p w14:paraId="38CD445F">
      <w:pPr>
        <w:spacing w:line="600" w:lineRule="exact"/>
        <w:ind w:left="0" w:firstLine="640" w:firstLineChars="200"/>
        <w:rPr>
          <w:rFonts w:eastAsia="方正仿宋_GBK"/>
          <w:kern w:val="2"/>
          <w:sz w:val="32"/>
          <w:szCs w:val="32"/>
          <w:highlight w:val="none"/>
          <w:lang w:val="en-US" w:eastAsia="zh-CN" w:bidi="ar-SA"/>
        </w:rPr>
      </w:pPr>
      <w:r>
        <w:rPr>
          <w:rFonts w:eastAsia="方正仿宋_GBK"/>
          <w:kern w:val="2"/>
          <w:sz w:val="32"/>
          <w:szCs w:val="32"/>
          <w:highlight w:val="none"/>
          <w:lang w:val="en-US" w:eastAsia="zh-CN" w:bidi="ar-SA"/>
        </w:rPr>
        <w:t>2025年度财政拨款“三公”经费支出决算为6.09万元，完成预算100%，较上年度减少0.89万元，下降12.</w:t>
      </w:r>
      <w:r>
        <w:rPr>
          <w:rFonts w:hint="eastAsia" w:eastAsia="方正仿宋_GBK"/>
          <w:kern w:val="2"/>
          <w:sz w:val="32"/>
          <w:szCs w:val="32"/>
          <w:highlight w:val="none"/>
          <w:lang w:val="en-US" w:eastAsia="zh-CN" w:bidi="ar-SA"/>
        </w:rPr>
        <w:t>8</w:t>
      </w:r>
      <w:r>
        <w:rPr>
          <w:rFonts w:eastAsia="方正仿宋_GBK"/>
          <w:kern w:val="2"/>
          <w:sz w:val="32"/>
          <w:szCs w:val="32"/>
          <w:highlight w:val="none"/>
          <w:lang w:val="en-US" w:eastAsia="zh-CN" w:bidi="ar-SA"/>
        </w:rPr>
        <w:t>%。主要原因是公务接待支出减少。</w:t>
      </w:r>
    </w:p>
    <w:p w14:paraId="589DD657">
      <w:pPr>
        <w:pageBreakBefore w:val="0"/>
        <w:widowControl w:val="0"/>
        <w:kinsoku/>
        <w:wordWrap/>
        <w:overflowPunct/>
        <w:topLinePunct w:val="0"/>
        <w:autoSpaceDE/>
        <w:autoSpaceDN/>
        <w:bidi w:val="0"/>
        <w:adjustRightInd w:val="0"/>
        <w:snapToGrid w:val="0"/>
        <w:spacing w:line="560" w:lineRule="exact"/>
        <w:ind w:firstLine="643" w:firstLineChars="200"/>
        <w:rPr>
          <w:rFonts w:eastAsia="方正楷体_GBK"/>
          <w:b/>
          <w:bCs/>
          <w:color w:val="auto"/>
          <w:kern w:val="2"/>
          <w:sz w:val="32"/>
          <w:szCs w:val="32"/>
          <w:shd w:val="clear" w:color="auto" w:fill="auto"/>
          <w:lang w:val="zh-CN" w:eastAsia="zh-CN" w:bidi="ar-SA"/>
        </w:rPr>
      </w:pPr>
      <w:bookmarkStart w:id="35" w:name="_Toc15377217"/>
      <w:r>
        <w:rPr>
          <w:rFonts w:eastAsia="方正楷体_GBK"/>
          <w:b/>
          <w:bCs/>
          <w:color w:val="auto"/>
          <w:kern w:val="2"/>
          <w:sz w:val="32"/>
          <w:szCs w:val="32"/>
          <w:shd w:val="clear" w:color="auto" w:fill="auto"/>
          <w:lang w:val="zh-CN" w:eastAsia="zh-CN" w:bidi="ar-SA"/>
        </w:rPr>
        <w:t>（二）财政拨款“三公”经费支出决算具体情况说明</w:t>
      </w:r>
      <w:bookmarkEnd w:id="35"/>
    </w:p>
    <w:p w14:paraId="64925306">
      <w:pPr>
        <w:spacing w:line="600" w:lineRule="exact"/>
        <w:ind w:left="0" w:firstLine="640" w:firstLineChars="200"/>
        <w:rPr>
          <w:rFonts w:eastAsia="方正仿宋_GBK"/>
          <w:kern w:val="2"/>
          <w:sz w:val="32"/>
          <w:szCs w:val="32"/>
          <w:highlight w:val="none"/>
          <w:lang w:val="en-US" w:eastAsia="zh-CN" w:bidi="ar-SA"/>
        </w:rPr>
      </w:pPr>
      <w:r>
        <w:rPr>
          <w:rFonts w:eastAsia="方正仿宋_GBK"/>
          <w:kern w:val="2"/>
          <w:sz w:val="32"/>
          <w:szCs w:val="32"/>
          <w:highlight w:val="none"/>
          <w:lang w:val="en-US" w:eastAsia="zh-CN" w:bidi="ar-SA"/>
        </w:rPr>
        <w:t>2025年度财政拨款“三公”经费支出决算中，因公出国（境）费支出决算0万元；公务用车购置及运行维护费支出决算5.65万元，占92.</w:t>
      </w:r>
      <w:r>
        <w:rPr>
          <w:rFonts w:hint="eastAsia" w:eastAsia="方正仿宋_GBK"/>
          <w:kern w:val="2"/>
          <w:sz w:val="32"/>
          <w:szCs w:val="32"/>
          <w:highlight w:val="none"/>
          <w:lang w:val="en-US" w:eastAsia="zh-CN" w:bidi="ar-SA"/>
        </w:rPr>
        <w:t>8</w:t>
      </w:r>
      <w:r>
        <w:rPr>
          <w:rFonts w:eastAsia="方正仿宋_GBK"/>
          <w:kern w:val="2"/>
          <w:sz w:val="32"/>
          <w:szCs w:val="32"/>
          <w:highlight w:val="none"/>
          <w:lang w:val="en-US" w:eastAsia="zh-CN" w:bidi="ar-SA"/>
        </w:rPr>
        <w:t>%；公务接待费支出决算0.43万元，占7.2%。具体情况如下：</w:t>
      </w:r>
    </w:p>
    <w:p w14:paraId="0DD96DFA">
      <w:pPr>
        <w:pStyle w:val="6"/>
        <w:rPr>
          <w:rFonts w:ascii="Times New Roman" w:hAnsi="Times New Roman" w:eastAsia="仿宋_GB2312"/>
          <w:sz w:val="32"/>
          <w:szCs w:val="32"/>
        </w:rPr>
      </w:pPr>
      <w:r>
        <w:rPr>
          <w:rFonts w:ascii="Times New Roman" w:hAnsi="Times New Roman"/>
        </w:rPr>
        <w:drawing>
          <wp:inline distT="0" distB="0" distL="114300" distR="114300">
            <wp:extent cx="4743450" cy="2771775"/>
            <wp:effectExtent l="0" t="0" r="0" b="0"/>
            <wp:docPr id="16" name="图表 2" descr="7b0a202020202263686172745265734964223a202232303437363436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09B63C5">
      <w:pPr>
        <w:spacing w:line="600" w:lineRule="exact"/>
        <w:ind w:left="0" w:firstLine="640" w:firstLineChars="200"/>
        <w:jc w:val="center"/>
        <w:rPr>
          <w:rFonts w:eastAsia="仿宋_GB2312"/>
          <w:sz w:val="32"/>
          <w:szCs w:val="32"/>
          <w:highlight w:val="none"/>
        </w:rPr>
      </w:pPr>
      <w:r>
        <w:rPr>
          <w:rFonts w:eastAsia="方正仿宋_GBK"/>
          <w:kern w:val="2"/>
          <w:sz w:val="32"/>
          <w:szCs w:val="32"/>
          <w:highlight w:val="none"/>
          <w:lang w:val="en-US" w:eastAsia="zh-CN" w:bidi="ar-SA"/>
        </w:rPr>
        <w:t>（图7：财政拨款“三公”经费支出结构）</w:t>
      </w:r>
    </w:p>
    <w:p w14:paraId="6B524A2B">
      <w:pPr>
        <w:spacing w:line="600" w:lineRule="exact"/>
        <w:ind w:left="0" w:firstLine="643" w:firstLineChars="200"/>
        <w:rPr>
          <w:rFonts w:eastAsia="方正仿宋_GBK"/>
          <w:kern w:val="2"/>
          <w:sz w:val="32"/>
          <w:szCs w:val="32"/>
          <w:highlight w:val="none"/>
          <w:lang w:val="en-US" w:eastAsia="zh-CN" w:bidi="ar-SA"/>
        </w:rPr>
      </w:pPr>
      <w:r>
        <w:rPr>
          <w:rFonts w:eastAsia="方正仿宋_GBK"/>
          <w:b/>
          <w:bCs/>
          <w:sz w:val="32"/>
          <w:szCs w:val="32"/>
          <w:lang w:val="en-US" w:eastAsia="zh-CN"/>
        </w:rPr>
        <w:t>1.</w:t>
      </w:r>
      <w:r>
        <w:rPr>
          <w:rFonts w:eastAsia="方正仿宋_GBK"/>
          <w:b/>
          <w:bCs/>
          <w:sz w:val="32"/>
          <w:szCs w:val="32"/>
        </w:rPr>
        <w:t>因公出国（境）经费支出</w:t>
      </w:r>
      <w:r>
        <w:rPr>
          <w:rFonts w:eastAsia="方正仿宋_GBK"/>
          <w:b/>
          <w:bCs/>
          <w:sz w:val="32"/>
          <w:szCs w:val="32"/>
          <w:lang w:val="en-US" w:eastAsia="zh-CN"/>
        </w:rPr>
        <w:t>0</w:t>
      </w:r>
      <w:r>
        <w:rPr>
          <w:rFonts w:eastAsia="方正仿宋_GBK"/>
          <w:b/>
          <w:bCs/>
          <w:sz w:val="32"/>
          <w:szCs w:val="32"/>
        </w:rPr>
        <w:t>万元。</w:t>
      </w:r>
      <w:r>
        <w:rPr>
          <w:rFonts w:eastAsia="方正仿宋_GBK"/>
          <w:kern w:val="2"/>
          <w:sz w:val="32"/>
          <w:szCs w:val="32"/>
          <w:highlight w:val="none"/>
          <w:lang w:val="en-US" w:eastAsia="zh-CN" w:bidi="ar-SA"/>
        </w:rPr>
        <w:t>全年安排因公出国（境）团组0次，出国（境）0人。因公出国（境）支出决算和2024年持平。</w:t>
      </w:r>
    </w:p>
    <w:p w14:paraId="400784AA">
      <w:pPr>
        <w:spacing w:line="560" w:lineRule="exact"/>
        <w:ind w:firstLine="641"/>
        <w:rPr>
          <w:rFonts w:eastAsia="方正仿宋_GBK"/>
          <w:kern w:val="2"/>
          <w:sz w:val="32"/>
          <w:szCs w:val="32"/>
          <w:highlight w:val="none"/>
          <w:lang w:val="en-US" w:eastAsia="zh-CN" w:bidi="ar-SA"/>
        </w:rPr>
      </w:pPr>
      <w:r>
        <w:rPr>
          <w:rFonts w:eastAsia="方正仿宋_GBK"/>
          <w:b/>
          <w:bCs/>
          <w:sz w:val="32"/>
          <w:szCs w:val="32"/>
        </w:rPr>
        <w:t>2.公务用车购置及运行维护费支出</w:t>
      </w:r>
      <w:r>
        <w:rPr>
          <w:rFonts w:eastAsia="方正仿宋_GBK"/>
          <w:b/>
          <w:bCs/>
          <w:sz w:val="32"/>
          <w:szCs w:val="32"/>
          <w:lang w:val="en-US" w:eastAsia="zh-CN"/>
        </w:rPr>
        <w:t>5.65</w:t>
      </w:r>
      <w:r>
        <w:rPr>
          <w:rFonts w:eastAsia="方正仿宋_GBK"/>
          <w:b/>
          <w:bCs/>
          <w:sz w:val="32"/>
          <w:szCs w:val="32"/>
        </w:rPr>
        <w:t>万元，完成预算</w:t>
      </w:r>
      <w:r>
        <w:rPr>
          <w:rFonts w:eastAsia="方正仿宋_GBK"/>
          <w:b/>
          <w:bCs/>
          <w:sz w:val="32"/>
          <w:szCs w:val="32"/>
          <w:lang w:val="en-US" w:eastAsia="zh-CN"/>
        </w:rPr>
        <w:t>100</w:t>
      </w:r>
      <w:r>
        <w:rPr>
          <w:rFonts w:eastAsia="方正仿宋_GBK"/>
          <w:b/>
          <w:bCs/>
          <w:sz w:val="32"/>
          <w:szCs w:val="32"/>
        </w:rPr>
        <w:t>%。</w:t>
      </w:r>
      <w:r>
        <w:rPr>
          <w:rFonts w:eastAsia="方正仿宋_GBK"/>
          <w:kern w:val="2"/>
          <w:sz w:val="32"/>
          <w:szCs w:val="32"/>
          <w:highlight w:val="none"/>
          <w:lang w:val="en-US" w:eastAsia="zh-CN" w:bidi="ar-SA"/>
        </w:rPr>
        <w:t>公务用车购置及运行维护费支出决算比上年度下降0.01万元，下降0.</w:t>
      </w:r>
      <w:r>
        <w:rPr>
          <w:rFonts w:hint="eastAsia" w:eastAsia="方正仿宋_GBK"/>
          <w:kern w:val="2"/>
          <w:sz w:val="32"/>
          <w:szCs w:val="32"/>
          <w:highlight w:val="none"/>
          <w:lang w:val="en-US" w:eastAsia="zh-CN" w:bidi="ar-SA"/>
        </w:rPr>
        <w:t>2</w:t>
      </w:r>
      <w:r>
        <w:rPr>
          <w:rFonts w:eastAsia="方正仿宋_GBK"/>
          <w:kern w:val="2"/>
          <w:sz w:val="32"/>
          <w:szCs w:val="32"/>
          <w:highlight w:val="none"/>
          <w:lang w:val="en-US" w:eastAsia="zh-CN" w:bidi="ar-SA"/>
        </w:rPr>
        <w:t>%。与上年基本持平。</w:t>
      </w:r>
    </w:p>
    <w:p w14:paraId="2DCBE215">
      <w:pPr>
        <w:spacing w:line="560" w:lineRule="exact"/>
        <w:ind w:firstLine="641"/>
        <w:rPr>
          <w:rFonts w:eastAsia="方正仿宋_GBK"/>
          <w:kern w:val="2"/>
          <w:sz w:val="32"/>
          <w:szCs w:val="32"/>
          <w:highlight w:val="none"/>
          <w:lang w:val="en-US" w:eastAsia="zh-CN" w:bidi="ar-SA"/>
        </w:rPr>
      </w:pPr>
      <w:r>
        <w:rPr>
          <w:rFonts w:eastAsia="方正仿宋_GBK"/>
          <w:kern w:val="2"/>
          <w:sz w:val="32"/>
          <w:szCs w:val="32"/>
          <w:highlight w:val="none"/>
          <w:lang w:val="en-US" w:eastAsia="zh-CN" w:bidi="ar-SA"/>
        </w:rPr>
        <w:t>其中：公务用车购置支出0万元。全年按规定更新购置公务用车0辆，其中：轿车0辆、金额0万元，越野车0辆、金额0万元，载客汽车0辆、金额0万元。截至2025年12月31日，单位共有公务用车2辆，其中：越野车2辆。</w:t>
      </w:r>
    </w:p>
    <w:p w14:paraId="2CD4A474">
      <w:pPr>
        <w:spacing w:line="560" w:lineRule="exact"/>
        <w:ind w:firstLine="641"/>
        <w:rPr>
          <w:rFonts w:eastAsia="仿宋_GB2312"/>
          <w:sz w:val="32"/>
          <w:szCs w:val="32"/>
        </w:rPr>
      </w:pPr>
      <w:r>
        <w:rPr>
          <w:rFonts w:eastAsia="方正仿宋_GBK"/>
          <w:kern w:val="2"/>
          <w:sz w:val="32"/>
          <w:szCs w:val="32"/>
          <w:highlight w:val="none"/>
          <w:lang w:val="en-US" w:eastAsia="zh-CN" w:bidi="ar-SA"/>
        </w:rPr>
        <w:t>公务用车运行维护费支出5.65万元。主要用于保障社会救助、社会事务、社会福利、养老等业务工作开展和森林草原防灭火督导、安全检查、工作调研等所需的公务用车燃料费、维修费、过路过桥费、保险费等支出。</w:t>
      </w:r>
    </w:p>
    <w:p w14:paraId="0A55B4CF">
      <w:pPr>
        <w:spacing w:line="560" w:lineRule="exact"/>
        <w:ind w:firstLine="641"/>
        <w:rPr>
          <w:rFonts w:eastAsia="方正仿宋_GBK"/>
          <w:kern w:val="2"/>
          <w:sz w:val="32"/>
          <w:szCs w:val="32"/>
          <w:highlight w:val="none"/>
          <w:lang w:val="en-US" w:eastAsia="zh-CN" w:bidi="ar-SA"/>
        </w:rPr>
      </w:pPr>
      <w:r>
        <w:rPr>
          <w:rFonts w:eastAsia="方正仿宋_GBK"/>
          <w:b/>
          <w:bCs/>
          <w:sz w:val="32"/>
          <w:szCs w:val="32"/>
        </w:rPr>
        <w:t>3.公务接待费支出</w:t>
      </w:r>
      <w:r>
        <w:rPr>
          <w:rFonts w:eastAsia="方正仿宋_GBK"/>
          <w:b/>
          <w:bCs/>
          <w:sz w:val="32"/>
          <w:szCs w:val="32"/>
          <w:lang w:val="en-US" w:eastAsia="zh-CN"/>
        </w:rPr>
        <w:t>0.43</w:t>
      </w:r>
      <w:r>
        <w:rPr>
          <w:rFonts w:eastAsia="方正仿宋_GBK"/>
          <w:b/>
          <w:bCs/>
          <w:sz w:val="32"/>
          <w:szCs w:val="32"/>
        </w:rPr>
        <w:t>万元，完成预算</w:t>
      </w:r>
      <w:r>
        <w:rPr>
          <w:rFonts w:eastAsia="方正仿宋_GBK"/>
          <w:b/>
          <w:bCs/>
          <w:sz w:val="32"/>
          <w:szCs w:val="32"/>
          <w:lang w:val="en-US" w:eastAsia="zh-CN"/>
        </w:rPr>
        <w:t>100</w:t>
      </w:r>
      <w:r>
        <w:rPr>
          <w:rFonts w:eastAsia="方正仿宋_GBK"/>
          <w:b/>
          <w:bCs/>
          <w:sz w:val="32"/>
          <w:szCs w:val="32"/>
        </w:rPr>
        <w:t>%。</w:t>
      </w:r>
      <w:r>
        <w:rPr>
          <w:rFonts w:eastAsia="仿宋_GB2312"/>
          <w:sz w:val="32"/>
          <w:szCs w:val="32"/>
        </w:rPr>
        <w:t>公务接</w:t>
      </w:r>
      <w:r>
        <w:rPr>
          <w:rFonts w:eastAsia="方正仿宋_GBK"/>
          <w:kern w:val="2"/>
          <w:sz w:val="32"/>
          <w:szCs w:val="32"/>
          <w:highlight w:val="none"/>
          <w:lang w:val="en-US" w:eastAsia="zh-CN" w:bidi="ar-SA"/>
        </w:rPr>
        <w:t>待费支出决算比上年度减少0.89万元，下降62.2%。主要原因是来攀接待人次减少。其中：</w:t>
      </w:r>
    </w:p>
    <w:p w14:paraId="5A49EF5E">
      <w:pPr>
        <w:spacing w:line="560" w:lineRule="exact"/>
        <w:ind w:firstLine="641"/>
        <w:rPr>
          <w:rFonts w:eastAsia="方正仿宋_GBK"/>
          <w:kern w:val="2"/>
          <w:sz w:val="32"/>
          <w:szCs w:val="32"/>
          <w:highlight w:val="none"/>
          <w:lang w:val="en-US" w:eastAsia="zh-CN" w:bidi="ar-SA"/>
        </w:rPr>
      </w:pPr>
      <w:r>
        <w:rPr>
          <w:rFonts w:eastAsia="方正仿宋_GBK"/>
          <w:kern w:val="2"/>
          <w:sz w:val="32"/>
          <w:szCs w:val="32"/>
          <w:highlight w:val="none"/>
          <w:lang w:val="en-US" w:eastAsia="zh-CN" w:bidi="ar-SA"/>
        </w:rPr>
        <w:t>国内公务接待支出0万元，主要用于上级部门来我局开展调研、执行公务工作开支的用餐费。国内公务接待4批次，28人次（不包括陪同人员），共计支出0.43万元。</w:t>
      </w:r>
    </w:p>
    <w:p w14:paraId="76C9A66D">
      <w:pPr>
        <w:spacing w:line="560" w:lineRule="exact"/>
        <w:ind w:firstLine="641"/>
        <w:rPr>
          <w:rFonts w:eastAsia="方正仿宋_GBK"/>
          <w:kern w:val="2"/>
          <w:sz w:val="32"/>
          <w:szCs w:val="32"/>
          <w:highlight w:val="none"/>
          <w:lang w:val="en-US" w:eastAsia="zh-CN" w:bidi="ar-SA"/>
        </w:rPr>
      </w:pPr>
      <w:r>
        <w:rPr>
          <w:rFonts w:eastAsia="方正仿宋_GBK"/>
          <w:kern w:val="2"/>
          <w:sz w:val="32"/>
          <w:szCs w:val="32"/>
          <w:highlight w:val="none"/>
          <w:lang w:val="en-US" w:eastAsia="zh-CN" w:bidi="ar-SA"/>
        </w:rPr>
        <w:t>外事接待支出0万元。外事接待0批次，0人次（不包括陪同人员），共计支出0万元。</w:t>
      </w:r>
      <w:bookmarkStart w:id="36" w:name="_Toc15396610"/>
      <w:bookmarkStart w:id="37" w:name="_Toc15377218"/>
    </w:p>
    <w:p w14:paraId="035033FC">
      <w:pPr>
        <w:tabs>
          <w:tab w:val="right" w:pos="8306"/>
        </w:tabs>
        <w:spacing w:line="600" w:lineRule="exact"/>
        <w:ind w:firstLine="640"/>
        <w:outlineLvl w:val="1"/>
        <w:rPr>
          <w:rFonts w:eastAsia="方正黑体_GBK"/>
          <w:b w:val="0"/>
          <w:bCs w:val="0"/>
          <w:color w:val="auto"/>
          <w:kern w:val="2"/>
          <w:sz w:val="32"/>
          <w:szCs w:val="32"/>
          <w:lang w:val="en-US" w:eastAsia="zh-CN" w:bidi="ar-SA"/>
        </w:rPr>
      </w:pPr>
      <w:r>
        <w:rPr>
          <w:rFonts w:eastAsia="方正黑体_GBK"/>
          <w:b w:val="0"/>
          <w:bCs w:val="0"/>
          <w:color w:val="auto"/>
          <w:kern w:val="2"/>
          <w:sz w:val="32"/>
          <w:szCs w:val="32"/>
          <w:lang w:val="en-US" w:eastAsia="zh-CN" w:bidi="ar-SA"/>
        </w:rPr>
        <w:t>八、政府性基金预算支出决算情况说明</w:t>
      </w:r>
      <w:bookmarkEnd w:id="36"/>
      <w:bookmarkEnd w:id="37"/>
    </w:p>
    <w:p w14:paraId="7CEF5DCC">
      <w:pPr>
        <w:spacing w:line="560" w:lineRule="exact"/>
        <w:ind w:firstLine="641"/>
        <w:rPr>
          <w:rFonts w:eastAsia="仿宋_GB2312"/>
          <w:sz w:val="32"/>
          <w:szCs w:val="32"/>
          <w:lang w:eastAsia="zh-CN"/>
        </w:rPr>
      </w:pPr>
      <w:r>
        <w:rPr>
          <w:rFonts w:eastAsia="方正仿宋_GBK"/>
          <w:kern w:val="2"/>
          <w:sz w:val="32"/>
          <w:szCs w:val="32"/>
          <w:highlight w:val="none"/>
          <w:lang w:val="en-US" w:eastAsia="zh-CN" w:bidi="ar-SA"/>
        </w:rPr>
        <w:t>2025年度政府性基金预算财政拨款支出176.8万元，占本年支出合计的15.3%。与上年度相比，政府性基金预算财政拨款支出减少107.93万元，下降37.9%。主要变动原因是中省项目比上年度减少。</w:t>
      </w:r>
    </w:p>
    <w:p w14:paraId="570C1155">
      <w:pPr>
        <w:tabs>
          <w:tab w:val="right" w:pos="8306"/>
        </w:tabs>
        <w:spacing w:line="600" w:lineRule="exact"/>
        <w:ind w:firstLine="640"/>
        <w:outlineLvl w:val="1"/>
        <w:rPr>
          <w:rFonts w:eastAsia="方正黑体_GBK"/>
          <w:b w:val="0"/>
          <w:bCs w:val="0"/>
          <w:color w:val="auto"/>
          <w:kern w:val="2"/>
          <w:sz w:val="32"/>
          <w:szCs w:val="32"/>
          <w:lang w:val="en-US" w:eastAsia="zh-CN" w:bidi="ar-SA"/>
        </w:rPr>
      </w:pPr>
      <w:bookmarkStart w:id="38" w:name="_Toc15396611"/>
      <w:bookmarkStart w:id="39" w:name="_Toc15377219"/>
      <w:r>
        <w:rPr>
          <w:rFonts w:eastAsia="方正黑体_GBK"/>
          <w:b w:val="0"/>
          <w:bCs w:val="0"/>
          <w:color w:val="auto"/>
          <w:kern w:val="2"/>
          <w:sz w:val="32"/>
          <w:szCs w:val="32"/>
          <w:lang w:val="en-US" w:eastAsia="zh-CN" w:bidi="ar-SA"/>
        </w:rPr>
        <w:t>九、国有资本经营预算支出决算情况说明</w:t>
      </w:r>
      <w:bookmarkEnd w:id="38"/>
      <w:bookmarkEnd w:id="39"/>
    </w:p>
    <w:p w14:paraId="0AA9A257">
      <w:pPr>
        <w:spacing w:line="560" w:lineRule="exact"/>
        <w:ind w:firstLine="641"/>
        <w:rPr>
          <w:rFonts w:eastAsia="方正仿宋_GBK"/>
          <w:kern w:val="2"/>
          <w:sz w:val="32"/>
          <w:szCs w:val="32"/>
          <w:highlight w:val="none"/>
          <w:lang w:val="en-US" w:eastAsia="zh-CN" w:bidi="ar-SA"/>
        </w:rPr>
      </w:pPr>
      <w:r>
        <w:rPr>
          <w:rFonts w:eastAsia="方正仿宋_GBK"/>
          <w:kern w:val="2"/>
          <w:sz w:val="32"/>
          <w:szCs w:val="32"/>
          <w:highlight w:val="none"/>
          <w:lang w:val="en-US" w:eastAsia="zh-CN" w:bidi="ar-SA"/>
        </w:rPr>
        <w:t>2025年度国有资本经营预算财政拨款支出0万元，占本年支出合计的0%。与上年度相比，国有资本经营预算财政拨款支出与上年持平。</w:t>
      </w:r>
    </w:p>
    <w:p w14:paraId="5FA3459A">
      <w:pPr>
        <w:tabs>
          <w:tab w:val="right" w:pos="8306"/>
        </w:tabs>
        <w:spacing w:line="600" w:lineRule="exact"/>
        <w:ind w:firstLine="640"/>
        <w:outlineLvl w:val="1"/>
        <w:rPr>
          <w:rFonts w:eastAsia="方正黑体_GBK"/>
          <w:b w:val="0"/>
          <w:bCs w:val="0"/>
          <w:color w:val="auto"/>
          <w:kern w:val="2"/>
          <w:sz w:val="32"/>
          <w:szCs w:val="32"/>
          <w:lang w:val="en-US" w:eastAsia="zh-CN" w:bidi="ar-SA"/>
        </w:rPr>
      </w:pPr>
      <w:bookmarkStart w:id="40" w:name="_Toc15377221"/>
      <w:bookmarkStart w:id="41" w:name="_Toc15396612"/>
      <w:r>
        <w:rPr>
          <w:rFonts w:eastAsia="方正黑体_GBK"/>
          <w:b w:val="0"/>
          <w:bCs w:val="0"/>
          <w:color w:val="auto"/>
          <w:kern w:val="2"/>
          <w:sz w:val="32"/>
          <w:szCs w:val="32"/>
          <w:lang w:val="en-US" w:eastAsia="zh-CN" w:bidi="ar-SA"/>
        </w:rPr>
        <w:t>十、其他重要事项的情况说明</w:t>
      </w:r>
      <w:bookmarkEnd w:id="40"/>
      <w:bookmarkEnd w:id="41"/>
    </w:p>
    <w:p w14:paraId="163A3646">
      <w:pPr>
        <w:pageBreakBefore w:val="0"/>
        <w:widowControl w:val="0"/>
        <w:kinsoku/>
        <w:wordWrap/>
        <w:overflowPunct/>
        <w:topLinePunct w:val="0"/>
        <w:autoSpaceDE/>
        <w:autoSpaceDN/>
        <w:bidi w:val="0"/>
        <w:adjustRightInd w:val="0"/>
        <w:snapToGrid w:val="0"/>
        <w:spacing w:line="560" w:lineRule="exact"/>
        <w:ind w:firstLine="643" w:firstLineChars="200"/>
        <w:rPr>
          <w:rFonts w:eastAsia="方正楷体_GBK"/>
          <w:b/>
          <w:bCs/>
          <w:color w:val="auto"/>
          <w:kern w:val="2"/>
          <w:sz w:val="32"/>
          <w:szCs w:val="32"/>
          <w:shd w:val="clear" w:color="auto" w:fill="auto"/>
          <w:lang w:val="zh-CN" w:eastAsia="zh-CN" w:bidi="ar-SA"/>
        </w:rPr>
      </w:pPr>
      <w:bookmarkStart w:id="42" w:name="_Toc15377222"/>
      <w:r>
        <w:rPr>
          <w:rFonts w:eastAsia="方正楷体_GBK"/>
          <w:b/>
          <w:bCs/>
          <w:color w:val="auto"/>
          <w:kern w:val="2"/>
          <w:sz w:val="32"/>
          <w:szCs w:val="32"/>
          <w:shd w:val="clear" w:color="auto" w:fill="auto"/>
          <w:lang w:val="zh-CN" w:eastAsia="zh-CN" w:bidi="ar-SA"/>
        </w:rPr>
        <w:t>（一）机关运行经费支出情况</w:t>
      </w:r>
      <w:bookmarkEnd w:id="42"/>
    </w:p>
    <w:p w14:paraId="0913B829">
      <w:pPr>
        <w:spacing w:line="560" w:lineRule="exact"/>
        <w:ind w:firstLine="641"/>
        <w:rPr>
          <w:rFonts w:eastAsia="方正仿宋_GBK"/>
          <w:kern w:val="2"/>
          <w:sz w:val="32"/>
          <w:szCs w:val="32"/>
          <w:highlight w:val="none"/>
          <w:lang w:val="en-US" w:eastAsia="zh-CN" w:bidi="ar-SA"/>
        </w:rPr>
      </w:pPr>
      <w:r>
        <w:rPr>
          <w:rFonts w:eastAsia="方正仿宋_GBK"/>
          <w:kern w:val="2"/>
          <w:sz w:val="32"/>
          <w:szCs w:val="32"/>
          <w:highlight w:val="none"/>
          <w:lang w:val="en-US" w:eastAsia="zh-CN" w:bidi="ar-SA"/>
        </w:rPr>
        <w:t>2025年度，四川省攀枝花市民政局（本级）机关运行经费支出94.08万元，比上年度减少39.76万元，下降29.7%。主要原因是基本支出比上年减少。</w:t>
      </w:r>
    </w:p>
    <w:p w14:paraId="3446FD6F">
      <w:pPr>
        <w:pageBreakBefore w:val="0"/>
        <w:widowControl w:val="0"/>
        <w:kinsoku/>
        <w:wordWrap/>
        <w:overflowPunct/>
        <w:topLinePunct w:val="0"/>
        <w:autoSpaceDE/>
        <w:autoSpaceDN/>
        <w:bidi w:val="0"/>
        <w:adjustRightInd w:val="0"/>
        <w:snapToGrid w:val="0"/>
        <w:spacing w:line="560" w:lineRule="exact"/>
        <w:ind w:firstLine="643" w:firstLineChars="200"/>
        <w:rPr>
          <w:rFonts w:eastAsia="方正楷体_GBK"/>
          <w:b/>
          <w:bCs/>
          <w:color w:val="auto"/>
          <w:kern w:val="2"/>
          <w:sz w:val="32"/>
          <w:szCs w:val="32"/>
          <w:shd w:val="clear" w:color="auto" w:fill="auto"/>
          <w:lang w:val="zh-CN" w:eastAsia="zh-CN" w:bidi="ar-SA"/>
        </w:rPr>
      </w:pPr>
      <w:bookmarkStart w:id="43" w:name="_Toc15377223"/>
      <w:r>
        <w:rPr>
          <w:rFonts w:eastAsia="方正楷体_GBK"/>
          <w:b/>
          <w:bCs/>
          <w:color w:val="auto"/>
          <w:kern w:val="2"/>
          <w:sz w:val="32"/>
          <w:szCs w:val="32"/>
          <w:shd w:val="clear" w:color="auto" w:fill="auto"/>
          <w:lang w:val="zh-CN" w:eastAsia="zh-CN" w:bidi="ar-SA"/>
        </w:rPr>
        <w:t>（二）政府采购支出情况</w:t>
      </w:r>
      <w:bookmarkEnd w:id="43"/>
    </w:p>
    <w:p w14:paraId="3DAB1B81">
      <w:pPr>
        <w:spacing w:line="560" w:lineRule="exact"/>
        <w:ind w:firstLine="641"/>
        <w:rPr>
          <w:rFonts w:eastAsia="方正仿宋_GBK"/>
          <w:kern w:val="2"/>
          <w:sz w:val="32"/>
          <w:szCs w:val="32"/>
          <w:highlight w:val="none"/>
          <w:lang w:val="en-US" w:eastAsia="zh-CN" w:bidi="ar-SA"/>
        </w:rPr>
      </w:pPr>
      <w:r>
        <w:rPr>
          <w:rFonts w:eastAsia="方正仿宋_GBK"/>
          <w:kern w:val="2"/>
          <w:sz w:val="32"/>
          <w:szCs w:val="32"/>
          <w:highlight w:val="none"/>
          <w:lang w:val="en-US" w:eastAsia="zh-CN" w:bidi="ar-SA"/>
        </w:rPr>
        <w:t>2025年度，四川省攀枝花市民政局（本级）政府采购支出总额5.34万元，其中：政府采购货物支出0万元、政府采购工程支出0万元、政府采购服务支出5.34万元。主要用于公务车维修及油料费。授予中小企业合同金额1.84万元，占政府采购支出总额的34.4%，其中：授予小微企业合同金额1.84万元，占政府采购支出总额的34.4%。</w:t>
      </w:r>
    </w:p>
    <w:p w14:paraId="0941E68D">
      <w:pPr>
        <w:pageBreakBefore w:val="0"/>
        <w:widowControl w:val="0"/>
        <w:kinsoku/>
        <w:wordWrap/>
        <w:overflowPunct/>
        <w:topLinePunct w:val="0"/>
        <w:autoSpaceDE/>
        <w:autoSpaceDN/>
        <w:bidi w:val="0"/>
        <w:adjustRightInd w:val="0"/>
        <w:snapToGrid w:val="0"/>
        <w:spacing w:line="560" w:lineRule="exact"/>
        <w:ind w:firstLine="643" w:firstLineChars="200"/>
        <w:rPr>
          <w:rFonts w:eastAsia="方正楷体_GBK"/>
          <w:b/>
          <w:bCs/>
          <w:color w:val="auto"/>
          <w:kern w:val="2"/>
          <w:sz w:val="32"/>
          <w:szCs w:val="32"/>
          <w:shd w:val="clear" w:color="auto" w:fill="auto"/>
          <w:lang w:val="zh-CN" w:eastAsia="zh-CN" w:bidi="ar-SA"/>
        </w:rPr>
      </w:pPr>
      <w:bookmarkStart w:id="44" w:name="_Toc15377224"/>
      <w:r>
        <w:rPr>
          <w:rFonts w:eastAsia="方正楷体_GBK"/>
          <w:b/>
          <w:bCs/>
          <w:color w:val="auto"/>
          <w:kern w:val="2"/>
          <w:sz w:val="32"/>
          <w:szCs w:val="32"/>
          <w:shd w:val="clear" w:color="auto" w:fill="auto"/>
          <w:lang w:val="zh-CN" w:eastAsia="zh-CN" w:bidi="ar-SA"/>
        </w:rPr>
        <w:t>（三）国有资产占有使用情况</w:t>
      </w:r>
      <w:bookmarkEnd w:id="44"/>
    </w:p>
    <w:p w14:paraId="0301378E">
      <w:pPr>
        <w:spacing w:line="560" w:lineRule="exact"/>
        <w:ind w:firstLine="641"/>
        <w:rPr>
          <w:rFonts w:eastAsia="方正仿宋_GBK"/>
          <w:kern w:val="2"/>
          <w:sz w:val="32"/>
          <w:szCs w:val="32"/>
          <w:highlight w:val="none"/>
          <w:lang w:val="en-US" w:eastAsia="zh-CN" w:bidi="ar-SA"/>
        </w:rPr>
      </w:pPr>
      <w:r>
        <w:rPr>
          <w:rFonts w:eastAsia="方正仿宋_GBK"/>
          <w:kern w:val="2"/>
          <w:sz w:val="32"/>
          <w:szCs w:val="32"/>
          <w:highlight w:val="none"/>
          <w:lang w:val="en-US" w:eastAsia="zh-CN" w:bidi="ar-SA"/>
        </w:rPr>
        <w:t>截至2025年12月31日，四川省攀枝花市民政局（本级）共有车辆2辆，其中：主要负责人用车0辆、机要通信用车0辆、应急保障用车0辆、其他用车2辆，单价100万元（含）以上设备（不含车辆）0台（套）。</w:t>
      </w:r>
    </w:p>
    <w:p w14:paraId="466FA7A7">
      <w:pPr>
        <w:pageBreakBefore w:val="0"/>
        <w:widowControl w:val="0"/>
        <w:kinsoku/>
        <w:wordWrap/>
        <w:overflowPunct/>
        <w:topLinePunct w:val="0"/>
        <w:autoSpaceDE/>
        <w:autoSpaceDN/>
        <w:bidi w:val="0"/>
        <w:adjustRightInd w:val="0"/>
        <w:snapToGrid w:val="0"/>
        <w:spacing w:line="560" w:lineRule="exact"/>
        <w:ind w:firstLine="643" w:firstLineChars="200"/>
        <w:rPr>
          <w:rFonts w:eastAsia="方正楷体_GBK"/>
          <w:b/>
          <w:bCs/>
          <w:color w:val="auto"/>
          <w:kern w:val="2"/>
          <w:sz w:val="32"/>
          <w:szCs w:val="32"/>
          <w:shd w:val="clear" w:color="auto" w:fill="auto"/>
          <w:lang w:val="zh-CN" w:eastAsia="zh-CN" w:bidi="ar-SA"/>
        </w:rPr>
      </w:pPr>
      <w:r>
        <w:rPr>
          <w:rFonts w:eastAsia="方正楷体_GBK"/>
          <w:b/>
          <w:bCs/>
          <w:color w:val="auto"/>
          <w:kern w:val="2"/>
          <w:sz w:val="32"/>
          <w:szCs w:val="32"/>
          <w:shd w:val="clear" w:color="auto" w:fill="auto"/>
          <w:lang w:val="zh-CN" w:eastAsia="zh-CN" w:bidi="ar-SA"/>
        </w:rPr>
        <w:t>（四）预算绩效管理情况</w:t>
      </w:r>
    </w:p>
    <w:p w14:paraId="13A55F24">
      <w:pPr>
        <w:spacing w:line="560" w:lineRule="exact"/>
        <w:ind w:firstLine="641"/>
        <w:rPr>
          <w:rFonts w:eastAsia="方正仿宋_GBK"/>
          <w:kern w:val="2"/>
          <w:sz w:val="32"/>
          <w:szCs w:val="32"/>
          <w:highlight w:val="none"/>
          <w:lang w:val="en-US" w:eastAsia="zh-CN" w:bidi="ar-SA"/>
        </w:rPr>
      </w:pPr>
      <w:r>
        <w:rPr>
          <w:rFonts w:eastAsia="方正仿宋_GBK"/>
          <w:kern w:val="2"/>
          <w:sz w:val="32"/>
          <w:szCs w:val="32"/>
          <w:highlight w:val="none"/>
          <w:lang w:val="en-US" w:eastAsia="zh-CN" w:bidi="ar-SA"/>
        </w:rPr>
        <w:t>根据预算绩效管理要求，四川省攀枝花市民政局（本级）在2025年度，组织对会理康复院麻风病人生活补助、2025年走访慰问和困难群众临时生活补助、慈善福利事业发展经费等25个项目涉及金额108.34万元开展了事前绩效评估，对25个项目编制了绩效目标，预算执行过程中，选取25个项目开展绩效监控。</w:t>
      </w:r>
    </w:p>
    <w:p w14:paraId="4379439F">
      <w:pPr>
        <w:keepNext w:val="0"/>
        <w:keepLines w:val="0"/>
        <w:pageBreakBefore w:val="0"/>
        <w:widowControl w:val="0"/>
        <w:kinsoku/>
        <w:wordWrap/>
        <w:overflowPunct/>
        <w:topLinePunct w:val="0"/>
        <w:autoSpaceDE/>
        <w:autoSpaceDN/>
        <w:bidi w:val="0"/>
        <w:spacing w:line="560" w:lineRule="exact"/>
        <w:ind w:firstLine="640"/>
        <w:textAlignment w:val="auto"/>
        <w:rPr>
          <w:rFonts w:eastAsia="方正仿宋_GBK"/>
          <w:kern w:val="2"/>
          <w:sz w:val="32"/>
          <w:szCs w:val="32"/>
          <w:highlight w:val="none"/>
          <w:lang w:val="en-US" w:eastAsia="zh-CN" w:bidi="ar-SA"/>
        </w:rPr>
      </w:pPr>
      <w:r>
        <w:rPr>
          <w:rFonts w:eastAsia="方正仿宋_GBK"/>
          <w:kern w:val="2"/>
          <w:sz w:val="32"/>
          <w:szCs w:val="32"/>
          <w:highlight w:val="none"/>
          <w:lang w:val="en-US" w:eastAsia="zh-CN" w:bidi="ar-SA"/>
        </w:rPr>
        <w:t>组织对2025年度一般公共预算、政府性基金预算等全面开展绩效自评，形成《攀枝花市民政局关于</w:t>
      </w:r>
      <w:r>
        <w:rPr>
          <w:rFonts w:eastAsia="方正仿宋_GBK"/>
          <w:kern w:val="2"/>
          <w:sz w:val="32"/>
          <w:szCs w:val="32"/>
          <w:highlight w:val="none"/>
          <w:lang w:val="en-US" w:bidi="ar-SA"/>
        </w:rPr>
        <w:t>202</w:t>
      </w:r>
      <w:r>
        <w:rPr>
          <w:rFonts w:eastAsia="方正仿宋_GBK"/>
          <w:kern w:val="2"/>
          <w:sz w:val="32"/>
          <w:szCs w:val="32"/>
          <w:highlight w:val="none"/>
          <w:lang w:val="en-US" w:eastAsia="zh-CN" w:bidi="ar-SA"/>
        </w:rPr>
        <w:t>5</w:t>
      </w:r>
      <w:r>
        <w:rPr>
          <w:rFonts w:eastAsia="方正仿宋_GBK"/>
          <w:kern w:val="2"/>
          <w:sz w:val="32"/>
          <w:szCs w:val="32"/>
          <w:highlight w:val="none"/>
          <w:lang w:val="en-US" w:bidi="ar-SA"/>
        </w:rPr>
        <w:t>年困难群众救助资金</w:t>
      </w:r>
      <w:r>
        <w:rPr>
          <w:rFonts w:eastAsia="方正仿宋_GBK"/>
          <w:kern w:val="2"/>
          <w:sz w:val="32"/>
          <w:szCs w:val="32"/>
          <w:highlight w:val="none"/>
          <w:lang w:val="en-US" w:eastAsia="zh-CN" w:bidi="ar-SA"/>
        </w:rPr>
        <w:t>支出绩效自评报告》《攀枝花市民政局关于2025年养老服务发展补助资金专项绩效自评情况的报告》《攀枝花市民政局关于2025年民政事业补助资金专项绩效自评情况的报告》等专项预算项目绩效自评报告。其中，</w:t>
      </w:r>
      <w:r>
        <w:rPr>
          <w:rFonts w:eastAsia="方正仿宋_GBK"/>
          <w:kern w:val="2"/>
          <w:sz w:val="32"/>
          <w:szCs w:val="32"/>
          <w:highlight w:val="none"/>
          <w:lang w:val="zh-CN" w:eastAsia="zh-CN" w:bidi="ar-SA"/>
        </w:rPr>
        <w:t>困难群众救助补助</w:t>
      </w:r>
      <w:r>
        <w:rPr>
          <w:rFonts w:eastAsia="方正仿宋_GBK"/>
          <w:kern w:val="2"/>
          <w:sz w:val="32"/>
          <w:szCs w:val="32"/>
          <w:highlight w:val="none"/>
          <w:lang w:val="en-US" w:eastAsia="zh-CN" w:bidi="ar-SA"/>
        </w:rPr>
        <w:t>专项绩效部门预算（含部门预算项目）绩效自评得分为100分，绩效自评综述</w:t>
      </w:r>
      <w:r>
        <w:rPr>
          <w:rFonts w:eastAsia="方正仿宋_GBK"/>
          <w:kern w:val="2"/>
          <w:sz w:val="32"/>
          <w:szCs w:val="32"/>
          <w:highlight w:val="none"/>
          <w:lang w:val="zh-CN" w:eastAsia="zh-CN" w:bidi="ar-SA"/>
        </w:rPr>
        <w:t>困难群众救助补助资金绩效目标明确，管理制度健全，资金到位及时，全面实现绩效目标，困难群众基本生活得到较好保障，促进了经济发展和社会和谐，积极助力共同富裕试验区建设。</w:t>
      </w:r>
    </w:p>
    <w:p w14:paraId="4F50CCEC">
      <w:pPr>
        <w:spacing w:line="600" w:lineRule="exact"/>
        <w:jc w:val="center"/>
        <w:outlineLvl w:val="0"/>
        <w:rPr>
          <w:rFonts w:ascii="Times New Roman" w:hAnsi="Times New Roman" w:eastAsia="方正小标宋_GBK" w:cs="Times New Roman"/>
          <w:b/>
          <w:bCs/>
          <w:kern w:val="44"/>
          <w:sz w:val="44"/>
          <w:szCs w:val="44"/>
          <w:lang w:val="en-US" w:eastAsia="zh-CN" w:bidi="ar-SA"/>
        </w:rPr>
      </w:pPr>
      <w:bookmarkStart w:id="45" w:name="_Toc15377225"/>
      <w:bookmarkStart w:id="46" w:name="_Toc15396613"/>
      <w:r>
        <w:rPr>
          <w:rFonts w:ascii="Times New Roman" w:hAnsi="Times New Roman" w:eastAsia="方正小标宋_GBK" w:cs="Times New Roman"/>
          <w:b/>
          <w:bCs/>
          <w:kern w:val="44"/>
          <w:sz w:val="44"/>
          <w:szCs w:val="44"/>
          <w:lang w:val="en-US" w:eastAsia="zh-CN" w:bidi="ar-SA"/>
        </w:rPr>
        <w:t>第三部分  名词解释</w:t>
      </w:r>
      <w:bookmarkEnd w:id="45"/>
      <w:bookmarkEnd w:id="46"/>
    </w:p>
    <w:p w14:paraId="58F68B0F">
      <w:pPr>
        <w:spacing w:line="600" w:lineRule="exact"/>
        <w:jc w:val="left"/>
        <w:rPr>
          <w:b/>
          <w:sz w:val="44"/>
          <w:szCs w:val="44"/>
        </w:rPr>
      </w:pPr>
    </w:p>
    <w:p w14:paraId="2E28C969">
      <w:pPr>
        <w:spacing w:line="560" w:lineRule="exact"/>
        <w:ind w:firstLine="641"/>
        <w:rPr>
          <w:rFonts w:eastAsia="方正仿宋_GBK"/>
          <w:kern w:val="2"/>
          <w:sz w:val="32"/>
          <w:szCs w:val="32"/>
          <w:highlight w:val="none"/>
          <w:lang w:val="en-US" w:eastAsia="zh-CN" w:bidi="ar-SA"/>
        </w:rPr>
      </w:pPr>
      <w:r>
        <w:rPr>
          <w:rFonts w:eastAsia="方正仿宋_GBK"/>
          <w:kern w:val="2"/>
          <w:sz w:val="32"/>
          <w:szCs w:val="32"/>
          <w:highlight w:val="none"/>
          <w:lang w:val="en-US" w:eastAsia="zh-CN" w:bidi="ar-SA"/>
        </w:rPr>
        <w:t>1.财政拨款收入：指单位从同级财政部门取得的财政预算资金。</w:t>
      </w:r>
    </w:p>
    <w:p w14:paraId="2D2A5EFA">
      <w:pPr>
        <w:pageBreakBefore w:val="0"/>
        <w:widowControl w:val="0"/>
        <w:kinsoku/>
        <w:wordWrap/>
        <w:overflowPunct/>
        <w:topLinePunct w:val="0"/>
        <w:autoSpaceDE/>
        <w:autoSpaceDN/>
        <w:bidi w:val="0"/>
        <w:adjustRightInd w:val="0"/>
        <w:snapToGrid w:val="0"/>
        <w:spacing w:line="560" w:lineRule="exact"/>
        <w:ind w:firstLine="640" w:firstLineChars="200"/>
        <w:rPr>
          <w:rFonts w:eastAsia="方正仿宋_GBK"/>
          <w:kern w:val="2"/>
          <w:sz w:val="32"/>
          <w:szCs w:val="32"/>
          <w:highlight w:val="none"/>
          <w:lang w:val="en-US" w:eastAsia="zh-CN" w:bidi="ar-SA"/>
        </w:rPr>
      </w:pPr>
      <w:r>
        <w:rPr>
          <w:rFonts w:eastAsia="方正仿宋_GBK"/>
          <w:kern w:val="2"/>
          <w:sz w:val="32"/>
          <w:szCs w:val="32"/>
          <w:highlight w:val="none"/>
          <w:lang w:val="en-US" w:eastAsia="zh-CN" w:bidi="ar-SA"/>
        </w:rPr>
        <w:t>2.社会保障和就业（类）行政事业单位养老支出（款）机关事业单位基本养老保险缴费支出（项）：反映机关事业单位实施养老保险制度由单位缴纳的基本保险费支出。</w:t>
      </w:r>
    </w:p>
    <w:p w14:paraId="0B0ECDC2">
      <w:pPr>
        <w:spacing w:line="560" w:lineRule="exact"/>
        <w:ind w:firstLine="641"/>
        <w:rPr>
          <w:rFonts w:eastAsia="方正仿宋_GBK"/>
          <w:kern w:val="2"/>
          <w:sz w:val="32"/>
          <w:szCs w:val="32"/>
          <w:highlight w:val="none"/>
          <w:lang w:val="en-US" w:eastAsia="zh-CN" w:bidi="ar-SA"/>
        </w:rPr>
      </w:pPr>
      <w:r>
        <w:rPr>
          <w:rFonts w:eastAsia="方正仿宋_GBK"/>
          <w:kern w:val="2"/>
          <w:sz w:val="32"/>
          <w:szCs w:val="32"/>
          <w:highlight w:val="none"/>
          <w:lang w:val="en-US" w:eastAsia="zh-CN" w:bidi="ar-SA"/>
        </w:rPr>
        <w:t>3.社会保障和就业（类）社会福利（款）社会福利事业单位（项）：反映民政部门举办的社会福利事业单位的支出，以及对集体社会福利事业单位的补助费。</w:t>
      </w:r>
    </w:p>
    <w:p w14:paraId="25CBDE5E">
      <w:pPr>
        <w:spacing w:line="560" w:lineRule="exact"/>
        <w:ind w:firstLine="641"/>
        <w:rPr>
          <w:rFonts w:eastAsia="方正仿宋_GBK"/>
          <w:kern w:val="2"/>
          <w:sz w:val="32"/>
          <w:szCs w:val="32"/>
          <w:highlight w:val="none"/>
          <w:lang w:val="en-US" w:eastAsia="zh-CN" w:bidi="ar-SA"/>
        </w:rPr>
      </w:pPr>
      <w:r>
        <w:rPr>
          <w:rFonts w:eastAsia="方正仿宋_GBK"/>
          <w:kern w:val="2"/>
          <w:sz w:val="32"/>
          <w:szCs w:val="32"/>
          <w:highlight w:val="none"/>
          <w:lang w:val="en-US" w:eastAsia="zh-CN" w:bidi="ar-SA"/>
        </w:rPr>
        <w:t>4.社会保障和就业（类）社会福利（款）养老服务（项）：反映财政在养老服务方面的补助支出，包括支持居家养老服务、社区养老服务和机构养老服务的支出，对养老服务机构的运营、建设补助支出等，不包括对社会福利事业单位的补助支出。</w:t>
      </w:r>
    </w:p>
    <w:p w14:paraId="22EEF31C">
      <w:pPr>
        <w:spacing w:line="560" w:lineRule="exact"/>
        <w:ind w:firstLine="641"/>
        <w:rPr>
          <w:rFonts w:eastAsia="方正仿宋_GBK"/>
          <w:kern w:val="2"/>
          <w:sz w:val="32"/>
          <w:szCs w:val="32"/>
          <w:highlight w:val="none"/>
          <w:lang w:val="en-US" w:eastAsia="zh-CN" w:bidi="ar-SA"/>
        </w:rPr>
      </w:pPr>
      <w:r>
        <w:rPr>
          <w:rFonts w:eastAsia="方正仿宋_GBK"/>
          <w:kern w:val="2"/>
          <w:sz w:val="32"/>
          <w:szCs w:val="32"/>
          <w:highlight w:val="none"/>
          <w:lang w:val="en-US" w:eastAsia="zh-CN" w:bidi="ar-SA"/>
        </w:rPr>
        <w:t>5.社会保障和就业（类）其他社会保障和就业支出（款）其他社会保障和就业支出（项）：反映除上述项目以外其他用于社会保障和就业方面的支出。</w:t>
      </w:r>
    </w:p>
    <w:p w14:paraId="39B5FA29">
      <w:pPr>
        <w:spacing w:line="560" w:lineRule="exact"/>
        <w:ind w:firstLine="641"/>
        <w:rPr>
          <w:rFonts w:eastAsia="方正仿宋_GBK"/>
          <w:kern w:val="2"/>
          <w:sz w:val="32"/>
          <w:szCs w:val="32"/>
          <w:highlight w:val="none"/>
          <w:lang w:val="en-US" w:eastAsia="zh-CN" w:bidi="ar-SA"/>
        </w:rPr>
      </w:pPr>
      <w:r>
        <w:rPr>
          <w:rFonts w:eastAsia="方正仿宋_GBK"/>
          <w:kern w:val="2"/>
          <w:sz w:val="32"/>
          <w:szCs w:val="32"/>
          <w:highlight w:val="none"/>
          <w:lang w:val="en-US" w:eastAsia="zh-CN" w:bidi="ar-SA"/>
        </w:rPr>
        <w:t>6.卫生健康支出（类）行政事业单位医疗（款） 事业单位医疗（项）：反映财政部门安排的事业单位基本医疗保险缴费经费，未参加医疗保险的事业单位的公费医疗经费，按国家规定享受离休人员待遇医疗经费。</w:t>
      </w:r>
    </w:p>
    <w:p w14:paraId="48F367DB">
      <w:pPr>
        <w:spacing w:line="560" w:lineRule="exact"/>
        <w:ind w:firstLine="641"/>
        <w:rPr>
          <w:rFonts w:eastAsia="方正仿宋_GBK"/>
          <w:kern w:val="2"/>
          <w:sz w:val="32"/>
          <w:szCs w:val="32"/>
          <w:highlight w:val="none"/>
          <w:lang w:val="en-US" w:eastAsia="zh-CN" w:bidi="ar-SA"/>
        </w:rPr>
      </w:pPr>
      <w:r>
        <w:rPr>
          <w:rFonts w:eastAsia="方正仿宋_GBK"/>
          <w:kern w:val="2"/>
          <w:sz w:val="32"/>
          <w:szCs w:val="32"/>
          <w:highlight w:val="none"/>
          <w:lang w:val="en-US" w:eastAsia="zh-CN" w:bidi="ar-SA"/>
        </w:rPr>
        <w:t>7.卫生健康支出（类）行政事业单位医疗（款） 公务员医疗补助（项）：反映财政部门安排的公务员医疗补助经费。</w:t>
      </w:r>
    </w:p>
    <w:p w14:paraId="73D82D0C">
      <w:pPr>
        <w:spacing w:line="560" w:lineRule="exact"/>
        <w:ind w:firstLine="641"/>
        <w:rPr>
          <w:rFonts w:eastAsia="方正仿宋_GBK"/>
          <w:kern w:val="2"/>
          <w:sz w:val="32"/>
          <w:szCs w:val="32"/>
          <w:highlight w:val="none"/>
          <w:lang w:val="en-US" w:eastAsia="zh-CN" w:bidi="ar-SA"/>
        </w:rPr>
      </w:pPr>
      <w:r>
        <w:rPr>
          <w:rFonts w:eastAsia="方正仿宋_GBK"/>
          <w:kern w:val="2"/>
          <w:sz w:val="32"/>
          <w:szCs w:val="32"/>
          <w:highlight w:val="none"/>
          <w:lang w:val="en-US" w:eastAsia="zh-CN" w:bidi="ar-SA"/>
        </w:rPr>
        <w:t>8.卫生健康支出（类）行政事业单位医疗（款） 其他行政事业单位医疗支出（项）：反映除上述项目以外的其他用于行政事业单位医疗方面的支出。</w:t>
      </w:r>
    </w:p>
    <w:p w14:paraId="35E68663">
      <w:pPr>
        <w:spacing w:line="560" w:lineRule="exact"/>
        <w:ind w:firstLine="641"/>
        <w:rPr>
          <w:rFonts w:eastAsia="方正仿宋_GBK"/>
          <w:kern w:val="2"/>
          <w:sz w:val="32"/>
          <w:szCs w:val="32"/>
          <w:highlight w:val="none"/>
          <w:lang w:val="en-US" w:eastAsia="zh-CN" w:bidi="ar-SA"/>
        </w:rPr>
      </w:pPr>
      <w:r>
        <w:rPr>
          <w:rFonts w:eastAsia="方正仿宋_GBK"/>
          <w:kern w:val="2"/>
          <w:sz w:val="32"/>
          <w:szCs w:val="32"/>
          <w:highlight w:val="none"/>
          <w:lang w:val="en-US" w:eastAsia="zh-CN" w:bidi="ar-SA"/>
        </w:rPr>
        <w:t>9.住房保障支出（类）住房改革支出（款）住房公积金（项）：反映行政事业单位按人力资源和社会保障部、财政部规定的基本工资和津贴补贴以及规定比例为职工缴纳的住房公积金。</w:t>
      </w:r>
    </w:p>
    <w:p w14:paraId="16D685D0">
      <w:pPr>
        <w:spacing w:line="560" w:lineRule="exact"/>
        <w:ind w:firstLine="641"/>
        <w:rPr>
          <w:rFonts w:eastAsia="方正仿宋_GBK"/>
          <w:kern w:val="2"/>
          <w:sz w:val="32"/>
          <w:szCs w:val="32"/>
          <w:highlight w:val="none"/>
          <w:lang w:val="en-US" w:eastAsia="zh-CN" w:bidi="ar-SA"/>
        </w:rPr>
      </w:pPr>
      <w:r>
        <w:rPr>
          <w:rFonts w:eastAsia="方正仿宋_GBK"/>
          <w:kern w:val="2"/>
          <w:sz w:val="32"/>
          <w:szCs w:val="32"/>
          <w:highlight w:val="none"/>
          <w:lang w:val="en-US" w:eastAsia="zh-CN" w:bidi="ar-SA"/>
        </w:rPr>
        <w:t>10.基本支出：指为保障机构正常运转、完成日常工作任务而发生的人员支出和公用支出。</w:t>
      </w:r>
    </w:p>
    <w:p w14:paraId="03940E12">
      <w:pPr>
        <w:spacing w:line="560" w:lineRule="exact"/>
        <w:ind w:firstLine="641"/>
        <w:rPr>
          <w:rFonts w:eastAsia="方正仿宋_GBK"/>
          <w:kern w:val="2"/>
          <w:sz w:val="32"/>
          <w:szCs w:val="32"/>
          <w:highlight w:val="none"/>
          <w:lang w:val="en-US" w:eastAsia="zh-CN" w:bidi="ar-SA"/>
        </w:rPr>
      </w:pPr>
      <w:r>
        <w:rPr>
          <w:rFonts w:eastAsia="方正仿宋_GBK"/>
          <w:kern w:val="2"/>
          <w:sz w:val="32"/>
          <w:szCs w:val="32"/>
          <w:highlight w:val="none"/>
          <w:lang w:val="en-US" w:eastAsia="zh-CN" w:bidi="ar-SA"/>
        </w:rPr>
        <w:t>11.项目支出：指在基本支出之外为完成特定行政任务和事业发展目标所发生的支出。</w:t>
      </w:r>
    </w:p>
    <w:p w14:paraId="7385429F">
      <w:pPr>
        <w:spacing w:line="560" w:lineRule="exact"/>
        <w:ind w:firstLine="641"/>
        <w:rPr>
          <w:rFonts w:eastAsia="方正仿宋_GBK"/>
          <w:kern w:val="2"/>
          <w:sz w:val="32"/>
          <w:szCs w:val="32"/>
          <w:highlight w:val="none"/>
          <w:lang w:val="en-US" w:eastAsia="zh-CN" w:bidi="ar-SA"/>
        </w:rPr>
      </w:pPr>
      <w:r>
        <w:rPr>
          <w:rFonts w:eastAsia="方正仿宋_GBK"/>
          <w:kern w:val="2"/>
          <w:sz w:val="32"/>
          <w:szCs w:val="32"/>
          <w:highlight w:val="none"/>
          <w:lang w:val="en-US" w:eastAsia="zh-CN" w:bidi="ar-SA"/>
        </w:rPr>
        <w:t>12.“三公”经费：指单位用财政拨款安排的因公出国（境）费、公务用车购置及运行费和公务接待费。其中：公务用车购置及运行费反映单位公务用车车辆购置支出（含车辆购置税）及租用费、燃料费、维修费、过路过桥费、保险费等支出；公务接待费反映单位按规定开支的各类公务接待（含外宾接待）支出。</w:t>
      </w:r>
    </w:p>
    <w:p w14:paraId="54B543F5">
      <w:pPr>
        <w:spacing w:line="560" w:lineRule="exact"/>
        <w:ind w:firstLine="641"/>
        <w:rPr>
          <w:rFonts w:eastAsia="方正仿宋_GBK"/>
          <w:kern w:val="2"/>
          <w:sz w:val="32"/>
          <w:szCs w:val="32"/>
          <w:highlight w:val="none"/>
          <w:lang w:val="en-US" w:eastAsia="zh-CN" w:bidi="ar-SA"/>
        </w:rPr>
      </w:pPr>
      <w:r>
        <w:rPr>
          <w:rFonts w:eastAsia="方正仿宋_GBK"/>
          <w:kern w:val="2"/>
          <w:sz w:val="32"/>
          <w:szCs w:val="32"/>
          <w:highlight w:val="none"/>
          <w:lang w:val="en-US" w:eastAsia="zh-CN" w:bidi="ar-SA"/>
        </w:rPr>
        <w:t>13.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E56888D">
      <w:pPr>
        <w:rPr>
          <w:rFonts w:eastAsia="黑体"/>
          <w:sz w:val="44"/>
          <w:szCs w:val="44"/>
        </w:rPr>
      </w:pPr>
      <w:bookmarkStart w:id="47" w:name="_Toc15396614"/>
      <w:bookmarkStart w:id="48" w:name="_Toc15377226"/>
    </w:p>
    <w:bookmarkEnd w:id="47"/>
    <w:p w14:paraId="1BF7DDE8">
      <w:pPr>
        <w:spacing w:line="600" w:lineRule="exact"/>
        <w:jc w:val="center"/>
        <w:outlineLvl w:val="0"/>
        <w:rPr>
          <w:rFonts w:ascii="Times New Roman" w:hAnsi="Times New Roman" w:eastAsia="方正小标宋_GBK" w:cs="Times New Roman"/>
          <w:b/>
          <w:bCs/>
          <w:kern w:val="44"/>
          <w:sz w:val="44"/>
          <w:szCs w:val="44"/>
          <w:lang w:val="zh-CN" w:eastAsia="zh-CN" w:bidi="ar-SA"/>
        </w:rPr>
      </w:pPr>
      <w:bookmarkStart w:id="49" w:name="_Toc15396618"/>
      <w:r>
        <w:rPr>
          <w:rFonts w:ascii="Times New Roman" w:hAnsi="Times New Roman" w:eastAsia="方正小标宋_GBK" w:cs="Times New Roman"/>
          <w:b/>
          <w:bCs/>
          <w:kern w:val="44"/>
          <w:sz w:val="44"/>
          <w:szCs w:val="44"/>
          <w:lang w:val="zh-CN" w:eastAsia="zh-CN" w:bidi="ar-SA"/>
        </w:rPr>
        <w:t>第四部分 附表</w:t>
      </w:r>
      <w:bookmarkEnd w:id="48"/>
      <w:bookmarkEnd w:id="49"/>
      <w:bookmarkStart w:id="50" w:name="_Toc15396619"/>
    </w:p>
    <w:p w14:paraId="28CD6532">
      <w:pPr>
        <w:pStyle w:val="16"/>
        <w:adjustRightInd w:val="0"/>
        <w:snapToGrid w:val="0"/>
        <w:spacing w:line="560" w:lineRule="exact"/>
        <w:jc w:val="left"/>
        <w:rPr>
          <w:rFonts w:eastAsia="仿宋_GB2312"/>
          <w:sz w:val="32"/>
          <w:szCs w:val="32"/>
        </w:rPr>
      </w:pPr>
    </w:p>
    <w:p w14:paraId="45D02560">
      <w:pPr>
        <w:pStyle w:val="16"/>
        <w:adjustRightInd w:val="0"/>
        <w:snapToGrid w:val="0"/>
        <w:spacing w:line="560" w:lineRule="exact"/>
        <w:jc w:val="left"/>
        <w:rPr>
          <w:rFonts w:eastAsia="方正仿宋_GBK"/>
          <w:sz w:val="32"/>
          <w:szCs w:val="32"/>
        </w:rPr>
      </w:pPr>
      <w:r>
        <w:rPr>
          <w:rFonts w:eastAsia="方正仿宋_GBK"/>
          <w:sz w:val="32"/>
          <w:szCs w:val="32"/>
        </w:rPr>
        <w:t>一、收入支出决算总表</w:t>
      </w:r>
      <w:bookmarkEnd w:id="50"/>
    </w:p>
    <w:p w14:paraId="23A478E6">
      <w:pPr>
        <w:pStyle w:val="16"/>
        <w:adjustRightInd w:val="0"/>
        <w:snapToGrid w:val="0"/>
        <w:spacing w:line="560" w:lineRule="exact"/>
        <w:jc w:val="left"/>
        <w:rPr>
          <w:rFonts w:eastAsia="方正仿宋_GBK"/>
          <w:sz w:val="32"/>
          <w:szCs w:val="32"/>
        </w:rPr>
      </w:pPr>
      <w:bookmarkStart w:id="51" w:name="_Toc15396620"/>
      <w:r>
        <w:rPr>
          <w:rFonts w:eastAsia="方正仿宋_GBK"/>
          <w:sz w:val="32"/>
          <w:szCs w:val="32"/>
        </w:rPr>
        <w:t>二、收入决算表</w:t>
      </w:r>
      <w:bookmarkEnd w:id="51"/>
    </w:p>
    <w:p w14:paraId="1A1749CA">
      <w:pPr>
        <w:pStyle w:val="16"/>
        <w:adjustRightInd w:val="0"/>
        <w:snapToGrid w:val="0"/>
        <w:spacing w:line="560" w:lineRule="exact"/>
        <w:jc w:val="left"/>
        <w:rPr>
          <w:rFonts w:eastAsia="方正仿宋_GBK"/>
          <w:sz w:val="32"/>
          <w:szCs w:val="32"/>
        </w:rPr>
      </w:pPr>
      <w:bookmarkStart w:id="52" w:name="_Toc15396621"/>
      <w:r>
        <w:rPr>
          <w:rFonts w:eastAsia="方正仿宋_GBK"/>
          <w:sz w:val="32"/>
          <w:szCs w:val="32"/>
        </w:rPr>
        <w:t>三、支出决算表</w:t>
      </w:r>
      <w:bookmarkEnd w:id="52"/>
    </w:p>
    <w:p w14:paraId="65602B32">
      <w:pPr>
        <w:pStyle w:val="16"/>
        <w:adjustRightInd w:val="0"/>
        <w:snapToGrid w:val="0"/>
        <w:spacing w:line="560" w:lineRule="exact"/>
        <w:jc w:val="left"/>
        <w:rPr>
          <w:rFonts w:eastAsia="方正仿宋_GBK"/>
          <w:sz w:val="32"/>
          <w:szCs w:val="32"/>
        </w:rPr>
      </w:pPr>
      <w:bookmarkStart w:id="53" w:name="_Toc15396622"/>
      <w:r>
        <w:rPr>
          <w:rFonts w:eastAsia="方正仿宋_GBK"/>
          <w:sz w:val="32"/>
          <w:szCs w:val="32"/>
        </w:rPr>
        <w:t>四、财政拨款收入支出决算总表</w:t>
      </w:r>
      <w:bookmarkEnd w:id="53"/>
    </w:p>
    <w:p w14:paraId="1DA5BEE8">
      <w:pPr>
        <w:pStyle w:val="16"/>
        <w:adjustRightInd w:val="0"/>
        <w:snapToGrid w:val="0"/>
        <w:spacing w:line="560" w:lineRule="exact"/>
        <w:jc w:val="left"/>
        <w:rPr>
          <w:rFonts w:eastAsia="方正仿宋_GBK"/>
          <w:sz w:val="32"/>
          <w:szCs w:val="32"/>
        </w:rPr>
      </w:pPr>
      <w:bookmarkStart w:id="54" w:name="_Toc15396623"/>
      <w:r>
        <w:rPr>
          <w:rFonts w:eastAsia="方正仿宋_GBK"/>
          <w:sz w:val="32"/>
          <w:szCs w:val="32"/>
        </w:rPr>
        <w:t>五、财政拨款支出决算明细表</w:t>
      </w:r>
      <w:bookmarkEnd w:id="54"/>
      <w:bookmarkStart w:id="55" w:name="_Toc15396624"/>
    </w:p>
    <w:p w14:paraId="047E0ECE">
      <w:pPr>
        <w:pStyle w:val="16"/>
        <w:adjustRightInd w:val="0"/>
        <w:snapToGrid w:val="0"/>
        <w:spacing w:line="560" w:lineRule="exact"/>
        <w:jc w:val="left"/>
        <w:rPr>
          <w:rFonts w:eastAsia="方正仿宋_GBK"/>
          <w:sz w:val="32"/>
          <w:szCs w:val="32"/>
        </w:rPr>
      </w:pPr>
      <w:r>
        <w:rPr>
          <w:rFonts w:eastAsia="方正仿宋_GBK"/>
          <w:sz w:val="32"/>
          <w:szCs w:val="32"/>
        </w:rPr>
        <w:t>六、一般公共预算财政拨款支出决算表</w:t>
      </w:r>
      <w:bookmarkEnd w:id="55"/>
    </w:p>
    <w:p w14:paraId="1955E15E">
      <w:pPr>
        <w:pStyle w:val="16"/>
        <w:adjustRightInd w:val="0"/>
        <w:snapToGrid w:val="0"/>
        <w:spacing w:line="560" w:lineRule="exact"/>
        <w:jc w:val="left"/>
        <w:rPr>
          <w:rFonts w:eastAsia="方正仿宋_GBK"/>
          <w:sz w:val="32"/>
          <w:szCs w:val="32"/>
        </w:rPr>
      </w:pPr>
      <w:bookmarkStart w:id="56" w:name="_Toc15396625"/>
      <w:r>
        <w:rPr>
          <w:rFonts w:eastAsia="方正仿宋_GBK"/>
          <w:sz w:val="32"/>
          <w:szCs w:val="32"/>
        </w:rPr>
        <w:t>七、一般公共预算财政拨款支出决算明细表</w:t>
      </w:r>
      <w:bookmarkEnd w:id="56"/>
    </w:p>
    <w:p w14:paraId="0B85FBFA">
      <w:pPr>
        <w:pStyle w:val="16"/>
        <w:adjustRightInd w:val="0"/>
        <w:snapToGrid w:val="0"/>
        <w:spacing w:line="560" w:lineRule="exact"/>
        <w:jc w:val="left"/>
        <w:rPr>
          <w:rFonts w:eastAsia="方正仿宋_GBK"/>
          <w:sz w:val="32"/>
          <w:szCs w:val="32"/>
        </w:rPr>
      </w:pPr>
      <w:bookmarkStart w:id="57" w:name="_Toc15396626"/>
      <w:r>
        <w:rPr>
          <w:rFonts w:eastAsia="方正仿宋_GBK"/>
          <w:sz w:val="32"/>
          <w:szCs w:val="32"/>
        </w:rPr>
        <w:t>八、一般公共预算财政拨款基本支出决算表</w:t>
      </w:r>
      <w:bookmarkEnd w:id="57"/>
    </w:p>
    <w:p w14:paraId="78E98229">
      <w:pPr>
        <w:pStyle w:val="16"/>
        <w:adjustRightInd w:val="0"/>
        <w:snapToGrid w:val="0"/>
        <w:spacing w:line="560" w:lineRule="exact"/>
        <w:jc w:val="left"/>
        <w:rPr>
          <w:rFonts w:eastAsia="方正仿宋_GBK"/>
          <w:sz w:val="32"/>
          <w:szCs w:val="32"/>
        </w:rPr>
      </w:pPr>
      <w:bookmarkStart w:id="58" w:name="_Toc15396627"/>
      <w:r>
        <w:rPr>
          <w:rFonts w:eastAsia="方正仿宋_GBK"/>
          <w:sz w:val="32"/>
          <w:szCs w:val="32"/>
        </w:rPr>
        <w:t>九、一般公共预算财政拨款项目支出决算表</w:t>
      </w:r>
      <w:bookmarkEnd w:id="58"/>
    </w:p>
    <w:p w14:paraId="21828944">
      <w:pPr>
        <w:pStyle w:val="16"/>
        <w:adjustRightInd w:val="0"/>
        <w:snapToGrid w:val="0"/>
        <w:spacing w:line="560" w:lineRule="exact"/>
        <w:jc w:val="left"/>
        <w:rPr>
          <w:rFonts w:eastAsia="方正仿宋_GBK"/>
          <w:sz w:val="32"/>
          <w:szCs w:val="32"/>
        </w:rPr>
      </w:pPr>
      <w:bookmarkStart w:id="59" w:name="_Toc15396628"/>
      <w:r>
        <w:rPr>
          <w:rFonts w:eastAsia="方正仿宋_GBK"/>
          <w:sz w:val="32"/>
          <w:szCs w:val="32"/>
        </w:rPr>
        <w:t>十、</w:t>
      </w:r>
      <w:bookmarkEnd w:id="59"/>
      <w:r>
        <w:rPr>
          <w:rFonts w:eastAsia="方正仿宋_GBK"/>
          <w:sz w:val="32"/>
          <w:szCs w:val="32"/>
        </w:rPr>
        <w:t>政府性基金预算财政拨款收入支出决算表</w:t>
      </w:r>
    </w:p>
    <w:p w14:paraId="5720BDA2">
      <w:pPr>
        <w:pStyle w:val="16"/>
        <w:adjustRightInd w:val="0"/>
        <w:snapToGrid w:val="0"/>
        <w:spacing w:line="560" w:lineRule="exact"/>
        <w:jc w:val="left"/>
        <w:rPr>
          <w:rFonts w:eastAsia="方正仿宋_GBK"/>
          <w:sz w:val="32"/>
          <w:szCs w:val="32"/>
        </w:rPr>
      </w:pPr>
      <w:bookmarkStart w:id="60" w:name="_Toc15396629"/>
      <w:r>
        <w:rPr>
          <w:rFonts w:eastAsia="方正仿宋_GBK"/>
          <w:sz w:val="32"/>
          <w:szCs w:val="32"/>
        </w:rPr>
        <w:t>十一、</w:t>
      </w:r>
      <w:bookmarkEnd w:id="60"/>
      <w:r>
        <w:rPr>
          <w:rFonts w:eastAsia="方正仿宋_GBK"/>
          <w:sz w:val="32"/>
          <w:szCs w:val="32"/>
        </w:rPr>
        <w:t>国有资本经营预算财政拨款收入支出决算表</w:t>
      </w:r>
    </w:p>
    <w:p w14:paraId="0FEE8058">
      <w:pPr>
        <w:pStyle w:val="16"/>
        <w:adjustRightInd w:val="0"/>
        <w:snapToGrid w:val="0"/>
        <w:spacing w:line="560" w:lineRule="exact"/>
        <w:jc w:val="left"/>
        <w:rPr>
          <w:rFonts w:eastAsia="方正仿宋_GBK"/>
          <w:sz w:val="32"/>
          <w:szCs w:val="32"/>
        </w:rPr>
      </w:pPr>
      <w:bookmarkStart w:id="61" w:name="_Toc15396630"/>
      <w:r>
        <w:rPr>
          <w:rFonts w:eastAsia="方正仿宋_GBK"/>
          <w:sz w:val="32"/>
          <w:szCs w:val="32"/>
        </w:rPr>
        <w:t>十二、</w:t>
      </w:r>
      <w:bookmarkEnd w:id="61"/>
      <w:r>
        <w:rPr>
          <w:rFonts w:eastAsia="方正仿宋_GBK"/>
          <w:sz w:val="32"/>
          <w:szCs w:val="32"/>
        </w:rPr>
        <w:t>国有资本经营预算财政拨款支出决算表</w:t>
      </w:r>
    </w:p>
    <w:p w14:paraId="31FFE1DB">
      <w:pPr>
        <w:pStyle w:val="16"/>
        <w:adjustRightInd w:val="0"/>
        <w:snapToGrid w:val="0"/>
        <w:spacing w:line="560" w:lineRule="exact"/>
        <w:jc w:val="left"/>
        <w:rPr>
          <w:rFonts w:eastAsia="方正仿宋_GBK"/>
          <w:sz w:val="32"/>
          <w:szCs w:val="32"/>
        </w:rPr>
      </w:pPr>
      <w:bookmarkStart w:id="62" w:name="_Toc15396631"/>
      <w:r>
        <w:rPr>
          <w:rFonts w:eastAsia="方正仿宋_GBK"/>
          <w:sz w:val="32"/>
          <w:szCs w:val="32"/>
        </w:rPr>
        <w:t>十三、</w:t>
      </w:r>
      <w:bookmarkEnd w:id="62"/>
      <w:r>
        <w:rPr>
          <w:rFonts w:eastAsia="方正仿宋_GBK"/>
          <w:sz w:val="32"/>
          <w:szCs w:val="32"/>
        </w:rPr>
        <w:t>财政拨款“三公”经费支出决算表</w:t>
      </w:r>
    </w:p>
    <w:p w14:paraId="0BD25AAE"/>
    <w:p w14:paraId="70115554">
      <w:pPr>
        <w:bidi w:val="0"/>
        <w:rPr>
          <w:rFonts w:eastAsia="宋体"/>
          <w:kern w:val="2"/>
          <w:sz w:val="21"/>
          <w:szCs w:val="24"/>
          <w:lang w:val="en-US" w:eastAsia="zh-CN" w:bidi="ar-SA"/>
        </w:rPr>
      </w:pPr>
    </w:p>
    <w:p w14:paraId="12491A14">
      <w:pPr>
        <w:bidi w:val="0"/>
        <w:rPr>
          <w:lang w:val="en-US" w:eastAsia="zh-CN"/>
        </w:rPr>
      </w:pPr>
    </w:p>
    <w:p w14:paraId="2F17AE04">
      <w:pPr>
        <w:bidi w:val="0"/>
        <w:rPr>
          <w:lang w:val="en-US" w:eastAsia="zh-CN"/>
        </w:rPr>
      </w:pPr>
    </w:p>
    <w:p w14:paraId="44EA9F27">
      <w:pPr>
        <w:keepNext w:val="0"/>
        <w:keepLines w:val="0"/>
        <w:pageBreakBefore w:val="0"/>
        <w:widowControl w:val="0"/>
        <w:kinsoku/>
        <w:wordWrap/>
        <w:overflowPunct/>
        <w:topLinePunct w:val="0"/>
        <w:autoSpaceDE/>
        <w:autoSpaceDN/>
        <w:bidi w:val="0"/>
        <w:adjustRightInd/>
        <w:snapToGrid/>
        <w:spacing w:line="300" w:lineRule="exact"/>
        <w:textAlignment w:val="auto"/>
        <w:rPr>
          <w:lang w:val="en-US" w:eastAsia="zh-CN"/>
        </w:rPr>
      </w:pPr>
    </w:p>
    <w:p w14:paraId="4AB2E5F7">
      <w:pPr>
        <w:keepNext w:val="0"/>
        <w:keepLines w:val="0"/>
        <w:pageBreakBefore w:val="0"/>
        <w:widowControl w:val="0"/>
        <w:tabs>
          <w:tab w:val="left" w:pos="651"/>
        </w:tabs>
        <w:kinsoku/>
        <w:wordWrap/>
        <w:overflowPunct/>
        <w:topLinePunct w:val="0"/>
        <w:autoSpaceDE/>
        <w:autoSpaceDN/>
        <w:bidi w:val="0"/>
        <w:adjustRightInd/>
        <w:snapToGrid/>
        <w:spacing w:line="300" w:lineRule="exact"/>
        <w:jc w:val="left"/>
        <w:textAlignment w:val="auto"/>
        <w:rPr>
          <w:lang w:val="en-US" w:eastAsia="zh-CN"/>
        </w:rPr>
      </w:pPr>
    </w:p>
    <w:sectPr>
      <w:footerReference r:id="rId8" w:type="first"/>
      <w:footerReference r:id="rId7" w:type="default"/>
      <w:pgSz w:w="11907" w:h="16840"/>
      <w:pgMar w:top="1440" w:right="1797" w:bottom="1440" w:left="1797" w:header="851" w:footer="851" w:gutter="0"/>
      <w:pgNumType w:start="1"/>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Lucida Sans">
    <w:altName w:val="Lucida Sans Unicode"/>
    <w:panose1 w:val="020B0602030504020204"/>
    <w:charset w:val="00"/>
    <w:family w:val="auto"/>
    <w:pitch w:val="default"/>
    <w:sig w:usb0="00000000"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仿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Lucida Sans">
    <w:altName w:val="Lucida Sans Unicode"/>
    <w:panose1 w:val="00000000000000000000"/>
    <w:charset w:val="01"/>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24419">
    <w:pPr>
      <w:pStyle w:val="12"/>
      <w:jc w:val="center"/>
    </w:pPr>
  </w:p>
  <w:p w14:paraId="7EBA834E">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266E2">
    <w:pPr>
      <w:pStyle w:val="12"/>
      <w:framePr w:wrap="around" w:vAnchor="text" w:hAnchor="margin" w:xAlign="outside" w:y="1"/>
      <w:pBdr>
        <w:top w:val="none" w:color="auto" w:sz="0" w:space="0"/>
        <w:left w:val="none" w:color="auto" w:sz="0" w:space="0"/>
        <w:bottom w:val="none" w:color="auto" w:sz="0" w:space="0"/>
        <w:right w:val="none" w:color="auto" w:sz="0" w:space="0"/>
      </w:pBdr>
      <w:rPr>
        <w:rFonts w:hint="eastAsia" w:ascii="宋体" w:cs="宋体"/>
        <w:sz w:val="28"/>
        <w:szCs w:val="28"/>
        <w:lang w:bidi="ar-SA"/>
      </w:rPr>
    </w:pPr>
  </w:p>
  <w:p w14:paraId="5C2C2090">
    <w:pPr>
      <w:pStyle w:val="1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7E049">
    <w:pPr>
      <w:pStyle w:val="12"/>
      <w:framePr w:wrap="around" w:vAnchor="text" w:hAnchor="margin" w:xAlign="outside" w:y="1"/>
      <w:pBdr>
        <w:top w:val="none" w:color="auto" w:sz="0" w:space="0"/>
        <w:left w:val="none" w:color="auto" w:sz="0" w:space="0"/>
        <w:bottom w:val="none" w:color="auto" w:sz="0" w:space="0"/>
        <w:right w:val="none" w:color="auto" w:sz="0" w:space="0"/>
      </w:pBdr>
      <w:rPr>
        <w:rFonts w:hint="eastAsia" w:ascii="宋体" w:cs="宋体"/>
        <w:sz w:val="28"/>
        <w:szCs w:val="28"/>
        <w:lang w:bidi="ar-SA"/>
      </w:rPr>
    </w:pPr>
    <w:r>
      <w:rPr>
        <w:rStyle w:val="21"/>
        <w:rFonts w:hint="eastAsia" w:ascii="宋体" w:cs="宋体"/>
        <w:sz w:val="28"/>
        <w:szCs w:val="28"/>
        <w:lang w:bidi="ar-SA"/>
      </w:rPr>
      <w:fldChar w:fldCharType="begin"/>
    </w:r>
    <w:r>
      <w:rPr>
        <w:rStyle w:val="21"/>
        <w:rFonts w:hint="eastAsia" w:ascii="宋体" w:cs="宋体"/>
        <w:sz w:val="28"/>
        <w:szCs w:val="28"/>
        <w:lang w:bidi="ar-SA"/>
      </w:rPr>
      <w:instrText xml:space="preserve">Page</w:instrText>
    </w:r>
    <w:r>
      <w:rPr>
        <w:rStyle w:val="21"/>
        <w:rFonts w:hint="eastAsia" w:ascii="宋体" w:cs="宋体"/>
        <w:sz w:val="28"/>
        <w:szCs w:val="28"/>
        <w:lang w:bidi="ar-SA"/>
      </w:rPr>
      <w:fldChar w:fldCharType="separate"/>
    </w:r>
    <w:r>
      <w:rPr>
        <w:rStyle w:val="21"/>
        <w:rFonts w:hint="eastAsia" w:ascii="宋体" w:cs="宋体"/>
        <w:sz w:val="28"/>
        <w:szCs w:val="28"/>
        <w:lang w:bidi="ar-SA"/>
      </w:rPr>
      <w:t>- 2 -</w:t>
    </w:r>
    <w:r>
      <w:rPr>
        <w:rStyle w:val="21"/>
        <w:rFonts w:hint="eastAsia" w:ascii="宋体" w:cs="宋体"/>
        <w:sz w:val="28"/>
        <w:szCs w:val="28"/>
        <w:lang w:bidi="ar-SA"/>
      </w:rPr>
      <w:fldChar w:fldCharType="end"/>
    </w:r>
  </w:p>
  <w:p w14:paraId="7C8215DE">
    <w:pPr>
      <w:pStyle w:val="12"/>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C0D3A">
    <w:pPr>
      <w:pStyle w:val="12"/>
      <w:jc w:val="center"/>
    </w:pPr>
    <w:r>
      <w:rPr>
        <w:sz w:val="18"/>
      </w:rPr>
      <mc:AlternateContent>
        <mc:Choice Requires="wps">
          <w:drawing>
            <wp:anchor distT="0" distB="0" distL="113665" distR="113665" simplePos="0" relativeHeight="251659264" behindDoc="0" locked="0" layoutInCell="1" allowOverlap="1">
              <wp:simplePos x="0" y="0"/>
              <wp:positionH relativeFrom="margin">
                <wp:align>inside</wp:align>
              </wp:positionH>
              <wp:positionV relativeFrom="paragraph">
                <wp:posOffset>0</wp:posOffset>
              </wp:positionV>
              <wp:extent cx="711200" cy="230505"/>
              <wp:effectExtent l="0" t="0" r="0" b="0"/>
              <wp:wrapNone/>
              <wp:docPr id="1" name="文本框 18"/>
              <wp:cNvGraphicFramePr/>
              <a:graphic xmlns:a="http://schemas.openxmlformats.org/drawingml/2006/main">
                <a:graphicData uri="http://schemas.microsoft.com/office/word/2010/wordprocessingShape">
                  <wps:wsp>
                    <wps:cNvSpPr/>
                    <wps:spPr>
                      <a:xfrm>
                        <a:off x="0" y="0"/>
                        <a:ext cx="711199" cy="230251"/>
                      </a:xfrm>
                      <a:prstGeom prst="rect">
                        <a:avLst/>
                      </a:prstGeom>
                      <a:noFill/>
                      <a:ln w="6350" cap="flat" cmpd="sng">
                        <a:noFill/>
                        <a:prstDash val="solid"/>
                        <a:round/>
                      </a:ln>
                    </wps:spPr>
                    <wps:txbx>
                      <w:txbxContent>
                        <w:p w14:paraId="3EA715E6">
                          <w:pPr>
                            <w:pStyle w:val="12"/>
                            <w:rPr>
                              <w:rFonts w:hint="eastAsia" w:ascii="宋体" w:cs="宋体"/>
                              <w:sz w:val="28"/>
                              <w:szCs w:val="28"/>
                            </w:rPr>
                          </w:pPr>
                          <w:r>
                            <w:rPr>
                              <w:rFonts w:hint="eastAsia" w:ascii="宋体" w:cs="宋体"/>
                              <w:sz w:val="28"/>
                              <w:szCs w:val="28"/>
                            </w:rPr>
                            <w:t xml:space="preserve">— </w:t>
                          </w:r>
                          <w:r>
                            <w:rPr>
                              <w:rFonts w:hint="eastAsia" w:ascii="宋体" w:cs="宋体"/>
                              <w:sz w:val="28"/>
                              <w:szCs w:val="28"/>
                            </w:rPr>
                            <w:fldChar w:fldCharType="begin"/>
                          </w:r>
                          <w:r>
                            <w:rPr>
                              <w:rFonts w:hint="eastAsia" w:ascii="宋体" w:cs="宋体"/>
                              <w:sz w:val="28"/>
                              <w:szCs w:val="28"/>
                            </w:rPr>
                            <w:instrText xml:space="preserve"> PAGE  \* MERGEFORMAT </w:instrText>
                          </w:r>
                          <w:r>
                            <w:rPr>
                              <w:rFonts w:hint="eastAsia" w:ascii="宋体" w:cs="宋体"/>
                              <w:sz w:val="28"/>
                              <w:szCs w:val="28"/>
                            </w:rPr>
                            <w:fldChar w:fldCharType="separate"/>
                          </w:r>
                          <w:r>
                            <w:rPr>
                              <w:rFonts w:hint="eastAsia" w:ascii="宋体" w:cs="宋体"/>
                              <w:sz w:val="28"/>
                              <w:szCs w:val="28"/>
                            </w:rPr>
                            <w:t>1</w:t>
                          </w:r>
                          <w:r>
                            <w:rPr>
                              <w:rFonts w:hint="eastAsia" w:ascii="宋体" w:cs="宋体"/>
                              <w:sz w:val="28"/>
                              <w:szCs w:val="28"/>
                            </w:rPr>
                            <w:fldChar w:fldCharType="end"/>
                          </w:r>
                          <w:r>
                            <w:rPr>
                              <w:rFonts w:hint="eastAsia" w:ascii="宋体" w:cs="宋体"/>
                              <w:sz w:val="28"/>
                              <w:szCs w:val="28"/>
                            </w:rPr>
                            <w:t xml:space="preserve"> —</w:t>
                          </w:r>
                        </w:p>
                      </w:txbxContent>
                    </wps:txbx>
                    <wps:bodyPr vert="horz" wrap="none" lIns="0" tIns="0" rIns="0" bIns="0" anchor="t" anchorCtr="0" upright="0">
                      <a:spAutoFit/>
                    </wps:bodyPr>
                  </wps:wsp>
                </a:graphicData>
              </a:graphic>
            </wp:anchor>
          </w:drawing>
        </mc:Choice>
        <mc:Fallback>
          <w:pict>
            <v:rect id="文本框 18" o:spid="_x0000_s1026" o:spt="1" style="position:absolute;left:0pt;margin-top:0pt;height:18.15pt;width:56pt;mso-position-horizontal:inside;mso-position-horizontal-relative:margin;mso-wrap-style:none;z-index:251659264;mso-width-relative:page;mso-height-relative:page;" filled="f" stroked="f" coordsize="21600,21600" o:gfxdata="UEsDBAoAAAAAAIdO4kAAAAAAAAAAAAAAAAAEAAAAZHJzL1BLAwQUAAAACACHTuJAaHmQMdcAAAAE&#10;AQAADwAAAGRycy9kb3ducmV2LnhtbE2PwWrDMBBE74X+g9hCLqGR7EAojuUcEtJAaQ91Q6E3xdpY&#10;JtbKtRQ77ddX6aW9DAyzzLzNVxfbsgF73ziSkMwEMKTK6YZqCfu37f0DMB8UadU6Qglf6GFV3N7k&#10;KtNupFccylCzWEI+UxJMCF3Gua8MWuVnrkOK2dH1VoVo+5rrXo2x3LY8FWLBrWooLhjV4dpgdSrP&#10;VsLz5vHjfWqeRPryPT26sdwPn7uTlJO7RCyBBbyEv2O44kd0KCLTwZ1Je9ZKiI+EX71mSRrtQcJ8&#10;MQde5Pw/fPEDUEsDBBQAAAAIAIdO4kBQEbb/BQIAAPUDAAAOAAAAZHJzL2Uyb0RvYy54bWytU0tu&#10;2zAQ3RfoHQjua0kOkiaC5aCokaJA0QZIewCaoiQC/IFDWXIP0N6gq26677l8jgwp2Q7STRbdSENy&#10;+Gbem8fV7agV2QkP0pqKFoucEmG4raVpK/rt692ba0ogMFMzZY2o6F4AvV2/frUaXCmWtrOqFp4g&#10;iIFycBXtQnBllgHvhGawsE4YPGys1yzg0rdZ7dmA6Fplyzy/ygbra+ctFwC4u5kO6YzoXwJom0Zy&#10;sbG818KECdULxQJSgk46oOvUbdMIHr40DYhAVEWRaUhfLILxNn6z9YqVrWeuk3xugb2khWecNJMG&#10;i56gNiww0nv5D5SW3FuwTVhwq7OJSFIEWRT5M20eOuZE4oJSgzuJDv8Pln/e3Xsia3QCJYZpHPjh&#10;18/D77+HPz9IcR31GRyUmPbg7v28Agwj2bHxOv6RBhmTpvuTpmIMhOPm26Iobm4o4Xi0vMiXl0XE&#10;zM6XnYfwQVhNYlBRjyNLSrLdJwhT6jEl1jL2TiqF+6xUhgwVvbq4xGFyhlZs0AIYaod0wLQJ5kl+&#10;hNkw6MiOoRvAKllP8/e2N/VUShlsLjKeOMYojNsRD2O4tfUe5cLXg5121n+nZEDvVNTgU6FEfTQ4&#10;mmizY+CPwfYYMMPxYkWx0Sl8HyY79s7LtkPcPPUN7l0fkGuS4Fx77g7dkEScnRvt9nSdss6vdf0I&#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aHmQMdcAAAAEAQAADwAAAAAAAAABACAAAAAiAAAAZHJz&#10;L2Rvd25yZXYueG1sUEsBAhQAFAAAAAgAh07iQFARtv8FAgAA9QMAAA4AAAAAAAAAAQAgAAAAJgEA&#10;AGRycy9lMm9Eb2MueG1sUEsFBgAAAAAGAAYAWQEAAJ0FAAAAAA==&#10;">
              <v:fill on="f" focussize="0,0"/>
              <v:stroke on="f" weight="0.5pt" joinstyle="round"/>
              <v:imagedata o:title=""/>
              <o:lock v:ext="edit" aspectratio="f"/>
              <v:textbox inset="0mm,0mm,0mm,0mm" style="mso-fit-shape-to-text:t;">
                <w:txbxContent>
                  <w:p w14:paraId="3EA715E6">
                    <w:pPr>
                      <w:pStyle w:val="12"/>
                      <w:rPr>
                        <w:rFonts w:hint="eastAsia" w:ascii="宋体" w:cs="宋体"/>
                        <w:sz w:val="28"/>
                        <w:szCs w:val="28"/>
                      </w:rPr>
                    </w:pPr>
                    <w:r>
                      <w:rPr>
                        <w:rFonts w:hint="eastAsia" w:ascii="宋体" w:cs="宋体"/>
                        <w:sz w:val="28"/>
                        <w:szCs w:val="28"/>
                      </w:rPr>
                      <w:t xml:space="preserve">— </w:t>
                    </w:r>
                    <w:r>
                      <w:rPr>
                        <w:rFonts w:hint="eastAsia" w:ascii="宋体" w:cs="宋体"/>
                        <w:sz w:val="28"/>
                        <w:szCs w:val="28"/>
                      </w:rPr>
                      <w:fldChar w:fldCharType="begin"/>
                    </w:r>
                    <w:r>
                      <w:rPr>
                        <w:rFonts w:hint="eastAsia" w:ascii="宋体" w:cs="宋体"/>
                        <w:sz w:val="28"/>
                        <w:szCs w:val="28"/>
                      </w:rPr>
                      <w:instrText xml:space="preserve"> PAGE  \* MERGEFORMAT </w:instrText>
                    </w:r>
                    <w:r>
                      <w:rPr>
                        <w:rFonts w:hint="eastAsia" w:ascii="宋体" w:cs="宋体"/>
                        <w:sz w:val="28"/>
                        <w:szCs w:val="28"/>
                      </w:rPr>
                      <w:fldChar w:fldCharType="separate"/>
                    </w:r>
                    <w:r>
                      <w:rPr>
                        <w:rFonts w:hint="eastAsia" w:ascii="宋体" w:cs="宋体"/>
                        <w:sz w:val="28"/>
                        <w:szCs w:val="28"/>
                      </w:rPr>
                      <w:t>1</w:t>
                    </w:r>
                    <w:r>
                      <w:rPr>
                        <w:rFonts w:hint="eastAsia" w:ascii="宋体" w:cs="宋体"/>
                        <w:sz w:val="28"/>
                        <w:szCs w:val="28"/>
                      </w:rPr>
                      <w:fldChar w:fldCharType="end"/>
                    </w:r>
                    <w:r>
                      <w:rPr>
                        <w:rFonts w:hint="eastAsia" w:ascii="宋体" w:cs="宋体"/>
                        <w:sz w:val="28"/>
                        <w:szCs w:val="28"/>
                      </w:rPr>
                      <w:t xml:space="preserve"> —</w:t>
                    </w:r>
                  </w:p>
                </w:txbxContent>
              </v:textbox>
            </v:rect>
          </w:pict>
        </mc:Fallback>
      </mc:AlternateContent>
    </w:r>
  </w:p>
  <w:p w14:paraId="21739054">
    <w:pPr>
      <w:pStyle w:val="1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D5E28">
    <w:pPr>
      <w:pStyle w:val="12"/>
    </w:pPr>
    <w: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79705" cy="139700"/>
              <wp:effectExtent l="0" t="0" r="0" b="0"/>
              <wp:wrapNone/>
              <wp:docPr id="4" name="文本框 6"/>
              <wp:cNvGraphicFramePr/>
              <a:graphic xmlns:a="http://schemas.openxmlformats.org/drawingml/2006/main">
                <a:graphicData uri="http://schemas.microsoft.com/office/word/2010/wordprocessingShape">
                  <wps:wsp>
                    <wps:cNvSpPr/>
                    <wps:spPr>
                      <a:xfrm>
                        <a:off x="0" y="0"/>
                        <a:ext cx="179565" cy="139560"/>
                      </a:xfrm>
                      <a:prstGeom prst="rect">
                        <a:avLst/>
                      </a:prstGeom>
                      <a:noFill/>
                      <a:ln w="6350" cap="flat" cmpd="sng">
                        <a:noFill/>
                        <a:prstDash val="solid"/>
                        <a:round/>
                      </a:ln>
                    </wps:spPr>
                    <wps:txbx>
                      <w:txbxContent>
                        <w:p w14:paraId="09216594">
                          <w:pPr>
                            <w:pStyle w:val="12"/>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vert="horz" wrap="none" lIns="0" tIns="0" rIns="0" bIns="0" anchor="t" anchorCtr="0" upright="0">
                      <a:spAutoFit/>
                    </wps:bodyPr>
                  </wps:wsp>
                </a:graphicData>
              </a:graphic>
            </wp:anchor>
          </w:drawing>
        </mc:Choice>
        <mc:Fallback>
          <w:pict>
            <v:rect id="文本框 6" o:spid="_x0000_s1026" o:spt="1" style="position:absolute;left:0pt;margin-top:0pt;height:11pt;width:14.15pt;mso-position-horizontal:center;mso-position-horizontal-relative:margin;mso-wrap-style:none;z-index:251659264;mso-width-relative:page;mso-height-relative:page;" filled="f" stroked="f" coordsize="21600,21600" o:gfxdata="UEsDBAoAAAAAAIdO4kAAAAAAAAAAAAAAAAAEAAAAZHJzL1BLAwQUAAAACACHTuJAf/5JX9YAAAAD&#10;AQAADwAAAGRycy9kb3ducmV2LnhtbE2PQUvDQBCF74L/YRnBS7G7jSAlZtODooLowVgEb9vsNBua&#10;nY3ZbVL765160cs8hje8902xOvhOjDjENpCGxVyBQKqDbanRsH5/uFqCiMmQNV0g1PCNEVbl+Vlh&#10;chsmesOxSo3gEIq50eBS6nMpY+3QmzgPPRJ72zB4k3gdGmkHM3G472Sm1I30piVucKbHO4f1rtp7&#10;DS/3j58fM/esstfjbBumaj1+Pe20vrxYqFsQCQ/p7xhO+IwOJTNtwp5sFJ0GfiT9Tvay5TWIDWum&#10;QJaF/M9e/gBQSwMEFAAAAAgAh07iQFgsXu8EAgAA9AMAAA4AAABkcnMvZTJvRG9jLnhtbK1TzY7T&#10;MBC+I/EOlu806S4tbNV0hagWISFYadkHcB2nseQ/zbhNygPAG3Diwp3n6nMwdtLuarnsgUvy2R5/&#10;M9834+V1bw3bK0DtXcWnk5Iz5aSvtdtW/P7rzau3nGEUrhbGO1Xxg0J+vXr5YtmFhbrwrTe1AkYk&#10;DhddqHgbY1gUBcpWWYETH5Sjw8aDFZGWsC1qEB2xW1NclOW86DzUAbxUiLS7Hg75yAjPIfRNo6Va&#10;e7mzysWBFZQRkSRhqwPyVa62aZSMX5oGVWSm4qQ05i8lIbxJ32K1FIstiNBqOZYgnlPCE01WaEdJ&#10;z1RrEQXbgf6HymoJHn0TJ9LbYhCSHSEV0/KJN3etCCprIasxnE3H/0crP+9vgem64q85c8JSw48/&#10;fxx//Tn+/s7myZ4u4IKi7sItjCskmLT2Ddj0JxWsz5YezpaqPjJJm9M3V7P5jDNJR9NLwtny4uFy&#10;AIwflLcsgYoDdSwbKfafMFJCCj2FpFzO32hjcteMY13F55cz6qUUNIkNTQBBG0gNum2meRSfaNYC&#10;W7YXNAzoja6H9oPfuXpIZRxlTIoHjQnFftOPwje+PpBb9Hio0tbDN846Gp2KO3opnJmPjjqTpuwE&#10;4AQ2JyCcpIsVp0IH+D4O07gLoLct8Za5bgzvdpG0ZgtSGUPusToahuzMOLhp2h6vc9TDY139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H/+SV/WAAAAAwEAAA8AAAAAAAAAAQAgAAAAIgAAAGRycy9k&#10;b3ducmV2LnhtbFBLAQIUABQAAAAIAIdO4kBYLF7vBAIAAPQDAAAOAAAAAAAAAAEAIAAAACUBAABk&#10;cnMvZTJvRG9jLnhtbFBLBQYAAAAABgAGAFkBAACbBQAAAAA=&#10;">
              <v:fill on="f" focussize="0,0"/>
              <v:stroke on="f" weight="0.5pt" joinstyle="round"/>
              <v:imagedata o:title=""/>
              <o:lock v:ext="edit" aspectratio="f"/>
              <v:textbox inset="0mm,0mm,0mm,0mm" style="mso-fit-shape-to-text:t;">
                <w:txbxContent>
                  <w:p w14:paraId="09216594">
                    <w:pPr>
                      <w:pStyle w:val="12"/>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32E05">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4555F6"/>
    <w:multiLevelType w:val="singleLevel"/>
    <w:tmpl w:val="C24555F6"/>
    <w:lvl w:ilvl="0" w:tentative="0">
      <w:start w:val="1"/>
      <w:numFmt w:val="chineseCounting"/>
      <w:suff w:val="nothing"/>
      <w:lvlText w:val="%1、"/>
      <w:lvlJc w:val="left"/>
      <w:rPr>
        <w:rFonts w:hint="eastAsia"/>
      </w:rPr>
    </w:lvl>
  </w:abstractNum>
  <w:abstractNum w:abstractNumId="1">
    <w:nsid w:val="45E1B31D"/>
    <w:multiLevelType w:val="singleLevel"/>
    <w:tmpl w:val="45E1B31D"/>
    <w:lvl w:ilvl="0" w:tentative="0">
      <w:start w:val="2"/>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rsids>
    <w:rsidRoot w:val="00000000"/>
    <w:rsid w:val="214B2C7F"/>
    <w:rsid w:val="243E20B8"/>
    <w:rsid w:val="2FBA5954"/>
    <w:rsid w:val="44116432"/>
    <w:rsid w:val="45713DE8"/>
    <w:rsid w:val="4F3E7E1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
    <w:qFormat/>
    <w:uiPriority w:val="0"/>
    <w:pPr>
      <w:keepNext/>
      <w:keepLines/>
      <w:widowControl w:val="0"/>
      <w:spacing w:before="340" w:after="330" w:line="578" w:lineRule="auto"/>
      <w:outlineLvl w:val="0"/>
    </w:pPr>
    <w:rPr>
      <w:b/>
      <w:bCs/>
      <w:kern w:val="44"/>
      <w:sz w:val="44"/>
      <w:szCs w:val="44"/>
    </w:rPr>
  </w:style>
  <w:style w:type="paragraph" w:styleId="3">
    <w:name w:val="heading 2"/>
    <w:basedOn w:val="1"/>
    <w:next w:val="1"/>
    <w:link w:val="24"/>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paragraph" w:styleId="4">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19">
    <w:name w:val="Default Paragraph Font"/>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5">
    <w:name w:val="Body Text 3"/>
    <w:qFormat/>
    <w:uiPriority w:val="0"/>
    <w:pPr>
      <w:widowControl w:val="0"/>
      <w:spacing w:before="100" w:beforeAutospacing="1"/>
      <w:jc w:val="both"/>
    </w:pPr>
    <w:rPr>
      <w:rFonts w:ascii="Times New Roman" w:hAnsi="Times New Roman" w:eastAsia="宋体" w:cs="Times New Roman"/>
      <w:kern w:val="2"/>
      <w:sz w:val="16"/>
      <w:szCs w:val="16"/>
      <w:lang w:val="en-US" w:eastAsia="zh-CN" w:bidi="ar-SA"/>
    </w:rPr>
  </w:style>
  <w:style w:type="paragraph" w:styleId="6">
    <w:name w:val="Body Text"/>
    <w:basedOn w:val="1"/>
    <w:qFormat/>
    <w:uiPriority w:val="0"/>
    <w:pPr>
      <w:spacing w:before="30" w:beforeLines="30"/>
    </w:pPr>
    <w:rPr>
      <w:rFonts w:ascii="仿宋_GB2312" w:eastAsia="仿宋_GB2312"/>
      <w:kern w:val="0"/>
      <w:sz w:val="30"/>
    </w:rPr>
  </w:style>
  <w:style w:type="paragraph" w:styleId="7">
    <w:name w:val="Body Text Indent"/>
    <w:basedOn w:val="1"/>
    <w:next w:val="8"/>
    <w:qFormat/>
    <w:uiPriority w:val="0"/>
    <w:pPr>
      <w:spacing w:after="120"/>
      <w:ind w:left="200" w:leftChars="200"/>
    </w:pPr>
    <w:rPr>
      <w:rFonts w:ascii="仿宋_GB2312" w:hAnsi="仿宋_GB2312"/>
      <w:szCs w:val="32"/>
    </w:rPr>
  </w:style>
  <w:style w:type="paragraph" w:styleId="8">
    <w:name w:val="Body Text First Indent 2"/>
    <w:basedOn w:val="7"/>
    <w:next w:val="1"/>
    <w:qFormat/>
    <w:uiPriority w:val="0"/>
    <w:pPr>
      <w:ind w:firstLine="200" w:firstLineChars="200"/>
    </w:pPr>
  </w:style>
  <w:style w:type="paragraph" w:styleId="9">
    <w:name w:val="toc 5"/>
    <w:basedOn w:val="1"/>
    <w:next w:val="1"/>
    <w:qFormat/>
    <w:uiPriority w:val="0"/>
    <w:pPr>
      <w:ind w:left="800" w:leftChars="800"/>
    </w:pPr>
  </w:style>
  <w:style w:type="paragraph" w:styleId="10">
    <w:name w:val="toc 3"/>
    <w:basedOn w:val="1"/>
    <w:next w:val="1"/>
    <w:qFormat/>
    <w:uiPriority w:val="0"/>
    <w:pPr>
      <w:tabs>
        <w:tab w:val="right" w:leader="dot" w:pos="8296"/>
      </w:tabs>
      <w:ind w:left="400" w:leftChars="400"/>
    </w:pPr>
  </w:style>
  <w:style w:type="paragraph" w:styleId="11">
    <w:name w:val="Balloon Text"/>
    <w:basedOn w:val="1"/>
    <w:qFormat/>
    <w:uiPriority w:val="0"/>
    <w:rPr>
      <w:sz w:val="18"/>
      <w:szCs w:val="18"/>
    </w:rPr>
  </w:style>
  <w:style w:type="paragraph" w:styleId="12">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qFormat/>
    <w:uiPriority w:val="0"/>
    <w:pPr>
      <w:tabs>
        <w:tab w:val="right" w:leader="dot" w:pos="8296"/>
      </w:tabs>
      <w:spacing w:before="93"/>
      <w:jc w:val="center"/>
    </w:pPr>
    <w:rPr>
      <w:rFonts w:ascii="仿宋" w:hAnsi="仿宋" w:eastAsia="仿宋"/>
      <w:sz w:val="28"/>
      <w:szCs w:val="28"/>
    </w:rPr>
  </w:style>
  <w:style w:type="paragraph" w:styleId="15">
    <w:name w:val="footnote text"/>
    <w:basedOn w:val="1"/>
    <w:next w:val="8"/>
    <w:qFormat/>
    <w:uiPriority w:val="0"/>
    <w:pPr>
      <w:snapToGrid w:val="0"/>
      <w:jc w:val="left"/>
    </w:pPr>
    <w:rPr>
      <w:sz w:val="18"/>
      <w:szCs w:val="18"/>
    </w:rPr>
  </w:style>
  <w:style w:type="paragraph" w:styleId="16">
    <w:name w:val="toc 2"/>
    <w:basedOn w:val="1"/>
    <w:next w:val="1"/>
    <w:qFormat/>
    <w:uiPriority w:val="0"/>
    <w:pPr>
      <w:tabs>
        <w:tab w:val="right" w:leader="dot" w:pos="8296"/>
      </w:tabs>
      <w:ind w:left="200" w:leftChars="200"/>
    </w:pPr>
  </w:style>
  <w:style w:type="paragraph" w:styleId="17">
    <w:name w:val="Normal (Web)"/>
    <w:basedOn w:val="1"/>
    <w:qFormat/>
    <w:uiPriority w:val="0"/>
    <w:rPr>
      <w:sz w:val="24"/>
    </w:rPr>
  </w:style>
  <w:style w:type="character" w:styleId="20">
    <w:name w:val="Strong"/>
    <w:basedOn w:val="19"/>
    <w:qFormat/>
    <w:uiPriority w:val="0"/>
    <w:rPr>
      <w:b/>
    </w:rPr>
  </w:style>
  <w:style w:type="character" w:styleId="21">
    <w:name w:val="page number"/>
    <w:basedOn w:val="19"/>
    <w:qFormat/>
    <w:uiPriority w:val="0"/>
  </w:style>
  <w:style w:type="character" w:styleId="22">
    <w:name w:val="Hyperlink"/>
    <w:basedOn w:val="19"/>
    <w:qFormat/>
    <w:uiPriority w:val="0"/>
    <w:rPr>
      <w:color w:val="0000FF"/>
      <w:u w:val="single"/>
    </w:rPr>
  </w:style>
  <w:style w:type="character" w:customStyle="1" w:styleId="23">
    <w:name w:val="heading 1 Char"/>
    <w:basedOn w:val="19"/>
    <w:link w:val="2"/>
    <w:qFormat/>
    <w:uiPriority w:val="0"/>
    <w:rPr>
      <w:rFonts w:ascii="Times New Roman" w:hAnsi="Times New Roman" w:eastAsia="宋体" w:cs="Times New Roman"/>
      <w:b/>
      <w:bCs/>
      <w:kern w:val="44"/>
      <w:sz w:val="44"/>
      <w:szCs w:val="44"/>
      <w:lang w:val="en-US" w:eastAsia="zh-CN" w:bidi="ar-SA"/>
    </w:rPr>
  </w:style>
  <w:style w:type="character" w:customStyle="1" w:styleId="24">
    <w:name w:val="heading 2 Char"/>
    <w:basedOn w:val="19"/>
    <w:link w:val="3"/>
    <w:qFormat/>
    <w:uiPriority w:val="0"/>
    <w:rPr>
      <w:rFonts w:ascii="Cambria" w:hAnsi="Times New Roman" w:eastAsia="宋体" w:cs="Times New Roman"/>
      <w:b/>
      <w:bCs/>
      <w:kern w:val="2"/>
      <w:sz w:val="32"/>
      <w:szCs w:val="32"/>
      <w:lang w:val="en-US" w:eastAsia="zh-CN" w:bidi="ar-SA"/>
    </w:rPr>
  </w:style>
  <w:style w:type="paragraph" w:customStyle="1" w:styleId="25">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6">
    <w:name w:val="Header Char"/>
    <w:basedOn w:val="19"/>
    <w:qFormat/>
    <w:uiPriority w:val="0"/>
    <w:rPr>
      <w:rFonts w:ascii="Times New Roman" w:hAnsi="Times New Roman"/>
      <w:sz w:val="18"/>
      <w:szCs w:val="18"/>
    </w:rPr>
  </w:style>
  <w:style w:type="character" w:customStyle="1" w:styleId="27">
    <w:name w:val="Footer Char"/>
    <w:basedOn w:val="19"/>
    <w:qFormat/>
    <w:uiPriority w:val="0"/>
    <w:rPr>
      <w:rFonts w:ascii="Times New Roman" w:hAnsi="Times New Roman"/>
      <w:sz w:val="18"/>
      <w:szCs w:val="18"/>
    </w:rPr>
  </w:style>
  <w:style w:type="character" w:customStyle="1" w:styleId="28">
    <w:name w:val="Body Text Char"/>
    <w:basedOn w:val="19"/>
    <w:qFormat/>
    <w:uiPriority w:val="0"/>
    <w:rPr>
      <w:rFonts w:ascii="Times New Roman" w:hAnsi="Times New Roman"/>
      <w:szCs w:val="24"/>
    </w:rPr>
  </w:style>
  <w:style w:type="paragraph" w:customStyle="1" w:styleId="29">
    <w:name w:val="Default"/>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0"/>
    <w:pPr>
      <w:ind w:firstLine="200" w:firstLineChars="200"/>
    </w:pPr>
  </w:style>
  <w:style w:type="paragraph" w:customStyle="1" w:styleId="31">
    <w:name w:val="TOC 标题1"/>
    <w:basedOn w:val="2"/>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32">
    <w:name w:val="TOC 标题2"/>
    <w:basedOn w:val="2"/>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33">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image" Target="media/image1.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Lucida Sans"/>
              </a:defRPr>
            </a:pPr>
            <a:r>
              <a:rPr lang="zh-CN"/>
              <a:t>各项收入、支出占总收入、支出的比重（单位：万元）</a:t>
            </a:r>
            <a:endParaRPr lang="zh-CN"/>
          </a:p>
        </c:rich>
      </c:tx>
      <c:layout>
        <c:manualLayout>
          <c:xMode val="edge"/>
          <c:yMode val="edge"/>
          <c:x val="0.09465278"/>
          <c:y val="0.07986111"/>
        </c:manualLayout>
      </c:layout>
      <c:overlay val="0"/>
      <c:spPr>
        <a:noFill/>
        <a:ln>
          <a:noFill/>
        </a:ln>
      </c:spPr>
    </c:title>
    <c:autoTitleDeleted val="0"/>
    <c:view3D>
      <c:rotX val="30"/>
      <c:rotY val="0"/>
      <c:depthPercent val="100"/>
      <c:rAngAx val="0"/>
      <c:hPercent val="100"/>
      <c:perspective val="0"/>
    </c:view3D>
    <c:floor>
      <c:thickness val="0"/>
      <c:spPr>
        <a:ln>
          <a:noFill/>
        </a:ln>
      </c:spPr>
    </c:floor>
    <c:sideWall>
      <c:thickness val="0"/>
      <c:spPr>
        <a:ln>
          <a:noFill/>
        </a:ln>
      </c:spPr>
    </c:sideWall>
    <c:backWall>
      <c:thickness val="0"/>
      <c:spPr>
        <a:noFill/>
        <a:ln>
          <a:noFill/>
        </a:ln>
      </c:spPr>
    </c:backWall>
    <c:plotArea>
      <c:layout>
        <c:manualLayout>
          <c:layoutTarget val="inner"/>
          <c:xMode val="edge"/>
          <c:yMode val="edge"/>
          <c:x val="0.088972226"/>
          <c:y val="0.19906944"/>
          <c:w val="0.82622224"/>
          <c:h val="0.59746295"/>
        </c:manualLayout>
      </c:layout>
      <c:pie3DChart>
        <c:varyColors val="1"/>
        <c:ser>
          <c:idx val="0"/>
          <c:order val="0"/>
          <c:explosion val="0"/>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Lbls>
            <c:dLbl>
              <c:idx val="0"/>
              <c:layout/>
              <c:tx>
                <c:rich>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a:defRPr>
                    </a:pPr>
                    <a:r>
                      <a:rPr lang="zh-CN" sz="1000" b="0" i="0" u="none" strike="noStrike" baseline="0">
                        <a:solidFill>
                          <a:srgbClr val="404040"/>
                        </a:solidFill>
                        <a:latin typeface="Times New Roman" panose="02020603050405020304"/>
                        <a:ea typeface="宋体" panose="02010600030101010101" charset="-122"/>
                        <a:cs typeface="Lucida Sans"/>
                      </a:rPr>
                      <a:t>一般公共预算财政拨款收入, 977.44, 84.</a:t>
                    </a:r>
                    <a:r>
                      <a:rPr lang="en-US" altLang="zh-CN" sz="1000" b="0" i="0" u="none" strike="noStrike" baseline="0">
                        <a:solidFill>
                          <a:srgbClr val="404040"/>
                        </a:solidFill>
                        <a:latin typeface="Times New Roman" panose="02020603050405020304"/>
                        <a:ea typeface="宋体" panose="02010600030101010101" charset="-122"/>
                        <a:cs typeface="Lucida Sans"/>
                      </a:rPr>
                      <a:t>7</a:t>
                    </a:r>
                    <a:r>
                      <a:rPr lang="zh-CN" sz="1000" b="0" i="0" u="none" strike="noStrike" baseline="0">
                        <a:solidFill>
                          <a:srgbClr val="404040"/>
                        </a:solidFill>
                        <a:latin typeface="Times New Roman" panose="02020603050405020304"/>
                        <a:ea typeface="宋体" panose="02010600030101010101" charset="-122"/>
                        <a:cs typeface="Lucida Sans"/>
                      </a:rPr>
                      <a:t>%</a:t>
                    </a:r>
                    <a:endParaRPr lang="zh-CN" sz="1000" b="0" i="0" u="none" strike="noStrike" baseline="0">
                      <a:solidFill>
                        <a:srgbClr val="404040"/>
                      </a:solidFill>
                      <a:latin typeface="Times New Roman" panose="02020603050405020304"/>
                      <a:ea typeface="宋体" panose="02010600030101010101" charset="-122"/>
                      <a:cs typeface="Lucida Sans"/>
                    </a:endParaRP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a:defRPr>
                  </a:pPr>
                </a:p>
              </c:txPr>
              <c:dLblPos val="inEnd"/>
              <c:showLegendKey val="0"/>
              <c:showVal val="1"/>
              <c:showCatName val="1"/>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a:defRPr>
                    </a:pPr>
                    <a:r>
                      <a:rPr lang="zh-CN" sz="1000" b="0" i="0" u="none" strike="noStrike" baseline="0">
                        <a:solidFill>
                          <a:srgbClr val="404040"/>
                        </a:solidFill>
                        <a:latin typeface="Times New Roman" panose="02020603050405020304"/>
                        <a:ea typeface="宋体" panose="02010600030101010101" charset="-122"/>
                        <a:cs typeface="Lucida Sans"/>
                      </a:rPr>
                      <a:t>政府性基金预算收入, 176.8, 15.3%</a:t>
                    </a:r>
                    <a:endParaRPr lang="zh-CN" sz="1000" b="0" i="0" u="none" strike="noStrike" baseline="0">
                      <a:solidFill>
                        <a:srgbClr val="404040"/>
                      </a:solidFill>
                      <a:latin typeface="Times New Roman" panose="02020603050405020304"/>
                      <a:ea typeface="宋体" panose="02010600030101010101" charset="-122"/>
                      <a:cs typeface="Lucida Sans"/>
                    </a:endParaRP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a:defRPr>
                  </a:pPr>
                </a:p>
              </c:txPr>
              <c:dLblPos val="inEnd"/>
              <c:showLegendKey val="0"/>
              <c:showVal val="1"/>
              <c:showCatName val="1"/>
              <c:showSerName val="0"/>
              <c:showPercent val="1"/>
              <c:showBubbleSize val="0"/>
              <c:extLst>
                <c:ext xmlns:c15="http://schemas.microsoft.com/office/drawing/2012/chart" uri="{CE6537A1-D6FC-4f65-9D91-7224C49458BB}"/>
              </c:extLst>
            </c:dLbl>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a:defRPr>
                </a:pPr>
              </a:p>
            </c:txPr>
            <c:dLblPos val="in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{"一般公共预算财政拨款收入","政府性基金预算收入"}</c:f>
              <c:strCache>
                <c:ptCount val="2"/>
                <c:pt idx="0">
                  <c:v>一般公共预算财政拨款收入</c:v>
                </c:pt>
                <c:pt idx="1">
                  <c:v>政府性基金预算收入</c:v>
                </c:pt>
              </c:strCache>
            </c:strRef>
          </c:cat>
          <c:val>
            <c:numRef>
              <c:f>{977.44,176.8}</c:f>
              <c:numCache>
                <c:formatCode>General</c:formatCode>
                <c:ptCount val="2"/>
                <c:pt idx="0">
                  <c:v>977.44</c:v>
                </c:pt>
                <c:pt idx="1">
                  <c:v>176.8</c:v>
                </c:pt>
              </c:numCache>
            </c:numRef>
          </c:val>
        </c:ser>
        <c:dLbls>
          <c:showLegendKey val="0"/>
          <c:showVal val="1"/>
          <c:showCatName val="1"/>
          <c:showSerName val="0"/>
          <c:showPercent val="1"/>
          <c:showBubbleSize val="0"/>
        </c:dLbls>
      </c:pie3DChart>
      <c:spPr>
        <a:noFill/>
        <a:ln>
          <a:noFill/>
        </a:ln>
      </c:spPr>
    </c:plotArea>
    <c:legend>
      <c:legendPos val="b"/>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legend>
    <c:plotVisOnly val="1"/>
    <c:dispBlanksAs val="gap"/>
    <c:showDLblsOverMax val="0"/>
    <c:extLst>
      <c:ext uri="{0b15fc19-7d7d-44ad-8c2d-2c3a37ce22c3}">
        <chartProps xmlns="https://web.wps.cn/et/2018/main" chartId="{47f4be3d-23da-4e96-bdde-8a6580e43fa8}"/>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404040"/>
                </a:solidFill>
                <a:latin typeface="微软雅黑" panose="020B0503020204020204" charset="-122"/>
                <a:ea typeface="微软雅黑" panose="020B0503020204020204" charset="-122"/>
                <a:cs typeface="Lucida Sans"/>
              </a:defRPr>
            </a:pPr>
            <a:r>
              <a:rPr lang="zh-CN"/>
              <a:t>支出决算结构图（单位：万元）</a:t>
            </a:r>
            <a:endParaRPr lang="zh-CN"/>
          </a:p>
        </c:rich>
      </c:tx>
      <c:layout/>
      <c:overlay val="0"/>
      <c:spPr>
        <a:noFill/>
        <a:ln>
          <a:noFill/>
        </a:ln>
      </c:spPr>
    </c:title>
    <c:autoTitleDeleted val="0"/>
    <c:view3D>
      <c:rotX val="30"/>
      <c:rotY val="0"/>
      <c:depthPercent val="100"/>
      <c:rAngAx val="0"/>
      <c:hPercent val="100"/>
      <c:perspective val="0"/>
    </c:view3D>
    <c:floor>
      <c:thickness val="0"/>
      <c:spPr>
        <a:ln>
          <a:noFill/>
        </a:ln>
      </c:spPr>
    </c:floor>
    <c:sideWall>
      <c:thickness val="0"/>
      <c:spPr>
        <a:ln>
          <a:noFill/>
        </a:ln>
      </c:spPr>
    </c:sideWall>
    <c:backWall>
      <c:thickness val="0"/>
      <c:spPr>
        <a:noFill/>
        <a:ln>
          <a:noFill/>
        </a:ln>
      </c:spPr>
    </c:backWall>
    <c:plotArea>
      <c:layout/>
      <c:pie3DChart>
        <c:varyColors val="1"/>
        <c:ser>
          <c:idx val="0"/>
          <c:order val="0"/>
          <c:explosion val="0"/>
          <c:dPt>
            <c:idx val="0"/>
            <c:bubble3D val="0"/>
            <c:spPr>
              <a:solidFill>
                <a:srgbClr val="4874CB"/>
              </a:solidFill>
              <a:ln w="6350">
                <a:solidFill>
                  <a:srgbClr val="FFFFFF"/>
                </a:solidFill>
                <a:prstDash val="solid"/>
              </a:ln>
            </c:spPr>
          </c:dPt>
          <c:dPt>
            <c:idx val="1"/>
            <c:bubble3D val="0"/>
            <c:spPr>
              <a:solidFill>
                <a:srgbClr val="EE822F"/>
              </a:solidFill>
              <a:ln w="6350">
                <a:solidFill>
                  <a:srgbClr val="FFFFFF"/>
                </a:solidFill>
                <a:prstDash val="solid"/>
              </a:ln>
            </c:spPr>
          </c:dPt>
          <c:dLbls>
            <c:numFmt formatCode="General"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微软雅黑" panose="020B0503020204020204" charset="-122"/>
                    <a:ea typeface="微软雅黑" panose="020B0503020204020204" charset="-122"/>
                    <a:cs typeface="Lucida San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{"基本支出","项目支出"}</c:f>
              <c:strCache>
                <c:ptCount val="2"/>
                <c:pt idx="0">
                  <c:v>基本支出</c:v>
                </c:pt>
                <c:pt idx="1">
                  <c:v>项目支出</c:v>
                </c:pt>
              </c:strCache>
            </c:strRef>
          </c:cat>
          <c:val>
            <c:numRef>
              <c:f>{917.55,236.7}</c:f>
              <c:numCache>
                <c:formatCode>General</c:formatCode>
                <c:ptCount val="2"/>
                <c:pt idx="0">
                  <c:v>917.55</c:v>
                </c:pt>
                <c:pt idx="1">
                  <c:v>236.7</c:v>
                </c:pt>
              </c:numCache>
            </c:numRef>
          </c:val>
        </c:ser>
        <c:dLbls>
          <c:showLegendKey val="0"/>
          <c:showVal val="1"/>
          <c:showCatName val="0"/>
          <c:showSerName val="0"/>
          <c:showPercent val="0"/>
          <c:showBubbleSize val="0"/>
        </c:dLbls>
      </c:pie3DChart>
      <c:spPr>
        <a:noFill/>
        <a:ln>
          <a:noFill/>
        </a:ln>
      </c:spPr>
    </c:plotArea>
    <c:legend>
      <c:legendPos val="t"/>
      <c:layout/>
      <c:overlay val="0"/>
      <c:spPr>
        <a:noFill/>
        <a:ln>
          <a:noFill/>
        </a:ln>
      </c:spPr>
      <c:txPr>
        <a:bodyPr rot="0" spcFirstLastPara="0" vertOverflow="ellipsis" vert="horz" wrap="square" anchor="ctr" anchorCtr="1"/>
        <a:lstStyle/>
        <a:p>
          <a:pPr>
            <a:defRPr lang="zh-CN" sz="900" b="0" i="0" u="none" strike="noStrike" kern="1200" baseline="0">
              <a:solidFill>
                <a:srgbClr val="404040"/>
              </a:solidFill>
              <a:latin typeface="微软雅黑" panose="020B0503020204020204" charset="-122"/>
              <a:ea typeface="微软雅黑" panose="020B0503020204020204" charset="-122"/>
              <a:cs typeface="Lucida Sans"/>
            </a:defRPr>
          </a:pPr>
        </a:p>
      </c:txPr>
    </c:legend>
    <c:plotVisOnly val="1"/>
    <c:dispBlanksAs val="gap"/>
    <c:showDLblsOverMax val="0"/>
    <c:extLst>
      <c:ext uri="{0b15fc19-7d7d-44ad-8c2d-2c3a37ce22c3}">
        <chartProps xmlns="https://web.wps.cn/et/2018/main" chartId="{48351891-c35d-430e-81ad-7b154d5da2aa}"/>
      </c:ext>
    </c:extLst>
  </c:chart>
  <c:spPr>
    <a:solidFill>
      <a:srgbClr val="FFFFFF"/>
    </a:solidFill>
    <a:ln w="6350" cap="flat" cmpd="sng" algn="ctr">
      <a:solidFill>
        <a:srgbClr val="808080"/>
      </a:solidFill>
      <a:prstDash val="solid"/>
      <a:round/>
    </a:ln>
  </c:spPr>
  <c:txPr>
    <a:bodyPr/>
    <a:lstStyle/>
    <a:p>
      <a:pPr>
        <a:defRPr lang="zh-CN" sz="1000" b="0" i="0" u="none" strike="noStrike" baseline="0">
          <a:solidFill>
            <a:srgbClr val="404040"/>
          </a:solidFill>
          <a:latin typeface="微软雅黑" panose="020B0503020204020204" charset="-122"/>
          <a:ea typeface="微软雅黑" panose="020B0503020204020204" charset="-122"/>
          <a:cs typeface="Lucida Sans"/>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Lucida Sans"/>
              </a:defRPr>
            </a:pPr>
            <a:r>
              <a:rPr lang="zh-CN"/>
              <a:t>一般公共预算财政拨款支出决算变动情况     （单位：万元）</a:t>
            </a:r>
            <a:endParaRPr lang="zh-CN"/>
          </a:p>
        </c:rich>
      </c:tx>
      <c:layout/>
      <c:overlay val="0"/>
      <c:spPr>
        <a:noFill/>
        <a:ln>
          <a:noFill/>
        </a:ln>
      </c:spPr>
    </c:title>
    <c:autoTitleDeleted val="0"/>
    <c:plotArea>
      <c:layout>
        <c:manualLayout>
          <c:layoutTarget val="inner"/>
          <c:xMode val="edge"/>
          <c:yMode val="edge"/>
          <c:x val="0.05598162"/>
          <c:y val="0.24786511"/>
          <c:w val="0.9111111"/>
          <c:h val="0.65402776"/>
        </c:manualLayout>
      </c:layout>
      <c:barChart>
        <c:barDir val="col"/>
        <c:grouping val="clustered"/>
        <c:varyColors val="0"/>
        <c:ser>
          <c:idx val="0"/>
          <c:order val="0"/>
          <c:spPr>
            <a:gradFill rotWithShape="1">
              <a:gsLst>
                <a:gs pos="0">
                  <a:srgbClr val="B9CDE5">
                    <a:alpha val="100000"/>
                  </a:srgbClr>
                </a:gs>
                <a:gs pos="90000">
                  <a:srgbClr val="4F81BD">
                    <a:alpha val="100000"/>
                  </a:srgbClr>
                </a:gs>
              </a:gsLst>
              <a:lin ang="5400000" scaled="1"/>
            </a:gradFill>
            <a:ln w="6350">
              <a:solidFill>
                <a:srgbClr val="000000"/>
              </a:solidFill>
              <a:prstDash val="solid"/>
            </a:ln>
            <a:effectLst>
              <a:outerShdw dist="35921" dir="2700000" algn="br">
                <a:srgbClr val="000000"/>
              </a:outerShdw>
            </a:effectLst>
          </c:spPr>
          <c:invertIfNegative val="0"/>
          <c:dLbls>
            <c:numFmt formatCode="General"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Lucida Sans"/>
                  </a:defRPr>
                </a:pPr>
              </a:p>
            </c:txPr>
            <c:dLblPos val="inBase"/>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{"2025一般公共预算财政拨款收入","2024一般公共预算财政拨款收入"}</c:f>
              <c:strCache>
                <c:ptCount val="2"/>
                <c:pt idx="0">
                  <c:v>2025一般公共预算财政拨款收入</c:v>
                </c:pt>
                <c:pt idx="1">
                  <c:v>2024一般公共预算财政拨款收入</c:v>
                </c:pt>
              </c:strCache>
            </c:strRef>
          </c:cat>
          <c:val>
            <c:numRef>
              <c:f>{977.44,987.43}</c:f>
              <c:numCache>
                <c:formatCode>General</c:formatCode>
                <c:ptCount val="2"/>
                <c:pt idx="0">
                  <c:v>977.44</c:v>
                </c:pt>
                <c:pt idx="1">
                  <c:v>987.43</c:v>
                </c:pt>
              </c:numCache>
            </c:numRef>
          </c:val>
        </c:ser>
        <c:dLbls>
          <c:showLegendKey val="0"/>
          <c:showVal val="1"/>
          <c:showCatName val="0"/>
          <c:showSerName val="0"/>
          <c:showPercent val="0"/>
          <c:showBubbleSize val="0"/>
        </c:dLbls>
        <c:gapWidth val="246"/>
        <c:overlap val="-28"/>
        <c:axId val="0"/>
        <c:axId val="1"/>
      </c:barChart>
      <c:catAx>
        <c:axId val="0"/>
        <c:scaling>
          <c:orientation val="minMax"/>
        </c:scaling>
        <c:delete val="0"/>
        <c:axPos val="b"/>
        <c:numFmt formatCode="General" sourceLinked="0"/>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crossAx val="1"/>
        <c:crosses val="autoZero"/>
        <c:auto val="1"/>
        <c:lblAlgn val="ctr"/>
        <c:lblOffset val="100"/>
        <c:noMultiLvlLbl val="0"/>
      </c:catAx>
      <c:valAx>
        <c:axId val="1"/>
        <c:scaling>
          <c:orientation val="minMax"/>
        </c:scaling>
        <c:delete val="0"/>
        <c:axPos val="l"/>
        <c:majorGridlines>
          <c:spPr>
            <a:ln w="6350" cap="flat" cmpd="sng" algn="ctr">
              <a:solidFill>
                <a:srgbClr val="E6E6E6"/>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Lucida Sans"/>
              </a:defRPr>
            </a:pPr>
          </a:p>
        </c:txPr>
        <c:crossAx val="0"/>
        <c:crossesAt val="1"/>
        <c:crossBetween val="between"/>
      </c:valAx>
      <c:spPr>
        <a:noFill/>
        <a:ln>
          <a:noFill/>
        </a:ln>
      </c:spPr>
    </c:plotArea>
    <c:plotVisOnly val="1"/>
    <c:dispBlanksAs val="gap"/>
    <c:showDLblsOverMax val="0"/>
    <c:extLst>
      <c:ext uri="{0b15fc19-7d7d-44ad-8c2d-2c3a37ce22c3}">
        <chartProps xmlns="https://web.wps.cn/et/2018/main" chartId="{f4f7bdf6-d33e-4f83-934e-6ec1bf7f5283}"/>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Lucida Sans"/>
              </a:defRPr>
            </a:pPr>
            <a:r>
              <a:rPr lang="zh-CN"/>
              <a:t>一般公共预算财政拨款支出决算结构（单位：万元）</a:t>
            </a:r>
            <a:endParaRPr lang="zh-CN"/>
          </a:p>
        </c:rich>
      </c:tx>
      <c:layout>
        <c:manualLayout>
          <c:xMode val="edge"/>
          <c:yMode val="edge"/>
          <c:x val="0.037990224"/>
          <c:y val="0.0050386293"/>
        </c:manualLayout>
      </c:layout>
      <c:overlay val="0"/>
      <c:spPr>
        <a:noFill/>
        <a:ln>
          <a:noFill/>
        </a:ln>
      </c:spPr>
    </c:title>
    <c:autoTitleDeleted val="0"/>
    <c:view3D>
      <c:rotX val="30"/>
      <c:rotY val="0"/>
      <c:depthPercent val="100"/>
      <c:rAngAx val="0"/>
      <c:hPercent val="100"/>
      <c:perspective val="0"/>
    </c:view3D>
    <c:floor>
      <c:thickness val="0"/>
      <c:spPr>
        <a:ln>
          <a:noFill/>
        </a:ln>
      </c:spPr>
    </c:floor>
    <c:sideWall>
      <c:thickness val="0"/>
      <c:spPr>
        <a:ln>
          <a:noFill/>
        </a:ln>
      </c:spPr>
    </c:sideWall>
    <c:backWall>
      <c:thickness val="0"/>
      <c:spPr>
        <a:noFill/>
        <a:ln>
          <a:noFill/>
        </a:ln>
      </c:spPr>
    </c:backWall>
    <c:plotArea>
      <c:layout>
        <c:manualLayout>
          <c:layoutTarget val="inner"/>
          <c:xMode val="edge"/>
          <c:yMode val="edge"/>
          <c:x val="0.0052864663"/>
          <c:y val="0.0931838"/>
          <c:w val="0.9911008"/>
          <c:h val="0.7882353"/>
        </c:manualLayout>
      </c:layout>
      <c:pie3DChart>
        <c:varyColors val="1"/>
        <c:ser>
          <c:idx val="0"/>
          <c:order val="0"/>
          <c:explosion val="0"/>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Pt>
            <c:idx val="2"/>
            <c:bubble3D val="0"/>
            <c:spPr>
              <a:solidFill>
                <a:srgbClr val="9BBB59"/>
              </a:solidFill>
              <a:ln w="6350">
                <a:solidFill>
                  <a:srgbClr val="FFFFFF"/>
                </a:solidFill>
                <a:prstDash val="solid"/>
              </a:ln>
            </c:spPr>
          </c:dPt>
          <c:dPt>
            <c:idx val="3"/>
            <c:bubble3D val="0"/>
            <c:spPr>
              <a:solidFill>
                <a:srgbClr val="8064A2"/>
              </a:solidFill>
              <a:ln w="6350">
                <a:solidFill>
                  <a:srgbClr val="FFFFFF"/>
                </a:solidFill>
                <a:prstDash val="solid"/>
              </a:ln>
            </c:spPr>
          </c:dPt>
          <c:dLbls>
            <c:dLbl>
              <c:idx val="0"/>
              <c:layout>
                <c:manualLayout>
                  <c:x val="0.11331888"/>
                  <c:y val="-0.014612026"/>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rgbClr val="4F81BD"/>
                      </a:solidFill>
                      <a:latin typeface="Times New Roman" panose="02020603050405020304"/>
                      <a:ea typeface="宋体" panose="02010600030101010101" charset="-122"/>
                      <a:cs typeface="Lucida Sans"/>
                    </a:defRPr>
                  </a:pPr>
                </a:p>
              </c:txPr>
              <c:dLblPos val="bestFit"/>
              <c:showLegendKey val="0"/>
              <c:showVal val="1"/>
              <c:showCatName val="1"/>
              <c:showSerName val="0"/>
              <c:showPercent val="1"/>
              <c:showBubbleSize val="0"/>
              <c:extLst>
                <c:ext xmlns:c15="http://schemas.microsoft.com/office/drawing/2012/chart" uri="{CE6537A1-D6FC-4f65-9D91-7224C49458BB}">
                  <c15:layout/>
                </c:ext>
              </c:extLst>
            </c:dLbl>
            <c:dLbl>
              <c:idx val="1"/>
              <c:layout>
                <c:manualLayout>
                  <c:x val="-0.069845855"/>
                  <c:y val="0.00738999"/>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rgbClr val="C0504D"/>
                      </a:solidFill>
                      <a:latin typeface="Times New Roman" panose="02020603050405020304"/>
                      <a:ea typeface="宋体" panose="02010600030101010101" charset="-122"/>
                      <a:cs typeface="Lucida Sans"/>
                    </a:defRPr>
                  </a:pPr>
                </a:p>
              </c:txPr>
              <c:dLblPos val="bestFit"/>
              <c:showLegendKey val="0"/>
              <c:showVal val="1"/>
              <c:showCatName val="1"/>
              <c:showSerName val="0"/>
              <c:showPercent val="1"/>
              <c:showBubbleSize val="0"/>
              <c:extLst>
                <c:ext xmlns:c15="http://schemas.microsoft.com/office/drawing/2012/chart" uri="{CE6537A1-D6FC-4f65-9D91-7224C49458BB}">
                  <c15:layout/>
                </c:ext>
              </c:extLst>
            </c:dLbl>
            <c:dLbl>
              <c:idx val="2"/>
              <c:layout>
                <c:manualLayout>
                  <c:x val="0.14499037"/>
                  <c:y val="-0.001847497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rgbClr val="9BBB59"/>
                      </a:solidFill>
                      <a:latin typeface="Times New Roman" panose="02020603050405020304"/>
                      <a:ea typeface="宋体" panose="02010600030101010101" charset="-122"/>
                      <a:cs typeface="Lucida Sans"/>
                    </a:defRPr>
                  </a:pPr>
                </a:p>
              </c:txPr>
              <c:dLblPos val="bestFit"/>
              <c:showLegendKey val="0"/>
              <c:showVal val="1"/>
              <c:showCatName val="1"/>
              <c:showSerName val="0"/>
              <c:showPercent val="1"/>
              <c:showBubbleSize val="0"/>
              <c:extLst>
                <c:ext xmlns:c15="http://schemas.microsoft.com/office/drawing/2012/chart" uri="{CE6537A1-D6FC-4f65-9D91-7224C49458BB}">
                  <c15:layout/>
                </c:ext>
              </c:extLst>
            </c:dLbl>
            <c:dLbl>
              <c:idx val="3"/>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rgbClr val="8064A2"/>
                      </a:solidFill>
                      <a:latin typeface="Times New Roman" panose="02020603050405020304"/>
                      <a:ea typeface="宋体" panose="02010600030101010101" charset="-122"/>
                      <a:cs typeface="Lucida Sans"/>
                    </a:defRPr>
                  </a:pPr>
                </a:p>
              </c:txPr>
              <c:dLblPos val="outEnd"/>
              <c:showLegendKey val="0"/>
              <c:showVal val="1"/>
              <c:showCatName val="1"/>
              <c:showSerName val="0"/>
              <c:showPercent val="1"/>
              <c:showBubbleSize val="0"/>
              <c:extLst>
                <c:ext xmlns:c15="http://schemas.microsoft.com/office/drawing/2012/chart" uri="{CE6537A1-D6FC-4f65-9D91-7224C49458BB}"/>
              </c:extLst>
            </c:dLbl>
            <c:numFmt formatCode="0%" sourceLinked="0"/>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rgbClr val="4F81BD"/>
                    </a:solidFill>
                    <a:latin typeface="Times New Roman" panose="02020603050405020304"/>
                    <a:ea typeface="宋体" panose="02010600030101010101" charset="-122"/>
                    <a:cs typeface="Lucida Sans"/>
                  </a:defRPr>
                </a:pPr>
              </a:p>
            </c:txPr>
            <c:dLblPos val="out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{"社会保障和就业支出","卫生健康支出","住房保障支出",""}</c:f>
              <c:strCache>
                <c:ptCount val="4"/>
                <c:pt idx="0">
                  <c:v>社会保障和就业支出</c:v>
                </c:pt>
                <c:pt idx="1">
                  <c:v>卫生健康支出</c:v>
                </c:pt>
                <c:pt idx="2">
                  <c:v>住房保障支出</c:v>
                </c:pt>
              </c:strCache>
            </c:strRef>
          </c:cat>
          <c:val>
            <c:numRef>
              <c:f>{882.23,39.01,56.21,#N/A}</c:f>
              <c:numCache>
                <c:formatCode>General</c:formatCode>
                <c:ptCount val="4"/>
                <c:pt idx="0">
                  <c:v>882.23</c:v>
                </c:pt>
                <c:pt idx="1">
                  <c:v>39.01</c:v>
                </c:pt>
                <c:pt idx="2">
                  <c:v>56.21</c:v>
                </c:pt>
              </c:numCache>
            </c:numRef>
          </c:val>
        </c:ser>
        <c:dLbls>
          <c:showLegendKey val="0"/>
          <c:showVal val="1"/>
          <c:showCatName val="1"/>
          <c:showSerName val="0"/>
          <c:showPercent val="1"/>
          <c:showBubbleSize val="0"/>
        </c:dLbls>
      </c:pie3DChart>
      <c:spPr>
        <a:noFill/>
        <a:ln>
          <a:noFill/>
        </a:ln>
      </c:spPr>
    </c:plotArea>
    <c:plotVisOnly val="1"/>
    <c:dispBlanksAs val="gap"/>
    <c:showDLblsOverMax val="0"/>
    <c:extLst>
      <c:ext uri="{0b15fc19-7d7d-44ad-8c2d-2c3a37ce22c3}">
        <chartProps xmlns="https://web.wps.cn/et/2018/main" chartId="{310989a1-4d5a-493e-a98c-8063c5f9f5c2}"/>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Lucida Sans"/>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404040"/>
                </a:solidFill>
                <a:latin typeface="微软雅黑" panose="020B0503020204020204" charset="-122"/>
                <a:ea typeface="微软雅黑" panose="020B0503020204020204" charset="-122"/>
                <a:cs typeface="Lucida Sans"/>
              </a:defRPr>
            </a:pPr>
            <a:r>
              <a:rPr lang="zh-CN"/>
              <a:t>“三公”经费财政拨款支出结构（单位：万元）</a:t>
            </a:r>
            <a:endParaRPr lang="zh-CN"/>
          </a:p>
        </c:rich>
      </c:tx>
      <c:layout/>
      <c:overlay val="0"/>
      <c:spPr>
        <a:noFill/>
        <a:ln>
          <a:noFill/>
        </a:ln>
      </c:spPr>
    </c:title>
    <c:autoTitleDeleted val="0"/>
    <c:view3D>
      <c:rotX val="30"/>
      <c:rotY val="0"/>
      <c:depthPercent val="100"/>
      <c:rAngAx val="0"/>
      <c:hPercent val="100"/>
      <c:perspective val="0"/>
    </c:view3D>
    <c:floor>
      <c:thickness val="0"/>
      <c:spPr>
        <a:ln>
          <a:noFill/>
        </a:ln>
      </c:spPr>
    </c:floor>
    <c:sideWall>
      <c:thickness val="0"/>
      <c:spPr>
        <a:ln>
          <a:noFill/>
        </a:ln>
      </c:spPr>
    </c:sideWall>
    <c:backWall>
      <c:thickness val="0"/>
      <c:spPr>
        <a:noFill/>
        <a:ln>
          <a:noFill/>
        </a:ln>
      </c:spPr>
    </c:backWall>
    <c:plotArea>
      <c:layout/>
      <c:pie3DChart>
        <c:varyColors val="1"/>
        <c:ser>
          <c:idx val="0"/>
          <c:order val="0"/>
          <c:explosion val="0"/>
          <c:dPt>
            <c:idx val="0"/>
            <c:bubble3D val="0"/>
            <c:spPr>
              <a:solidFill>
                <a:srgbClr val="C0504D"/>
              </a:solidFill>
              <a:ln>
                <a:noFill/>
              </a:ln>
            </c:spPr>
          </c:dPt>
          <c:dPt>
            <c:idx val="1"/>
            <c:bubble3D val="0"/>
            <c:spPr>
              <a:solidFill>
                <a:srgbClr val="8064A2"/>
              </a:solidFill>
              <a:ln>
                <a:noFill/>
              </a:ln>
            </c:spPr>
          </c:dPt>
          <c:dLbls>
            <c:dLbl>
              <c:idx val="0"/>
              <c:layout>
                <c:manualLayout>
                  <c:x val="0.18072289"/>
                  <c:y val="-0.041237112"/>
                </c:manualLayout>
              </c:layout>
              <c:numFmt formatCode="General"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微软雅黑" panose="020B0503020204020204" charset="-122"/>
                      <a:ea typeface="微软雅黑" panose="020B0503020204020204" charset="-122"/>
                      <a:cs typeface="Lucida Sans"/>
                    </a:defRPr>
                  </a:pPr>
                </a:p>
              </c:txPr>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dLbl>
              <c:idx val="1"/>
              <c:layout>
                <c:manualLayout>
                  <c:x val="-0.15461847"/>
                  <c:y val="0.041237112"/>
                </c:manualLayout>
              </c:layout>
              <c:numFmt formatCode="General"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微软雅黑" panose="020B0503020204020204" charset="-122"/>
                      <a:ea typeface="微软雅黑" panose="020B0503020204020204" charset="-122"/>
                      <a:cs typeface="Lucida Sans"/>
                    </a:defRPr>
                  </a:pPr>
                </a:p>
              </c:txPr>
              <c:dLblPos val="bestFit"/>
              <c:showLegendKey val="0"/>
              <c:showVal val="1"/>
              <c:showCatName val="1"/>
              <c:showSerName val="0"/>
              <c:showPercent val="0"/>
              <c:showBubbleSize val="0"/>
              <c:separator>
</c:separator>
              <c:extLst>
                <c:ext xmlns:c15="http://schemas.microsoft.com/office/drawing/2012/chart" uri="{CE6537A1-D6FC-4f65-9D91-7224C49458BB}">
                  <c15:layout/>
                </c:ext>
              </c:extLst>
            </c:dLbl>
            <c:numFmt formatCode="General"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微软雅黑" panose="020B0503020204020204" charset="-122"/>
                    <a:ea typeface="微软雅黑" panose="020B0503020204020204" charset="-122"/>
                    <a:cs typeface="Lucida Sans"/>
                  </a:defRPr>
                </a:pPr>
              </a:p>
            </c:txPr>
            <c:dLblPos val="out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ext>
            </c:extLst>
          </c:dLbls>
          <c:cat>
            <c:strRef>
              <c:f>{"公务用车购置及运行维护费支出决算","公务接待费支出决算"}</c:f>
              <c:strCache>
                <c:ptCount val="2"/>
                <c:pt idx="0">
                  <c:v>公务用车购置及运行维护费支出决算</c:v>
                </c:pt>
                <c:pt idx="1">
                  <c:v>公务接待费支出决算</c:v>
                </c:pt>
              </c:strCache>
            </c:strRef>
          </c:cat>
          <c:val>
            <c:numRef>
              <c:f>{5.65,0.43}</c:f>
              <c:numCache>
                <c:formatCode>General</c:formatCode>
                <c:ptCount val="2"/>
                <c:pt idx="0">
                  <c:v>5.65</c:v>
                </c:pt>
                <c:pt idx="1">
                  <c:v>0.43</c:v>
                </c:pt>
              </c:numCache>
            </c:numRef>
          </c:val>
        </c:ser>
        <c:dLbls>
          <c:showLegendKey val="0"/>
          <c:showVal val="1"/>
          <c:showCatName val="1"/>
          <c:showSerName val="0"/>
          <c:showPercent val="0"/>
          <c:showBubbleSize val="0"/>
        </c:dLbls>
      </c:pie3DChart>
      <c:spPr>
        <a:noFill/>
        <a:ln>
          <a:noFill/>
        </a:ln>
      </c:spPr>
    </c:plotArea>
    <c:plotVisOnly val="1"/>
    <c:dispBlanksAs val="gap"/>
    <c:showDLblsOverMax val="0"/>
    <c:extLst>
      <c:ext uri="{0b15fc19-7d7d-44ad-8c2d-2c3a37ce22c3}">
        <chartProps xmlns="https://web.wps.cn/et/2018/main" chartId="{92a608ac-ee75-4006-8d64-03cda57ad8b5}"/>
      </c:ext>
    </c:extLst>
  </c:chart>
  <c:spPr>
    <a:solidFill>
      <a:srgbClr val="FFFFFF"/>
    </a:solidFill>
    <a:ln w="6350" cap="flat" cmpd="sng" algn="ctr">
      <a:solidFill>
        <a:srgbClr val="808080"/>
      </a:solidFill>
      <a:prstDash val="solid"/>
      <a:round/>
    </a:ln>
  </c:spPr>
  <c:txPr>
    <a:bodyPr/>
    <a:lstStyle/>
    <a:p>
      <a:pPr>
        <a:defRPr lang="zh-CN" sz="1000" b="0" i="0" u="none" strike="noStrike" baseline="0">
          <a:solidFill>
            <a:srgbClr val="404040"/>
          </a:solidFill>
          <a:latin typeface="微软雅黑" panose="020B0503020204020204" charset="-122"/>
          <a:ea typeface="微软雅黑" panose="020B0503020204020204" charset="-122"/>
          <a:cs typeface="Lucida Sans"/>
        </a:defRPr>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ustomData xmlns="http://www.yozosoft.com.cn/officeDocument/2016/customData">
  <customProps>
    <docPr revisions="3 0 5 0 0 0 1 0 0 0 3000 0 1 1 1 1"/>
    <sectPr/>
    <sectPr/>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35B78D8-9372-4E6C-9293-226547F1EEB7}">
  <ds:schemaRefs/>
</ds:datastoreItem>
</file>

<file path=docProps/app.xml><?xml version="1.0" encoding="utf-8"?>
<Properties xmlns="http://schemas.openxmlformats.org/officeDocument/2006/extended-properties" xmlns:vt="http://schemas.openxmlformats.org/officeDocument/2006/docPropsVTypes">
  <Template>Normal.eit</Template>
  <Company>四川省财政厅</Company>
  <Pages>18</Pages>
  <Words>5704</Words>
  <Characters>6192</Characters>
  <Lines>0</Lines>
  <Paragraphs>202</Paragraphs>
  <TotalTime>920</TotalTime>
  <ScaleCrop>false</ScaleCrop>
  <LinksUpToDate>false</LinksUpToDate>
  <CharactersWithSpaces>6262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Administrator</cp:lastModifiedBy>
  <cp:lastPrinted>2026-08-27T00:27:00Z</cp:lastPrinted>
  <dcterms:modified xsi:type="dcterms:W3CDTF">2026-09-14T09:28:02Z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3BF536824C220DA3E40E8B68BA118B1C_42</vt:lpwstr>
  </property>
  <property fmtid="{D5CDD505-2E9C-101B-9397-08002B2CF9AE}" pid="4" name="KSOTemplateDocerSaveRecord">
    <vt:lpwstr>eyJoZGlkIjoiOWY2ZDliODJkYTYxYWUyNTY0NjYxMjQ5YTEwOGU4N2QiLCJ1c2VySWQiOiI1NTIxNjQ2OTkifQ==</vt:lpwstr>
  </property>
</Properties>
</file>