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23A06">
      <w:pPr>
        <w:pStyle w:val="7"/>
        <w:spacing w:before="93"/>
        <w:rPr>
          <w:rFonts w:hint="eastAsia" w:ascii="Times New Roman" w:eastAsia="方正小标宋简体"/>
          <w:kern w:val="2"/>
          <w:sz w:val="72"/>
          <w:szCs w:val="72"/>
        </w:rPr>
      </w:pPr>
      <w:bookmarkStart w:id="0" w:name="_Toc15378441"/>
      <w:bookmarkStart w:id="1" w:name="_Toc15377193"/>
      <w:bookmarkStart w:id="2" w:name="_Toc15396475"/>
      <w:bookmarkStart w:id="3" w:name="_Toc15396597"/>
      <w:bookmarkStart w:id="4" w:name="_Toc15306267"/>
      <w:bookmarkStart w:id="5" w:name="_Toc15377425"/>
    </w:p>
    <w:p w14:paraId="3D541ED0">
      <w:pPr>
        <w:pStyle w:val="7"/>
        <w:spacing w:before="93"/>
        <w:rPr>
          <w:rFonts w:ascii="Times New Roman" w:eastAsia="方正小标宋简体"/>
          <w:kern w:val="2"/>
          <w:sz w:val="72"/>
          <w:szCs w:val="72"/>
        </w:rPr>
      </w:pPr>
    </w:p>
    <w:p w14:paraId="72625C1E">
      <w:pPr>
        <w:pStyle w:val="7"/>
        <w:spacing w:before="93"/>
        <w:rPr>
          <w:rFonts w:ascii="Times New Roman" w:eastAsia="方正小标宋简体"/>
          <w:kern w:val="2"/>
          <w:sz w:val="72"/>
          <w:szCs w:val="72"/>
        </w:rPr>
      </w:pPr>
    </w:p>
    <w:p w14:paraId="2B1A69C8">
      <w:pPr>
        <w:pStyle w:val="7"/>
        <w:spacing w:before="93"/>
        <w:rPr>
          <w:rFonts w:ascii="Times New Roman" w:eastAsia="方正小标宋简体"/>
          <w:kern w:val="2"/>
          <w:sz w:val="72"/>
          <w:szCs w:val="72"/>
        </w:rPr>
      </w:pPr>
    </w:p>
    <w:p w14:paraId="4BF82804">
      <w:pPr>
        <w:pStyle w:val="7"/>
        <w:spacing w:before="93"/>
        <w:rPr>
          <w:rFonts w:ascii="Times New Roman" w:eastAsia="方正小标宋简体"/>
          <w:kern w:val="2"/>
          <w:sz w:val="72"/>
          <w:szCs w:val="72"/>
        </w:rPr>
      </w:pPr>
    </w:p>
    <w:p w14:paraId="3EE5C45D">
      <w:pPr>
        <w:keepNext w:val="0"/>
        <w:keepLines w:val="0"/>
        <w:pageBreakBefore w:val="0"/>
        <w:widowControl w:val="0"/>
        <w:kinsoku/>
        <w:wordWrap/>
        <w:overflowPunct/>
        <w:topLinePunct w:val="0"/>
        <w:autoSpaceDE/>
        <w:autoSpaceDN/>
        <w:bidi w:val="0"/>
        <w:adjustRightInd/>
        <w:snapToGrid/>
        <w:spacing w:line="700" w:lineRule="exact"/>
        <w:jc w:val="both"/>
        <w:textAlignment w:val="auto"/>
        <w:outlineLvl w:val="9"/>
        <w:rPr>
          <w:rFonts w:hint="eastAsia" w:ascii="方正小标宋_GBK" w:hAnsi="方正小标宋_GBK" w:eastAsia="方正小标宋_GBK" w:cs="方正小标宋_GBK"/>
          <w:sz w:val="44"/>
          <w:szCs w:val="44"/>
        </w:rPr>
      </w:pPr>
    </w:p>
    <w:p w14:paraId="4B17B318">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方正小标宋_GBK" w:cs="Times New Roman"/>
          <w:b/>
          <w:bCs/>
          <w:kern w:val="2"/>
          <w:sz w:val="44"/>
          <w:szCs w:val="44"/>
          <w:lang w:val="en-US" w:eastAsia="zh-CN" w:bidi="ar-SA"/>
        </w:rPr>
      </w:pPr>
      <w:r>
        <w:rPr>
          <w:rFonts w:hint="eastAsia" w:ascii="Times New Roman" w:hAnsi="Times New Roman" w:eastAsia="方正小标宋_GBK" w:cs="Times New Roman"/>
          <w:b/>
          <w:bCs/>
          <w:kern w:val="2"/>
          <w:sz w:val="44"/>
          <w:szCs w:val="44"/>
          <w:lang w:val="en-US" w:eastAsia="zh-CN" w:bidi="ar-SA"/>
        </w:rPr>
        <w:t>攀枝花市社会福利院</w:t>
      </w:r>
    </w:p>
    <w:p w14:paraId="69D0D8F6">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方正小标宋_GBK" w:cs="Times New Roman"/>
          <w:b/>
          <w:bCs/>
          <w:kern w:val="2"/>
          <w:sz w:val="44"/>
          <w:szCs w:val="44"/>
          <w:lang w:val="en-US" w:eastAsia="zh-CN" w:bidi="ar-SA"/>
        </w:rPr>
      </w:pPr>
      <w:r>
        <w:rPr>
          <w:rFonts w:hint="eastAsia" w:ascii="Times New Roman" w:hAnsi="Times New Roman" w:eastAsia="方正小标宋_GBK" w:cs="Times New Roman"/>
          <w:b/>
          <w:bCs/>
          <w:kern w:val="2"/>
          <w:sz w:val="44"/>
          <w:szCs w:val="44"/>
          <w:lang w:val="en-US" w:eastAsia="zh-CN" w:bidi="ar-SA"/>
        </w:rPr>
        <w:t>2025年度单位决算公开编制说明</w:t>
      </w:r>
    </w:p>
    <w:p w14:paraId="713CAC03">
      <w:pPr>
        <w:spacing w:line="600" w:lineRule="exact"/>
        <w:jc w:val="center"/>
        <w:outlineLvl w:val="0"/>
        <w:rPr>
          <w:rFonts w:eastAsia="方正小标宋简体"/>
          <w:sz w:val="72"/>
          <w:szCs w:val="72"/>
        </w:rPr>
      </w:pPr>
    </w:p>
    <w:p w14:paraId="0BF6C81C">
      <w:pPr>
        <w:pStyle w:val="22"/>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bookmarkEnd w:id="0"/>
    <w:bookmarkEnd w:id="1"/>
    <w:bookmarkEnd w:id="2"/>
    <w:bookmarkEnd w:id="3"/>
    <w:bookmarkEnd w:id="4"/>
    <w:bookmarkEnd w:id="5"/>
    <w:p w14:paraId="7A2BED8A">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方正小标宋_GBK" w:cs="Times New Roman"/>
          <w:b/>
          <w:bCs/>
          <w:kern w:val="2"/>
          <w:sz w:val="44"/>
          <w:szCs w:val="44"/>
          <w:lang w:val="en-US" w:eastAsia="zh-CN" w:bidi="ar-SA"/>
        </w:rPr>
      </w:pPr>
      <w:r>
        <w:rPr>
          <w:rFonts w:hint="eastAsia" w:ascii="Times New Roman" w:hAnsi="Times New Roman" w:eastAsia="方正小标宋_GBK" w:cs="Times New Roman"/>
          <w:b/>
          <w:bCs/>
          <w:kern w:val="2"/>
          <w:sz w:val="44"/>
          <w:szCs w:val="44"/>
          <w:lang w:val="en-US" w:eastAsia="zh-CN" w:bidi="ar-SA"/>
        </w:rPr>
        <w:t>目  录</w:t>
      </w:r>
    </w:p>
    <w:p w14:paraId="42637AB8">
      <w:pPr>
        <w:pStyle w:val="14"/>
        <w:adjustRightInd w:val="0"/>
        <w:snapToGrid w:val="0"/>
        <w:spacing w:before="0" w:line="600" w:lineRule="exact"/>
        <w:jc w:val="center"/>
        <w:rPr>
          <w:rFonts w:hint="eastAsia" w:ascii="方正黑体_GBK" w:hAnsi="方正黑体_GBK" w:eastAsia="方正黑体_GBK" w:cs="方正黑体_GBK"/>
          <w:b w:val="0"/>
          <w:bCs w:val="0"/>
          <w:kern w:val="2"/>
          <w:sz w:val="32"/>
          <w:szCs w:val="32"/>
          <w:lang w:val="en-US" w:eastAsia="zh-CN" w:bidi="ar-SA"/>
        </w:rPr>
      </w:pPr>
      <w:r>
        <w:rPr>
          <w:rFonts w:hint="eastAsia" w:ascii="方正黑体_GBK" w:hAnsi="方正黑体_GBK" w:eastAsia="方正黑体_GBK" w:cs="方正黑体_GBK"/>
          <w:b w:val="0"/>
          <w:bCs w:val="0"/>
          <w:kern w:val="2"/>
          <w:sz w:val="32"/>
          <w:szCs w:val="32"/>
          <w:lang w:val="en-US" w:eastAsia="zh-CN" w:bidi="ar-SA"/>
        </w:rPr>
        <w:t>公开时间：</w:t>
      </w:r>
      <w:r>
        <w:rPr>
          <w:rFonts w:hint="default" w:ascii="Times New Roman" w:hAnsi="Times New Roman" w:eastAsia="方正黑体_GBK" w:cs="Times New Roman"/>
          <w:b w:val="0"/>
          <w:bCs w:val="0"/>
          <w:kern w:val="2"/>
          <w:sz w:val="32"/>
          <w:szCs w:val="32"/>
          <w:lang w:val="en-US" w:eastAsia="zh-CN" w:bidi="ar-SA"/>
        </w:rPr>
        <w:t>2026</w:t>
      </w:r>
      <w:r>
        <w:rPr>
          <w:rFonts w:hint="eastAsia" w:ascii="方正黑体_GBK" w:hAnsi="方正黑体_GBK" w:eastAsia="方正黑体_GBK" w:cs="方正黑体_GBK"/>
          <w:b w:val="0"/>
          <w:bCs w:val="0"/>
          <w:kern w:val="2"/>
          <w:sz w:val="32"/>
          <w:szCs w:val="32"/>
          <w:lang w:val="en-US" w:eastAsia="zh-CN" w:bidi="ar-SA"/>
        </w:rPr>
        <w:t>年</w:t>
      </w:r>
      <w:r>
        <w:rPr>
          <w:rFonts w:hint="eastAsia" w:ascii="Times New Roman" w:hAnsi="Times New Roman" w:eastAsia="方正黑体_GBK" w:cs="Times New Roman"/>
          <w:b w:val="0"/>
          <w:bCs w:val="0"/>
          <w:kern w:val="2"/>
          <w:sz w:val="32"/>
          <w:szCs w:val="32"/>
          <w:lang w:val="en-US" w:eastAsia="zh-CN" w:bidi="ar-SA"/>
        </w:rPr>
        <w:t>9</w:t>
      </w:r>
      <w:r>
        <w:rPr>
          <w:rFonts w:hint="eastAsia" w:ascii="方正黑体_GBK" w:hAnsi="方正黑体_GBK" w:eastAsia="方正黑体_GBK" w:cs="方正黑体_GBK"/>
          <w:b w:val="0"/>
          <w:bCs w:val="0"/>
          <w:kern w:val="2"/>
          <w:sz w:val="32"/>
          <w:szCs w:val="32"/>
          <w:lang w:val="en-US" w:eastAsia="zh-CN" w:bidi="ar-SA"/>
        </w:rPr>
        <w:t>月</w:t>
      </w:r>
      <w:r>
        <w:rPr>
          <w:rFonts w:hint="eastAsia" w:ascii="Times New Roman" w:hAnsi="Times New Roman" w:eastAsia="方正黑体_GBK" w:cs="Times New Roman"/>
          <w:b w:val="0"/>
          <w:bCs w:val="0"/>
          <w:kern w:val="2"/>
          <w:sz w:val="32"/>
          <w:szCs w:val="32"/>
          <w:lang w:val="en-US" w:eastAsia="zh-CN" w:bidi="ar-SA"/>
        </w:rPr>
        <w:t>14</w:t>
      </w:r>
      <w:r>
        <w:rPr>
          <w:rFonts w:hint="eastAsia" w:ascii="方正黑体_GBK" w:hAnsi="方正黑体_GBK" w:eastAsia="方正黑体_GBK" w:cs="方正黑体_GBK"/>
          <w:b w:val="0"/>
          <w:bCs w:val="0"/>
          <w:kern w:val="2"/>
          <w:sz w:val="32"/>
          <w:szCs w:val="32"/>
          <w:lang w:val="en-US" w:eastAsia="zh-CN" w:bidi="ar-SA"/>
        </w:rPr>
        <w:t>日</w:t>
      </w:r>
    </w:p>
    <w:p w14:paraId="3889E0D9">
      <w:pPr>
        <w:keepNext w:val="0"/>
        <w:keepLines w:val="0"/>
        <w:pageBreakBefore w:val="0"/>
        <w:widowControl w:val="0"/>
        <w:kinsoku/>
        <w:wordWrap/>
        <w:overflowPunct/>
        <w:topLinePunct w:val="0"/>
        <w:autoSpaceDE/>
        <w:autoSpaceDN/>
        <w:bidi w:val="0"/>
        <w:spacing w:line="600" w:lineRule="exact"/>
        <w:textAlignment w:val="auto"/>
      </w:pPr>
      <w:bookmarkStart w:id="63" w:name="_GoBack"/>
      <w:bookmarkEnd w:id="63"/>
    </w:p>
    <w:p w14:paraId="6F911D2C">
      <w:pPr>
        <w:pStyle w:val="14"/>
        <w:adjustRightInd w:val="0"/>
        <w:snapToGrid w:val="0"/>
        <w:spacing w:before="0" w:line="600" w:lineRule="exact"/>
        <w:jc w:val="left"/>
        <w:rPr>
          <w:rFonts w:hint="default" w:ascii="Times New Roman" w:hAnsi="Times New Roman" w:eastAsia="黑体"/>
          <w:sz w:val="32"/>
          <w:szCs w:val="32"/>
          <w:lang w:val="en-US" w:eastAsia="zh-CN" w:bidi="ar-SA"/>
        </w:rPr>
      </w:pPr>
      <w:r>
        <w:rPr>
          <w:rFonts w:hint="eastAsia" w:ascii="方正黑体_GBK" w:hAnsi="方正黑体_GBK" w:eastAsia="方正黑体_GBK" w:cs="方正黑体_GBK"/>
          <w:b w:val="0"/>
          <w:bCs w:val="0"/>
          <w:kern w:val="2"/>
          <w:sz w:val="32"/>
          <w:szCs w:val="32"/>
          <w:lang w:val="en-US" w:eastAsia="zh-CN" w:bidi="ar-SA"/>
        </w:rPr>
        <w:t>第一部分 单位概况.............................................................</w:t>
      </w:r>
      <w:r>
        <w:rPr>
          <w:rFonts w:hint="eastAsia" w:ascii="Times New Roman" w:hAnsi="Times New Roman" w:eastAsia="黑体"/>
          <w:sz w:val="32"/>
          <w:szCs w:val="32"/>
          <w:lang w:val="en-US" w:eastAsia="zh-CN" w:bidi="ar-SA"/>
        </w:rPr>
        <w:t>1</w:t>
      </w:r>
    </w:p>
    <w:p w14:paraId="5256C487">
      <w:pPr>
        <w:keepNext w:val="0"/>
        <w:keepLines w:val="0"/>
        <w:pageBreakBefore w:val="0"/>
        <w:widowControl w:val="0"/>
        <w:kinsoku/>
        <w:wordWrap/>
        <w:overflowPunct/>
        <w:topLinePunct w:val="0"/>
        <w:autoSpaceDE/>
        <w:autoSpaceDN/>
        <w:bidi w:val="0"/>
        <w:spacing w:line="600" w:lineRule="exact"/>
        <w:ind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一、单位职责....................................................................</w:t>
      </w:r>
      <w:r>
        <w:rPr>
          <w:rFonts w:hint="eastAsia" w:ascii="Times New Roman" w:hAnsi="Times New Roman" w:eastAsia="黑体" w:cs="Times New Roman"/>
          <w:kern w:val="2"/>
          <w:sz w:val="32"/>
          <w:szCs w:val="32"/>
          <w:lang w:val="en-US" w:eastAsia="zh-CN" w:bidi="ar-SA"/>
        </w:rPr>
        <w:t>1</w:t>
      </w:r>
    </w:p>
    <w:p w14:paraId="11AF25E6">
      <w:pPr>
        <w:keepNext w:val="0"/>
        <w:keepLines w:val="0"/>
        <w:pageBreakBefore w:val="0"/>
        <w:widowControl w:val="0"/>
        <w:kinsoku/>
        <w:wordWrap/>
        <w:overflowPunct/>
        <w:topLinePunct w:val="0"/>
        <w:autoSpaceDE/>
        <w:autoSpaceDN/>
        <w:bidi w:val="0"/>
        <w:spacing w:line="600" w:lineRule="exact"/>
        <w:ind w:firstLine="640" w:firstLineChars="200"/>
        <w:jc w:val="left"/>
        <w:textAlignment w:val="auto"/>
        <w:rPr>
          <w:rFonts w:hint="eastAsia"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二、机构设置....................................................................</w:t>
      </w:r>
      <w:r>
        <w:rPr>
          <w:rFonts w:hint="eastAsia" w:ascii="Times New Roman" w:hAnsi="Times New Roman" w:eastAsia="方正仿宋_GBK" w:cs="Times New Roman"/>
          <w:b w:val="0"/>
          <w:bCs w:val="0"/>
          <w:kern w:val="0"/>
          <w:sz w:val="32"/>
          <w:szCs w:val="32"/>
          <w:lang w:val="en-US" w:eastAsia="zh-CN" w:bidi="ar"/>
        </w:rPr>
        <w:t>1</w:t>
      </w:r>
    </w:p>
    <w:p w14:paraId="7889F996">
      <w:pPr>
        <w:pStyle w:val="14"/>
        <w:adjustRightInd w:val="0"/>
        <w:snapToGrid w:val="0"/>
        <w:spacing w:before="0" w:line="600" w:lineRule="exact"/>
        <w:jc w:val="left"/>
        <w:rPr>
          <w:rFonts w:hint="default" w:ascii="方正黑体_GBK" w:hAnsi="方正黑体_GBK" w:eastAsia="方正黑体_GBK" w:cs="方正黑体_GBK"/>
          <w:b w:val="0"/>
          <w:bCs w:val="0"/>
          <w:kern w:val="2"/>
          <w:sz w:val="32"/>
          <w:szCs w:val="32"/>
          <w:lang w:val="en-US" w:eastAsia="zh-CN" w:bidi="ar-SA"/>
        </w:rPr>
      </w:pPr>
      <w:r>
        <w:rPr>
          <w:rFonts w:hint="eastAsia" w:ascii="方正黑体_GBK" w:hAnsi="方正黑体_GBK" w:eastAsia="方正黑体_GBK" w:cs="方正黑体_GBK"/>
          <w:b w:val="0"/>
          <w:bCs w:val="0"/>
          <w:kern w:val="2"/>
          <w:sz w:val="32"/>
          <w:szCs w:val="32"/>
          <w:lang w:val="en-US" w:eastAsia="zh-CN" w:bidi="ar-SA"/>
        </w:rPr>
        <w:t>第二部分 2025年度单位决算情况说明...............................</w:t>
      </w:r>
      <w:r>
        <w:rPr>
          <w:rFonts w:hint="eastAsia" w:ascii="Times New Roman" w:hAnsi="Times New Roman" w:eastAsia="黑体" w:cs="Times New Roman"/>
          <w:sz w:val="32"/>
          <w:szCs w:val="32"/>
          <w:lang w:val="en-US" w:eastAsia="zh-CN" w:bidi="ar-SA"/>
        </w:rPr>
        <w:t>2</w:t>
      </w:r>
    </w:p>
    <w:p w14:paraId="71319C48">
      <w:pPr>
        <w:keepNext w:val="0"/>
        <w:keepLines w:val="0"/>
        <w:pageBreakBefore w:val="0"/>
        <w:widowControl w:val="0"/>
        <w:kinsoku/>
        <w:wordWrap/>
        <w:overflowPunct/>
        <w:topLinePunct w:val="0"/>
        <w:autoSpaceDE/>
        <w:autoSpaceDN/>
        <w:bidi w:val="0"/>
        <w:spacing w:line="600" w:lineRule="exact"/>
        <w:ind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一、收入支出决算总体情况说明.....................................</w:t>
      </w:r>
      <w:r>
        <w:rPr>
          <w:rFonts w:hint="eastAsia" w:ascii="Times New Roman" w:hAnsi="Times New Roman" w:eastAsia="方正仿宋_GBK" w:cs="Times New Roman"/>
          <w:b w:val="0"/>
          <w:bCs w:val="0"/>
          <w:kern w:val="0"/>
          <w:sz w:val="32"/>
          <w:szCs w:val="32"/>
          <w:lang w:val="en-US" w:eastAsia="zh-CN" w:bidi="ar"/>
        </w:rPr>
        <w:t>2</w:t>
      </w:r>
    </w:p>
    <w:p w14:paraId="0FDE2C6C">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二、收入决算情况说明.....................................................</w:t>
      </w:r>
      <w:r>
        <w:rPr>
          <w:rFonts w:hint="eastAsia" w:ascii="Times New Roman" w:hAnsi="Times New Roman" w:eastAsia="方正仿宋_GBK" w:cs="Times New Roman"/>
          <w:b w:val="0"/>
          <w:bCs w:val="0"/>
          <w:kern w:val="0"/>
          <w:sz w:val="32"/>
          <w:szCs w:val="32"/>
          <w:lang w:val="en-US" w:eastAsia="zh-CN" w:bidi="ar"/>
        </w:rPr>
        <w:t>2</w:t>
      </w:r>
    </w:p>
    <w:p w14:paraId="1FD40C46">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三、支出决算情况说明.....................................................</w:t>
      </w:r>
      <w:r>
        <w:rPr>
          <w:rFonts w:hint="eastAsia" w:ascii="Times New Roman" w:hAnsi="Times New Roman" w:eastAsia="方正仿宋_GBK" w:cs="Times New Roman"/>
          <w:b w:val="0"/>
          <w:bCs w:val="0"/>
          <w:kern w:val="0"/>
          <w:sz w:val="32"/>
          <w:szCs w:val="32"/>
          <w:lang w:val="en-US" w:eastAsia="zh-CN" w:bidi="ar"/>
        </w:rPr>
        <w:t>3</w:t>
      </w:r>
    </w:p>
    <w:p w14:paraId="5DF050F7">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四、财政拨款收入支出决算总体情况说明......................</w:t>
      </w:r>
      <w:r>
        <w:rPr>
          <w:rFonts w:hint="eastAsia" w:ascii="Times New Roman" w:hAnsi="Times New Roman" w:eastAsia="方正仿宋_GBK" w:cs="Times New Roman"/>
          <w:b w:val="0"/>
          <w:bCs w:val="0"/>
          <w:kern w:val="0"/>
          <w:sz w:val="32"/>
          <w:szCs w:val="32"/>
          <w:lang w:val="en-US" w:eastAsia="zh-CN" w:bidi="ar"/>
        </w:rPr>
        <w:t>3</w:t>
      </w:r>
    </w:p>
    <w:p w14:paraId="78B33F8E">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五、一般公共预算财政拨款支出决算情况说明..............</w:t>
      </w:r>
      <w:r>
        <w:rPr>
          <w:rFonts w:hint="eastAsia" w:ascii="Times New Roman" w:hAnsi="Times New Roman" w:eastAsia="方正仿宋_GBK" w:cs="Times New Roman"/>
          <w:b w:val="0"/>
          <w:bCs w:val="0"/>
          <w:kern w:val="0"/>
          <w:sz w:val="32"/>
          <w:szCs w:val="32"/>
          <w:lang w:val="en-US" w:eastAsia="zh-CN" w:bidi="ar"/>
        </w:rPr>
        <w:t>4</w:t>
      </w:r>
    </w:p>
    <w:p w14:paraId="363378CE">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六、一般公共预算财政拨款基本支出决算情况说明.......</w:t>
      </w:r>
      <w:r>
        <w:rPr>
          <w:rFonts w:hint="eastAsia" w:ascii="Times New Roman" w:hAnsi="Times New Roman" w:eastAsia="方正仿宋_GBK" w:cs="Times New Roman"/>
          <w:b w:val="0"/>
          <w:bCs w:val="0"/>
          <w:kern w:val="0"/>
          <w:sz w:val="32"/>
          <w:szCs w:val="32"/>
          <w:lang w:val="en-US" w:eastAsia="zh-CN" w:bidi="ar"/>
        </w:rPr>
        <w:t>6</w:t>
      </w:r>
    </w:p>
    <w:p w14:paraId="26532893">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七、财政拨款“三公”经费支出决算情况说明..................</w:t>
      </w:r>
      <w:r>
        <w:rPr>
          <w:rFonts w:hint="eastAsia" w:ascii="Times New Roman" w:hAnsi="Times New Roman" w:eastAsia="方正仿宋_GBK" w:cs="Times New Roman"/>
          <w:b w:val="0"/>
          <w:bCs w:val="0"/>
          <w:kern w:val="0"/>
          <w:sz w:val="32"/>
          <w:szCs w:val="32"/>
          <w:lang w:val="en-US" w:eastAsia="zh-CN" w:bidi="ar"/>
        </w:rPr>
        <w:t>7</w:t>
      </w:r>
    </w:p>
    <w:p w14:paraId="4DA4E724">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八、政府性基金预算支出决算情况说明..........................</w:t>
      </w:r>
      <w:r>
        <w:rPr>
          <w:rFonts w:hint="eastAsia" w:ascii="Times New Roman" w:hAnsi="Times New Roman" w:eastAsia="方正仿宋_GBK" w:cs="Times New Roman"/>
          <w:b w:val="0"/>
          <w:bCs w:val="0"/>
          <w:kern w:val="0"/>
          <w:sz w:val="32"/>
          <w:szCs w:val="32"/>
          <w:lang w:val="en-US" w:eastAsia="zh-CN" w:bidi="ar"/>
        </w:rPr>
        <w:t>8</w:t>
      </w:r>
    </w:p>
    <w:p w14:paraId="74917290">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九、国有资本经营预算支出决算情况说明......................</w:t>
      </w:r>
      <w:r>
        <w:rPr>
          <w:rFonts w:hint="eastAsia" w:ascii="Times New Roman" w:hAnsi="Times New Roman" w:eastAsia="方正仿宋_GBK" w:cs="Times New Roman"/>
          <w:b w:val="0"/>
          <w:bCs w:val="0"/>
          <w:kern w:val="0"/>
          <w:sz w:val="32"/>
          <w:szCs w:val="32"/>
          <w:lang w:val="en-US" w:eastAsia="zh-CN" w:bidi="ar"/>
        </w:rPr>
        <w:t>9</w:t>
      </w:r>
    </w:p>
    <w:p w14:paraId="2027E6AF">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十、其他重要事项的情况说明.........................................</w:t>
      </w:r>
      <w:r>
        <w:rPr>
          <w:rFonts w:hint="eastAsia" w:ascii="Times New Roman" w:hAnsi="Times New Roman" w:eastAsia="方正仿宋_GBK" w:cs="Times New Roman"/>
          <w:b w:val="0"/>
          <w:bCs w:val="0"/>
          <w:kern w:val="0"/>
          <w:sz w:val="32"/>
          <w:szCs w:val="32"/>
          <w:lang w:val="en-US" w:eastAsia="zh-CN" w:bidi="ar"/>
        </w:rPr>
        <w:t>9</w:t>
      </w:r>
    </w:p>
    <w:p w14:paraId="4214F282">
      <w:pPr>
        <w:pStyle w:val="14"/>
        <w:keepNext w:val="0"/>
        <w:keepLines w:val="0"/>
        <w:pageBreakBefore w:val="0"/>
        <w:widowControl w:val="0"/>
        <w:kinsoku/>
        <w:wordWrap/>
        <w:overflowPunct/>
        <w:topLinePunct w:val="0"/>
        <w:autoSpaceDE/>
        <w:autoSpaceDN/>
        <w:bidi w:val="0"/>
        <w:adjustRightInd w:val="0"/>
        <w:snapToGrid w:val="0"/>
        <w:spacing w:before="0" w:line="600" w:lineRule="exact"/>
        <w:jc w:val="left"/>
        <w:textAlignment w:val="auto"/>
        <w:rPr>
          <w:rFonts w:hint="default" w:ascii="方正黑体_GBK" w:hAnsi="方正黑体_GBK" w:eastAsia="方正黑体_GBK" w:cs="方正黑体_GBK"/>
          <w:b w:val="0"/>
          <w:bCs w:val="0"/>
          <w:kern w:val="0"/>
          <w:sz w:val="32"/>
          <w:szCs w:val="32"/>
          <w:lang w:val="en-US" w:eastAsia="zh-CN" w:bidi="ar"/>
        </w:rPr>
      </w:pPr>
      <w:r>
        <w:rPr>
          <w:rFonts w:hint="eastAsia" w:ascii="方正黑体_GBK" w:hAnsi="方正黑体_GBK" w:eastAsia="方正黑体_GBK" w:cs="方正黑体_GBK"/>
          <w:b w:val="0"/>
          <w:bCs w:val="0"/>
          <w:kern w:val="2"/>
          <w:sz w:val="32"/>
          <w:szCs w:val="32"/>
          <w:lang w:val="en-US" w:eastAsia="zh-CN" w:bidi="ar-SA"/>
        </w:rPr>
        <w:t>第三部分 名词解释...........................................................</w:t>
      </w:r>
      <w:r>
        <w:rPr>
          <w:rFonts w:hint="eastAsia" w:ascii="Times New Roman" w:hAnsi="Times New Roman" w:eastAsia="方正仿宋_GBK" w:cs="Times New Roman"/>
          <w:b w:val="0"/>
          <w:bCs w:val="0"/>
          <w:kern w:val="0"/>
          <w:sz w:val="32"/>
          <w:szCs w:val="32"/>
          <w:lang w:val="en-US" w:eastAsia="zh-CN" w:bidi="ar"/>
        </w:rPr>
        <w:t>11</w:t>
      </w:r>
    </w:p>
    <w:p w14:paraId="26F41AF2">
      <w:pPr>
        <w:pStyle w:val="14"/>
        <w:keepNext w:val="0"/>
        <w:keepLines w:val="0"/>
        <w:pageBreakBefore w:val="0"/>
        <w:widowControl w:val="0"/>
        <w:kinsoku/>
        <w:wordWrap/>
        <w:overflowPunct/>
        <w:topLinePunct w:val="0"/>
        <w:autoSpaceDE/>
        <w:autoSpaceDN/>
        <w:bidi w:val="0"/>
        <w:adjustRightInd w:val="0"/>
        <w:snapToGrid w:val="0"/>
        <w:spacing w:before="0" w:line="600" w:lineRule="exact"/>
        <w:jc w:val="left"/>
        <w:textAlignment w:val="auto"/>
        <w:rPr>
          <w:rFonts w:hint="default" w:ascii="方正黑体_GBK" w:hAnsi="方正黑体_GBK" w:eastAsia="方正黑体_GBK" w:cs="方正黑体_GBK"/>
          <w:b w:val="0"/>
          <w:bCs w:val="0"/>
          <w:kern w:val="0"/>
          <w:sz w:val="32"/>
          <w:szCs w:val="32"/>
          <w:lang w:val="en-US" w:eastAsia="zh-CN" w:bidi="ar"/>
        </w:rPr>
      </w:pPr>
      <w:r>
        <w:rPr>
          <w:rFonts w:hint="eastAsia" w:ascii="方正黑体_GBK" w:hAnsi="方正黑体_GBK" w:eastAsia="方正黑体_GBK" w:cs="方正黑体_GBK"/>
          <w:b w:val="0"/>
          <w:bCs w:val="0"/>
          <w:kern w:val="2"/>
          <w:sz w:val="32"/>
          <w:szCs w:val="32"/>
          <w:lang w:val="en-US" w:eastAsia="zh-CN" w:bidi="ar-SA"/>
        </w:rPr>
        <w:t>第四部分 附件..................................................................</w:t>
      </w:r>
      <w:r>
        <w:rPr>
          <w:rFonts w:hint="eastAsia" w:ascii="Times New Roman" w:hAnsi="Times New Roman" w:eastAsia="方正仿宋_GBK" w:cs="Times New Roman"/>
          <w:b w:val="0"/>
          <w:bCs w:val="0"/>
          <w:kern w:val="0"/>
          <w:sz w:val="32"/>
          <w:szCs w:val="32"/>
          <w:lang w:val="en-US" w:eastAsia="zh-CN" w:bidi="ar"/>
        </w:rPr>
        <w:t>14</w:t>
      </w:r>
    </w:p>
    <w:p w14:paraId="5492A67F">
      <w:pPr>
        <w:pStyle w:val="14"/>
        <w:keepNext w:val="0"/>
        <w:keepLines w:val="0"/>
        <w:pageBreakBefore w:val="0"/>
        <w:widowControl w:val="0"/>
        <w:kinsoku/>
        <w:wordWrap/>
        <w:overflowPunct/>
        <w:topLinePunct w:val="0"/>
        <w:autoSpaceDE/>
        <w:autoSpaceDN/>
        <w:bidi w:val="0"/>
        <w:adjustRightInd w:val="0"/>
        <w:snapToGrid w:val="0"/>
        <w:spacing w:before="0" w:line="600" w:lineRule="exact"/>
        <w:jc w:val="left"/>
        <w:textAlignment w:val="auto"/>
        <w:rPr>
          <w:rFonts w:hint="default" w:ascii="方正黑体_GBK" w:hAnsi="方正黑体_GBK" w:eastAsia="方正黑体_GBK" w:cs="方正黑体_GBK"/>
          <w:b w:val="0"/>
          <w:bCs w:val="0"/>
          <w:kern w:val="0"/>
          <w:sz w:val="32"/>
          <w:szCs w:val="32"/>
          <w:lang w:val="en-US" w:eastAsia="zh-CN" w:bidi="ar"/>
        </w:rPr>
      </w:pPr>
      <w:r>
        <w:rPr>
          <w:rFonts w:hint="eastAsia" w:ascii="方正黑体_GBK" w:hAnsi="方正黑体_GBK" w:eastAsia="方正黑体_GBK" w:cs="方正黑体_GBK"/>
          <w:b w:val="0"/>
          <w:bCs w:val="0"/>
          <w:kern w:val="2"/>
          <w:sz w:val="32"/>
          <w:szCs w:val="32"/>
          <w:lang w:val="en-US" w:eastAsia="zh-CN" w:bidi="ar-SA"/>
        </w:rPr>
        <w:t>第五部分 附表..................................................................</w:t>
      </w:r>
      <w:r>
        <w:rPr>
          <w:rFonts w:hint="eastAsia" w:ascii="Times New Roman" w:hAnsi="Times New Roman" w:eastAsia="方正仿宋_GBK" w:cs="Times New Roman"/>
          <w:b w:val="0"/>
          <w:bCs w:val="0"/>
          <w:kern w:val="0"/>
          <w:sz w:val="32"/>
          <w:szCs w:val="32"/>
          <w:lang w:val="en-US" w:eastAsia="zh-CN" w:bidi="ar"/>
        </w:rPr>
        <w:t>15</w:t>
      </w:r>
    </w:p>
    <w:p w14:paraId="76D21DEF">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一、收入支出决算总表...................................................</w:t>
      </w:r>
      <w:r>
        <w:rPr>
          <w:rFonts w:hint="eastAsia" w:ascii="Times New Roman" w:hAnsi="Times New Roman" w:eastAsia="方正仿宋_GBK" w:cs="Times New Roman"/>
          <w:b w:val="0"/>
          <w:bCs w:val="0"/>
          <w:kern w:val="0"/>
          <w:sz w:val="32"/>
          <w:szCs w:val="32"/>
          <w:lang w:val="en-US" w:eastAsia="zh-CN" w:bidi="ar"/>
        </w:rPr>
        <w:t>15</w:t>
      </w:r>
    </w:p>
    <w:p w14:paraId="66FA678E">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二、收入决算表..............................................................</w:t>
      </w:r>
      <w:r>
        <w:rPr>
          <w:rFonts w:hint="eastAsia" w:ascii="Times New Roman" w:hAnsi="Times New Roman" w:eastAsia="方正仿宋_GBK" w:cs="Times New Roman"/>
          <w:b w:val="0"/>
          <w:bCs w:val="0"/>
          <w:kern w:val="0"/>
          <w:sz w:val="32"/>
          <w:szCs w:val="32"/>
          <w:lang w:val="en-US" w:eastAsia="zh-CN" w:bidi="ar"/>
        </w:rPr>
        <w:t>15</w:t>
      </w:r>
    </w:p>
    <w:p w14:paraId="4E569306">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三、支出决算表..............................................................</w:t>
      </w:r>
      <w:r>
        <w:rPr>
          <w:rFonts w:hint="eastAsia" w:ascii="Times New Roman" w:hAnsi="Times New Roman" w:eastAsia="方正仿宋_GBK" w:cs="Times New Roman"/>
          <w:b w:val="0"/>
          <w:bCs w:val="0"/>
          <w:kern w:val="0"/>
          <w:sz w:val="32"/>
          <w:szCs w:val="32"/>
          <w:lang w:val="en-US" w:eastAsia="zh-CN" w:bidi="ar"/>
        </w:rPr>
        <w:t>15</w:t>
      </w:r>
    </w:p>
    <w:p w14:paraId="540FE50B">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四、财政拨款收入支出决算总表...................................</w:t>
      </w:r>
      <w:r>
        <w:rPr>
          <w:rFonts w:hint="eastAsia" w:ascii="Times New Roman" w:hAnsi="Times New Roman" w:eastAsia="方正仿宋_GBK" w:cs="Times New Roman"/>
          <w:b w:val="0"/>
          <w:bCs w:val="0"/>
          <w:kern w:val="0"/>
          <w:sz w:val="32"/>
          <w:szCs w:val="32"/>
          <w:lang w:val="en-US" w:eastAsia="zh-CN" w:bidi="ar"/>
        </w:rPr>
        <w:t>15</w:t>
      </w:r>
    </w:p>
    <w:p w14:paraId="2D9811E4">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五、财政拨款支出决算明细表.......................................</w:t>
      </w:r>
      <w:r>
        <w:rPr>
          <w:rFonts w:hint="eastAsia" w:ascii="Times New Roman" w:hAnsi="Times New Roman" w:eastAsia="方正仿宋_GBK" w:cs="Times New Roman"/>
          <w:b w:val="0"/>
          <w:bCs w:val="0"/>
          <w:kern w:val="0"/>
          <w:sz w:val="32"/>
          <w:szCs w:val="32"/>
          <w:lang w:val="en-US" w:eastAsia="zh-CN" w:bidi="ar"/>
        </w:rPr>
        <w:t>15</w:t>
      </w:r>
    </w:p>
    <w:p w14:paraId="54E0E969">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六、一般公共预算财政拨款支出决算表........................</w:t>
      </w:r>
      <w:r>
        <w:rPr>
          <w:rFonts w:hint="eastAsia" w:ascii="Times New Roman" w:hAnsi="Times New Roman" w:eastAsia="方正仿宋_GBK" w:cs="Times New Roman"/>
          <w:b w:val="0"/>
          <w:bCs w:val="0"/>
          <w:kern w:val="0"/>
          <w:sz w:val="32"/>
          <w:szCs w:val="32"/>
          <w:lang w:val="en-US" w:eastAsia="zh-CN" w:bidi="ar"/>
        </w:rPr>
        <w:t>15</w:t>
      </w:r>
    </w:p>
    <w:p w14:paraId="127AA44F">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七、一般公共预算财政拨款支出决算明细表................</w:t>
      </w:r>
      <w:r>
        <w:rPr>
          <w:rFonts w:hint="eastAsia" w:ascii="Times New Roman" w:hAnsi="Times New Roman" w:eastAsia="方正仿宋_GBK" w:cs="Times New Roman"/>
          <w:b w:val="0"/>
          <w:bCs w:val="0"/>
          <w:kern w:val="0"/>
          <w:sz w:val="32"/>
          <w:szCs w:val="32"/>
          <w:lang w:val="en-US" w:eastAsia="zh-CN" w:bidi="ar"/>
        </w:rPr>
        <w:t>15</w:t>
      </w:r>
    </w:p>
    <w:p w14:paraId="762F439D">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八、一般公共预算财政拨款基本支出决算明细表.........</w:t>
      </w:r>
      <w:r>
        <w:rPr>
          <w:rFonts w:hint="eastAsia" w:ascii="Times New Roman" w:hAnsi="Times New Roman" w:eastAsia="方正仿宋_GBK" w:cs="Times New Roman"/>
          <w:b w:val="0"/>
          <w:bCs w:val="0"/>
          <w:kern w:val="0"/>
          <w:sz w:val="32"/>
          <w:szCs w:val="32"/>
          <w:lang w:val="en-US" w:eastAsia="zh-CN" w:bidi="ar"/>
        </w:rPr>
        <w:t>15</w:t>
      </w:r>
    </w:p>
    <w:p w14:paraId="4C2F92BA">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九、一般公共预算财政拨款项目支出决算表................</w:t>
      </w:r>
      <w:r>
        <w:rPr>
          <w:rFonts w:hint="eastAsia" w:ascii="Times New Roman" w:hAnsi="Times New Roman" w:eastAsia="方正仿宋_GBK" w:cs="Times New Roman"/>
          <w:b w:val="0"/>
          <w:bCs w:val="0"/>
          <w:kern w:val="0"/>
          <w:sz w:val="32"/>
          <w:szCs w:val="32"/>
          <w:lang w:val="en-US" w:eastAsia="zh-CN" w:bidi="ar"/>
        </w:rPr>
        <w:t>15</w:t>
      </w:r>
    </w:p>
    <w:p w14:paraId="76C4F127">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十、政府性基金预算财政拨款收入支出决算表............</w:t>
      </w:r>
      <w:r>
        <w:rPr>
          <w:rFonts w:hint="eastAsia" w:ascii="Times New Roman" w:hAnsi="Times New Roman" w:eastAsia="方正仿宋_GBK" w:cs="Times New Roman"/>
          <w:b w:val="0"/>
          <w:bCs w:val="0"/>
          <w:kern w:val="0"/>
          <w:sz w:val="32"/>
          <w:szCs w:val="32"/>
          <w:lang w:val="en-US" w:eastAsia="zh-CN" w:bidi="ar"/>
        </w:rPr>
        <w:t>15</w:t>
      </w:r>
    </w:p>
    <w:p w14:paraId="1A765B3D">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十一、国有资本经营预算财政拨款收入支出决算表.....</w:t>
      </w:r>
      <w:r>
        <w:rPr>
          <w:rFonts w:hint="eastAsia" w:ascii="Times New Roman" w:hAnsi="Times New Roman" w:eastAsia="方正仿宋_GBK" w:cs="Times New Roman"/>
          <w:b w:val="0"/>
          <w:bCs w:val="0"/>
          <w:kern w:val="0"/>
          <w:sz w:val="32"/>
          <w:szCs w:val="32"/>
          <w:lang w:val="en-US" w:eastAsia="zh-CN" w:bidi="ar"/>
        </w:rPr>
        <w:t>15</w:t>
      </w:r>
    </w:p>
    <w:p w14:paraId="17FD4351">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十二、国有资本经营预算财政拨款支出决算表............</w:t>
      </w:r>
      <w:r>
        <w:rPr>
          <w:rFonts w:hint="eastAsia" w:ascii="Times New Roman" w:hAnsi="Times New Roman" w:eastAsia="方正仿宋_GBK" w:cs="Times New Roman"/>
          <w:b w:val="0"/>
          <w:bCs w:val="0"/>
          <w:kern w:val="0"/>
          <w:sz w:val="32"/>
          <w:szCs w:val="32"/>
          <w:lang w:val="en-US" w:eastAsia="zh-CN" w:bidi="ar"/>
        </w:rPr>
        <w:t>15</w:t>
      </w:r>
    </w:p>
    <w:p w14:paraId="51AB969B">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left"/>
        <w:textAlignment w:val="auto"/>
        <w:rPr>
          <w:rFonts w:hint="default" w:ascii="方正楷体_GBK" w:hAnsi="方正楷体_GBK" w:eastAsia="方正楷体_GBK" w:cs="方正楷体_GBK"/>
          <w:b/>
          <w:bCs/>
          <w:kern w:val="2"/>
          <w:sz w:val="32"/>
          <w:szCs w:val="32"/>
          <w:lang w:val="en-US" w:eastAsia="zh-CN" w:bidi="ar-SA"/>
        </w:rPr>
      </w:pPr>
      <w:r>
        <w:rPr>
          <w:rFonts w:hint="eastAsia" w:ascii="方正楷体_GBK" w:hAnsi="方正楷体_GBK" w:eastAsia="方正楷体_GBK" w:cs="方正楷体_GBK"/>
          <w:b w:val="0"/>
          <w:bCs w:val="0"/>
          <w:kern w:val="0"/>
          <w:sz w:val="32"/>
          <w:szCs w:val="32"/>
          <w:lang w:val="en-US" w:eastAsia="zh-CN" w:bidi="ar"/>
        </w:rPr>
        <w:t>十三、财政拨款“三公”经费支出决算表........................</w:t>
      </w:r>
      <w:r>
        <w:rPr>
          <w:rFonts w:hint="eastAsia" w:ascii="Times New Roman" w:hAnsi="Times New Roman" w:eastAsia="方正仿宋_GBK" w:cs="Times New Roman"/>
          <w:b w:val="0"/>
          <w:bCs w:val="0"/>
          <w:kern w:val="0"/>
          <w:sz w:val="32"/>
          <w:szCs w:val="32"/>
          <w:lang w:val="en-US" w:eastAsia="zh-CN" w:bidi="ar"/>
        </w:rPr>
        <w:t>15</w:t>
      </w:r>
    </w:p>
    <w:p w14:paraId="60905F0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b/>
          <w:bCs/>
          <w:kern w:val="2"/>
          <w:sz w:val="32"/>
          <w:szCs w:val="32"/>
          <w:lang w:val="en-US" w:eastAsia="zh-CN" w:bidi="ar-SA"/>
        </w:rPr>
        <w:sectPr>
          <w:footerReference r:id="rId6" w:type="first"/>
          <w:footerReference r:id="rId5" w:type="default"/>
          <w:pgSz w:w="11906" w:h="16838"/>
          <w:pgMar w:top="1440" w:right="1800" w:bottom="1440" w:left="1800" w:header="851" w:footer="992" w:gutter="0"/>
          <w:pgNumType w:fmt="numberInDash" w:start="1"/>
          <w:cols w:space="425" w:num="1"/>
          <w:docGrid w:type="lines" w:linePitch="312" w:charSpace="0"/>
        </w:sectPr>
      </w:pPr>
      <w:bookmarkStart w:id="6" w:name="_Toc15396599"/>
      <w:bookmarkStart w:id="7" w:name="_Toc15377196"/>
    </w:p>
    <w:p w14:paraId="026066F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b w:val="0"/>
          <w:bCs w:val="0"/>
          <w:kern w:val="2"/>
          <w:sz w:val="44"/>
          <w:szCs w:val="44"/>
          <w:lang w:val="en-US" w:eastAsia="zh-CN" w:bidi="ar-SA"/>
        </w:rPr>
      </w:pPr>
      <w:r>
        <w:rPr>
          <w:rFonts w:hint="eastAsia" w:ascii="Times New Roman" w:hAnsi="Times New Roman" w:eastAsia="方正小标宋_GBK" w:cs="Times New Roman"/>
          <w:b w:val="0"/>
          <w:bCs w:val="0"/>
          <w:kern w:val="2"/>
          <w:sz w:val="44"/>
          <w:szCs w:val="44"/>
          <w:lang w:val="en-US" w:eastAsia="zh-CN" w:bidi="ar-SA"/>
        </w:rPr>
        <w:t>第一部分  单位概况</w:t>
      </w:r>
      <w:bookmarkEnd w:id="6"/>
      <w:bookmarkEnd w:id="7"/>
    </w:p>
    <w:p w14:paraId="3566CBDF">
      <w:pPr>
        <w:widowControl/>
        <w:jc w:val="left"/>
        <w:rPr>
          <w:rFonts w:eastAsia="黑体"/>
          <w:sz w:val="32"/>
          <w:szCs w:val="32"/>
        </w:rPr>
      </w:pPr>
    </w:p>
    <w:p w14:paraId="69FCA8BF">
      <w:pPr>
        <w:pStyle w:val="38"/>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黑体_GBK" w:hAnsi="方正黑体_GBK" w:eastAsia="方正黑体_GBK" w:cs="方正黑体_GBK"/>
          <w:sz w:val="32"/>
          <w:szCs w:val="32"/>
          <w:lang w:val="en-US" w:eastAsia="zh-CN"/>
        </w:rPr>
      </w:pPr>
      <w:bookmarkStart w:id="8" w:name="_Toc15396600"/>
      <w:bookmarkStart w:id="9" w:name="_Toc15377197"/>
      <w:r>
        <w:rPr>
          <w:rFonts w:hint="eastAsia" w:ascii="方正黑体_GBK" w:hAnsi="方正黑体_GBK" w:eastAsia="方正黑体_GBK" w:cs="方正黑体_GBK"/>
          <w:sz w:val="32"/>
          <w:szCs w:val="32"/>
          <w:lang w:val="en-US" w:eastAsia="zh-CN"/>
        </w:rPr>
        <w:t>一、</w:t>
      </w:r>
      <w:bookmarkEnd w:id="8"/>
      <w:bookmarkEnd w:id="9"/>
      <w:r>
        <w:rPr>
          <w:rFonts w:hint="eastAsia" w:ascii="方正黑体_GBK" w:hAnsi="方正黑体_GBK" w:eastAsia="方正黑体_GBK" w:cs="方正黑体_GBK"/>
          <w:sz w:val="32"/>
          <w:szCs w:val="32"/>
          <w:lang w:val="en-US" w:eastAsia="zh-CN"/>
        </w:rPr>
        <w:t>单位职责</w:t>
      </w:r>
    </w:p>
    <w:p w14:paraId="6538D3EB">
      <w:pPr>
        <w:pStyle w:val="1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600" w:lineRule="exact"/>
        <w:ind w:left="0" w:right="0" w:firstLine="640" w:firstLineChars="200"/>
        <w:jc w:val="both"/>
        <w:textAlignment w:val="auto"/>
        <w:rPr>
          <w:rFonts w:hint="eastAsia" w:ascii="Times New Roman" w:hAnsi="Times New Roman" w:eastAsia="方正仿宋_GBK" w:cs="Times New Roman"/>
          <w:kern w:val="0"/>
          <w:sz w:val="32"/>
          <w:szCs w:val="32"/>
          <w:lang w:val="en-US" w:eastAsia="zh-CN" w:bidi="ar"/>
        </w:rPr>
      </w:pPr>
      <w:bookmarkStart w:id="10" w:name="_Toc15396601"/>
      <w:bookmarkStart w:id="11" w:name="_Toc15377200"/>
      <w:r>
        <w:rPr>
          <w:rFonts w:hint="default" w:ascii="Times New Roman" w:hAnsi="Times New Roman" w:eastAsia="方正仿宋_GBK" w:cs="Times New Roman"/>
          <w:kern w:val="0"/>
          <w:sz w:val="32"/>
          <w:szCs w:val="32"/>
          <w:lang w:val="en-US" w:eastAsia="zh-CN" w:bidi="ar"/>
        </w:rPr>
        <w:t>攀枝花市社会福利院的主要职能是承担城区“三无”（无劳动能力、无生活来源、无法定抚养或赡养人）人员的供养、护理、医疗、康复和社会化养老服务等工作。</w:t>
      </w:r>
    </w:p>
    <w:p w14:paraId="31A2BCB4">
      <w:pPr>
        <w:pStyle w:val="38"/>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二、机构设置</w:t>
      </w:r>
      <w:bookmarkEnd w:id="10"/>
      <w:bookmarkEnd w:id="11"/>
    </w:p>
    <w:p w14:paraId="42979B2D">
      <w:pPr>
        <w:pStyle w:val="17"/>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600" w:lineRule="exact"/>
        <w:ind w:left="0" w:right="0" w:firstLine="640" w:firstLineChars="200"/>
        <w:jc w:val="both"/>
        <w:textAlignment w:val="auto"/>
        <w:rPr>
          <w:rFonts w:hint="default" w:ascii="Times New Roman" w:hAnsi="Times New Roman" w:eastAsia="方正仿宋_GBK" w:cs="Times New Roman"/>
          <w:kern w:val="0"/>
          <w:sz w:val="32"/>
          <w:szCs w:val="32"/>
          <w:lang w:val="en-US" w:eastAsia="zh-CN" w:bidi="ar"/>
        </w:rPr>
      </w:pPr>
      <w:r>
        <w:rPr>
          <w:rFonts w:hint="default" w:ascii="Times New Roman" w:hAnsi="Times New Roman" w:eastAsia="方正仿宋_GBK" w:cs="Times New Roman"/>
          <w:kern w:val="0"/>
          <w:sz w:val="32"/>
          <w:szCs w:val="32"/>
          <w:lang w:val="en-US" w:eastAsia="zh-CN" w:bidi="ar"/>
        </w:rPr>
        <w:t>攀枝花市社会福利院为攀枝花市民政局下属全额拨款正科级事业单位，现内设</w:t>
      </w:r>
      <w:r>
        <w:rPr>
          <w:rFonts w:hint="eastAsia" w:ascii="Times New Roman" w:hAnsi="Times New Roman" w:eastAsia="方正仿宋_GBK" w:cs="Times New Roman"/>
          <w:kern w:val="0"/>
          <w:sz w:val="32"/>
          <w:szCs w:val="32"/>
          <w:lang w:val="en-US" w:eastAsia="zh-CN" w:bidi="ar"/>
        </w:rPr>
        <w:t>3</w:t>
      </w:r>
      <w:r>
        <w:rPr>
          <w:rFonts w:hint="default" w:ascii="Times New Roman" w:hAnsi="Times New Roman" w:eastAsia="方正仿宋_GBK" w:cs="Times New Roman"/>
          <w:kern w:val="0"/>
          <w:sz w:val="32"/>
          <w:szCs w:val="32"/>
          <w:lang w:val="en-US" w:eastAsia="zh-CN" w:bidi="ar"/>
        </w:rPr>
        <w:t>个</w:t>
      </w:r>
      <w:r>
        <w:rPr>
          <w:rFonts w:hint="eastAsia" w:ascii="Times New Roman" w:hAnsi="Times New Roman" w:eastAsia="方正仿宋_GBK" w:cs="Times New Roman"/>
          <w:kern w:val="0"/>
          <w:sz w:val="32"/>
          <w:szCs w:val="32"/>
          <w:lang w:val="en-US" w:eastAsia="zh-CN" w:bidi="ar"/>
        </w:rPr>
        <w:t>股室</w:t>
      </w:r>
      <w:r>
        <w:rPr>
          <w:rFonts w:hint="default" w:ascii="Times New Roman" w:hAnsi="Times New Roman" w:eastAsia="方正仿宋_GBK" w:cs="Times New Roman"/>
          <w:kern w:val="0"/>
          <w:sz w:val="32"/>
          <w:szCs w:val="32"/>
          <w:lang w:val="en-US" w:eastAsia="zh-CN" w:bidi="ar"/>
        </w:rPr>
        <w:t>，分别是办公室（财务室）、业务</w:t>
      </w:r>
      <w:r>
        <w:rPr>
          <w:rFonts w:hint="eastAsia" w:ascii="Times New Roman" w:hAnsi="Times New Roman" w:eastAsia="方正仿宋_GBK" w:cs="Times New Roman"/>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医务</w:t>
      </w:r>
      <w:r>
        <w:rPr>
          <w:rFonts w:hint="eastAsia" w:ascii="Times New Roman" w:hAnsi="Times New Roman" w:eastAsia="方正仿宋_GBK" w:cs="Times New Roman"/>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股和</w:t>
      </w:r>
      <w:r>
        <w:rPr>
          <w:rFonts w:hint="eastAsia" w:ascii="Times New Roman" w:hAnsi="Times New Roman" w:eastAsia="方正仿宋_GBK" w:cs="Times New Roman"/>
          <w:kern w:val="0"/>
          <w:sz w:val="32"/>
          <w:szCs w:val="32"/>
          <w:lang w:val="en-US" w:eastAsia="zh-CN" w:bidi="ar"/>
        </w:rPr>
        <w:t>安全管理</w:t>
      </w:r>
      <w:r>
        <w:rPr>
          <w:rFonts w:hint="default" w:ascii="Times New Roman" w:hAnsi="Times New Roman" w:eastAsia="方正仿宋_GBK" w:cs="Times New Roman"/>
          <w:kern w:val="0"/>
          <w:sz w:val="32"/>
          <w:szCs w:val="32"/>
          <w:lang w:val="en-US" w:eastAsia="zh-CN" w:bidi="ar"/>
        </w:rPr>
        <w:t>股，无下设其他机构。</w:t>
      </w:r>
    </w:p>
    <w:p w14:paraId="07E26C8C">
      <w:pPr>
        <w:keepNext w:val="0"/>
        <w:keepLines w:val="0"/>
        <w:pageBreakBefore w:val="0"/>
        <w:widowControl w:val="0"/>
        <w:kinsoku/>
        <w:wordWrap/>
        <w:overflowPunct/>
        <w:topLinePunct w:val="0"/>
        <w:autoSpaceDE/>
        <w:autoSpaceDN/>
        <w:bidi w:val="0"/>
        <w:snapToGrid/>
        <w:spacing w:line="600" w:lineRule="exact"/>
        <w:ind w:firstLine="640" w:firstLineChars="200"/>
        <w:textAlignment w:val="auto"/>
        <w:rPr>
          <w:rFonts w:eastAsia="仿宋"/>
          <w:kern w:val="0"/>
          <w:sz w:val="32"/>
          <w:szCs w:val="32"/>
        </w:rPr>
      </w:pPr>
      <w:r>
        <w:rPr>
          <w:rFonts w:eastAsia="仿宋"/>
          <w:sz w:val="32"/>
          <w:szCs w:val="32"/>
        </w:rPr>
        <w:br w:type="page"/>
      </w:r>
    </w:p>
    <w:p w14:paraId="479EC68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b w:val="0"/>
          <w:bCs w:val="0"/>
          <w:kern w:val="2"/>
          <w:sz w:val="44"/>
          <w:szCs w:val="44"/>
          <w:lang w:val="en-US" w:eastAsia="zh-CN" w:bidi="ar-SA"/>
        </w:rPr>
      </w:pPr>
      <w:bookmarkStart w:id="12" w:name="_Toc15377204"/>
      <w:bookmarkStart w:id="13" w:name="_Toc15396602"/>
      <w:r>
        <w:rPr>
          <w:rFonts w:hint="eastAsia" w:ascii="Times New Roman" w:hAnsi="Times New Roman" w:eastAsia="方正小标宋_GBK" w:cs="Times New Roman"/>
          <w:b w:val="0"/>
          <w:bCs w:val="0"/>
          <w:kern w:val="2"/>
          <w:sz w:val="44"/>
          <w:szCs w:val="44"/>
          <w:lang w:val="en-US" w:eastAsia="zh-CN" w:bidi="ar-SA"/>
        </w:rPr>
        <w:t>第二部分  2025年度</w:t>
      </w:r>
      <w:r>
        <w:rPr>
          <w:rFonts w:hint="eastAsia" w:eastAsia="方正小标宋_GBK" w:cs="Times New Roman"/>
          <w:b w:val="0"/>
          <w:bCs w:val="0"/>
          <w:kern w:val="2"/>
          <w:sz w:val="44"/>
          <w:szCs w:val="44"/>
          <w:lang w:val="en-US" w:eastAsia="zh-CN" w:bidi="ar-SA"/>
        </w:rPr>
        <w:t>单位</w:t>
      </w:r>
      <w:r>
        <w:rPr>
          <w:rFonts w:hint="eastAsia" w:ascii="Times New Roman" w:hAnsi="Times New Roman" w:eastAsia="方正小标宋_GBK" w:cs="Times New Roman"/>
          <w:b w:val="0"/>
          <w:bCs w:val="0"/>
          <w:kern w:val="2"/>
          <w:sz w:val="44"/>
          <w:szCs w:val="44"/>
          <w:lang w:val="en-US" w:eastAsia="zh-CN" w:bidi="ar-SA"/>
        </w:rPr>
        <w:t>决算情况说明</w:t>
      </w:r>
      <w:bookmarkEnd w:id="12"/>
      <w:bookmarkEnd w:id="13"/>
    </w:p>
    <w:p w14:paraId="0C711404"/>
    <w:p w14:paraId="5D702803">
      <w:pPr>
        <w:pStyle w:val="38"/>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黑体_GBK" w:hAnsi="方正黑体_GBK" w:eastAsia="方正黑体_GBK" w:cs="方正黑体_GBK"/>
          <w:sz w:val="32"/>
          <w:szCs w:val="32"/>
          <w:lang w:val="en-US" w:eastAsia="zh-CN"/>
        </w:rPr>
      </w:pPr>
      <w:bookmarkStart w:id="14" w:name="_Toc15396603"/>
      <w:bookmarkStart w:id="15" w:name="_Toc15377205"/>
      <w:r>
        <w:rPr>
          <w:rFonts w:hint="eastAsia" w:ascii="方正黑体_GBK" w:hAnsi="方正黑体_GBK" w:eastAsia="方正黑体_GBK" w:cs="方正黑体_GBK"/>
          <w:sz w:val="32"/>
          <w:szCs w:val="32"/>
          <w:lang w:val="en-US" w:eastAsia="zh-CN"/>
        </w:rPr>
        <w:t>一、收入支出决算总体情况说明</w:t>
      </w:r>
      <w:bookmarkEnd w:id="14"/>
      <w:bookmarkEnd w:id="15"/>
    </w:p>
    <w:p w14:paraId="33A636C5">
      <w:pPr>
        <w:pStyle w:val="29"/>
        <w:spacing w:line="600" w:lineRule="exact"/>
        <w:ind w:firstLine="640"/>
        <w:outlineLvl w:val="1"/>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2025年度收入、支出总计均为503.27万元。与上年度相比，收入、支出总计各减少39.3万元，下降7.2%。主要变动原因是政府性基金预算财政拨款项目经费的下拨和支出减少。</w:t>
      </w:r>
    </w:p>
    <w:p w14:paraId="1A595CB8">
      <w:pPr>
        <w:pStyle w:val="29"/>
        <w:spacing w:line="600" w:lineRule="exact"/>
        <w:ind w:firstLine="640"/>
        <w:outlineLvl w:val="1"/>
        <w:rPr>
          <w:rFonts w:hint="eastAsia" w:ascii="Times New Roman" w:hAnsi="Times New Roman" w:eastAsia="方正仿宋_GBK" w:cs="Times New Roman"/>
          <w:kern w:val="0"/>
          <w:sz w:val="32"/>
          <w:szCs w:val="32"/>
          <w:lang w:val="en-US" w:eastAsia="zh-CN" w:bidi="ar"/>
        </w:rPr>
      </w:pPr>
      <w:r>
        <w:drawing>
          <wp:anchor distT="0" distB="0" distL="114300" distR="114300" simplePos="0" relativeHeight="251659264" behindDoc="1" locked="0" layoutInCell="1" allowOverlap="1">
            <wp:simplePos x="0" y="0"/>
            <wp:positionH relativeFrom="column">
              <wp:posOffset>121920</wp:posOffset>
            </wp:positionH>
            <wp:positionV relativeFrom="page">
              <wp:posOffset>3625215</wp:posOffset>
            </wp:positionV>
            <wp:extent cx="5160645" cy="3096895"/>
            <wp:effectExtent l="0" t="0" r="1905" b="8255"/>
            <wp:wrapNone/>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9"/>
                    <a:stretch>
                      <a:fillRect/>
                    </a:stretch>
                  </pic:blipFill>
                  <pic:spPr>
                    <a:xfrm>
                      <a:off x="0" y="0"/>
                      <a:ext cx="5160645" cy="3096895"/>
                    </a:xfrm>
                    <a:prstGeom prst="rect">
                      <a:avLst/>
                    </a:prstGeom>
                    <a:noFill/>
                    <a:ln>
                      <a:noFill/>
                    </a:ln>
                  </pic:spPr>
                </pic:pic>
              </a:graphicData>
            </a:graphic>
          </wp:anchor>
        </w:drawing>
      </w:r>
    </w:p>
    <w:p w14:paraId="5E09D4EA">
      <w:pPr>
        <w:pStyle w:val="29"/>
        <w:spacing w:line="600" w:lineRule="exact"/>
        <w:ind w:firstLine="640"/>
        <w:outlineLvl w:val="1"/>
        <w:rPr>
          <w:rFonts w:hint="eastAsia" w:eastAsia="仿宋_GB2312" w:cs="仿宋_GB2312"/>
          <w:sz w:val="32"/>
          <w:szCs w:val="32"/>
        </w:rPr>
      </w:pPr>
    </w:p>
    <w:p w14:paraId="73335777">
      <w:pPr>
        <w:pStyle w:val="29"/>
        <w:spacing w:line="600" w:lineRule="exact"/>
        <w:ind w:firstLine="640"/>
        <w:outlineLvl w:val="1"/>
        <w:rPr>
          <w:rFonts w:hint="eastAsia" w:eastAsia="仿宋_GB2312" w:cs="仿宋_GB2312"/>
          <w:sz w:val="32"/>
          <w:szCs w:val="32"/>
        </w:rPr>
      </w:pPr>
    </w:p>
    <w:p w14:paraId="3D2A75DB">
      <w:pPr>
        <w:pStyle w:val="29"/>
        <w:spacing w:line="600" w:lineRule="exact"/>
        <w:ind w:firstLine="640"/>
        <w:outlineLvl w:val="1"/>
        <w:rPr>
          <w:rFonts w:hint="eastAsia" w:eastAsia="仿宋_GB2312" w:cs="仿宋_GB2312"/>
          <w:sz w:val="32"/>
          <w:szCs w:val="32"/>
        </w:rPr>
      </w:pPr>
    </w:p>
    <w:p w14:paraId="68AD0067">
      <w:pPr>
        <w:pStyle w:val="29"/>
        <w:spacing w:line="600" w:lineRule="exact"/>
        <w:ind w:firstLine="640"/>
        <w:outlineLvl w:val="1"/>
        <w:rPr>
          <w:rFonts w:hint="eastAsia" w:eastAsia="仿宋_GB2312" w:cs="仿宋_GB2312"/>
          <w:sz w:val="32"/>
          <w:szCs w:val="32"/>
        </w:rPr>
      </w:pPr>
    </w:p>
    <w:p w14:paraId="62FF77E3">
      <w:pPr>
        <w:pStyle w:val="29"/>
        <w:spacing w:line="600" w:lineRule="exact"/>
        <w:ind w:firstLine="640"/>
        <w:outlineLvl w:val="1"/>
        <w:rPr>
          <w:rFonts w:hint="eastAsia" w:eastAsia="仿宋_GB2312" w:cs="仿宋_GB2312"/>
          <w:sz w:val="32"/>
          <w:szCs w:val="32"/>
        </w:rPr>
      </w:pPr>
    </w:p>
    <w:p w14:paraId="33B271EA">
      <w:pPr>
        <w:pStyle w:val="29"/>
        <w:spacing w:line="600" w:lineRule="exact"/>
        <w:ind w:left="0" w:leftChars="0" w:firstLine="0" w:firstLineChars="0"/>
        <w:jc w:val="both"/>
        <w:outlineLvl w:val="1"/>
        <w:rPr>
          <w:rFonts w:hint="eastAsia" w:ascii="Times New Roman" w:hAnsi="Times New Roman" w:eastAsia="方正仿宋_GBK" w:cs="Times New Roman"/>
          <w:kern w:val="0"/>
          <w:sz w:val="32"/>
          <w:szCs w:val="32"/>
          <w:lang w:val="en-US" w:eastAsia="zh-CN" w:bidi="ar"/>
        </w:rPr>
      </w:pPr>
    </w:p>
    <w:p w14:paraId="18413342">
      <w:pPr>
        <w:pStyle w:val="29"/>
        <w:spacing w:line="600" w:lineRule="exact"/>
        <w:ind w:left="0" w:leftChars="0" w:firstLine="0" w:firstLineChars="0"/>
        <w:jc w:val="both"/>
        <w:outlineLvl w:val="1"/>
        <w:rPr>
          <w:rFonts w:hint="eastAsia" w:ascii="Times New Roman" w:hAnsi="Times New Roman" w:eastAsia="方正仿宋_GBK" w:cs="Times New Roman"/>
          <w:kern w:val="0"/>
          <w:sz w:val="32"/>
          <w:szCs w:val="32"/>
          <w:lang w:val="en-US" w:eastAsia="zh-CN" w:bidi="ar"/>
        </w:rPr>
      </w:pPr>
    </w:p>
    <w:p w14:paraId="3D820245">
      <w:pPr>
        <w:pStyle w:val="29"/>
        <w:spacing w:line="600" w:lineRule="exact"/>
        <w:ind w:left="0" w:leftChars="0" w:firstLine="0" w:firstLineChars="0"/>
        <w:jc w:val="center"/>
        <w:outlineLvl w:val="1"/>
        <w:rPr>
          <w:rFonts w:hint="eastAsia" w:ascii="Times New Roman" w:hAnsi="Times New Roman" w:eastAsia="方正仿宋_GBK" w:cs="Times New Roman"/>
          <w:kern w:val="0"/>
          <w:sz w:val="32"/>
          <w:szCs w:val="32"/>
          <w:lang w:val="en-US" w:eastAsia="zh-CN" w:bidi="ar"/>
        </w:rPr>
      </w:pPr>
    </w:p>
    <w:p w14:paraId="47E26C2F">
      <w:pPr>
        <w:pStyle w:val="29"/>
        <w:spacing w:line="600" w:lineRule="exact"/>
        <w:ind w:left="0" w:leftChars="0" w:firstLine="0" w:firstLineChars="0"/>
        <w:jc w:val="center"/>
        <w:outlineLvl w:val="1"/>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（图1：收入、支出决算总计变动情况图）</w:t>
      </w:r>
    </w:p>
    <w:p w14:paraId="0C8605B8">
      <w:pPr>
        <w:pStyle w:val="38"/>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黑体_GBK" w:hAnsi="方正黑体_GBK" w:eastAsia="方正黑体_GBK" w:cs="方正黑体_GBK"/>
          <w:sz w:val="32"/>
          <w:szCs w:val="32"/>
          <w:lang w:val="en-US" w:eastAsia="zh-CN"/>
        </w:rPr>
      </w:pPr>
      <w:bookmarkStart w:id="16" w:name="_Toc15396604"/>
      <w:bookmarkStart w:id="17" w:name="_Toc15377206"/>
      <w:r>
        <w:rPr>
          <w:rFonts w:hint="eastAsia" w:ascii="方正黑体_GBK" w:hAnsi="方正黑体_GBK" w:eastAsia="方正黑体_GBK" w:cs="方正黑体_GBK"/>
          <w:sz w:val="32"/>
          <w:szCs w:val="32"/>
          <w:lang w:val="en-US" w:eastAsia="zh-CN"/>
        </w:rPr>
        <w:t>二、收入决算情况说明</w:t>
      </w:r>
      <w:bookmarkEnd w:id="16"/>
      <w:bookmarkEnd w:id="17"/>
    </w:p>
    <w:p w14:paraId="5D28F3D3">
      <w:pPr>
        <w:pStyle w:val="29"/>
        <w:spacing w:line="600" w:lineRule="exact"/>
        <w:ind w:firstLine="640"/>
        <w:outlineLvl w:val="1"/>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2025年度本年收入合计503.27万元，其中：一般公共预算财政拨款收入493.07万元，占9</w:t>
      </w:r>
      <w:r>
        <w:rPr>
          <w:rFonts w:hint="eastAsia" w:eastAsia="方正仿宋_GBK" w:cs="Times New Roman"/>
          <w:kern w:val="0"/>
          <w:sz w:val="32"/>
          <w:szCs w:val="32"/>
          <w:lang w:val="en-US" w:eastAsia="zh-CN" w:bidi="ar"/>
        </w:rPr>
        <w:t>8</w:t>
      </w:r>
      <w:r>
        <w:rPr>
          <w:rFonts w:hint="eastAsia" w:ascii="Times New Roman" w:hAnsi="Times New Roman" w:eastAsia="方正仿宋_GBK" w:cs="Times New Roman"/>
          <w:kern w:val="0"/>
          <w:sz w:val="32"/>
          <w:szCs w:val="32"/>
          <w:lang w:val="en-US" w:eastAsia="zh-CN" w:bidi="ar"/>
        </w:rPr>
        <w:t>%；政府性基金预算财政拨款收入10.2万元，占2%。</w:t>
      </w:r>
    </w:p>
    <w:p w14:paraId="7C84A6FC">
      <w:pPr>
        <w:pStyle w:val="29"/>
        <w:spacing w:line="600" w:lineRule="exact"/>
        <w:ind w:firstLine="640"/>
        <w:outlineLvl w:val="1"/>
        <w:rPr>
          <w:rFonts w:hint="eastAsia" w:eastAsia="仿宋_GB2312" w:cs="仿宋_GB2312"/>
          <w:sz w:val="32"/>
          <w:szCs w:val="32"/>
        </w:rPr>
      </w:pPr>
    </w:p>
    <w:p w14:paraId="68A586B8">
      <w:pPr>
        <w:pStyle w:val="29"/>
        <w:spacing w:line="600" w:lineRule="exact"/>
        <w:ind w:firstLine="640"/>
        <w:outlineLvl w:val="1"/>
        <w:rPr>
          <w:rFonts w:hint="eastAsia" w:eastAsia="仿宋_GB2312" w:cs="仿宋_GB2312"/>
          <w:sz w:val="32"/>
          <w:szCs w:val="32"/>
        </w:rPr>
      </w:pPr>
    </w:p>
    <w:p w14:paraId="704629DD">
      <w:pPr>
        <w:pStyle w:val="29"/>
        <w:spacing w:line="600" w:lineRule="exact"/>
        <w:ind w:firstLine="640"/>
        <w:outlineLvl w:val="1"/>
        <w:rPr>
          <w:rFonts w:hint="eastAsia" w:eastAsia="仿宋_GB2312" w:cs="仿宋_GB2312"/>
          <w:sz w:val="32"/>
          <w:szCs w:val="32"/>
        </w:rPr>
      </w:pPr>
      <w:r>
        <w:drawing>
          <wp:anchor distT="0" distB="0" distL="114300" distR="114300" simplePos="0" relativeHeight="251666432" behindDoc="1" locked="0" layoutInCell="1" allowOverlap="1">
            <wp:simplePos x="0" y="0"/>
            <wp:positionH relativeFrom="column">
              <wp:posOffset>409575</wp:posOffset>
            </wp:positionH>
            <wp:positionV relativeFrom="page">
              <wp:posOffset>908685</wp:posOffset>
            </wp:positionV>
            <wp:extent cx="4415155" cy="2690495"/>
            <wp:effectExtent l="0" t="0" r="4445" b="1460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4415155" cy="2690495"/>
                    </a:xfrm>
                    <a:prstGeom prst="rect">
                      <a:avLst/>
                    </a:prstGeom>
                    <a:noFill/>
                    <a:ln>
                      <a:noFill/>
                    </a:ln>
                  </pic:spPr>
                </pic:pic>
              </a:graphicData>
            </a:graphic>
          </wp:anchor>
        </w:drawing>
      </w:r>
    </w:p>
    <w:p w14:paraId="633DD292">
      <w:pPr>
        <w:pStyle w:val="29"/>
        <w:spacing w:line="600" w:lineRule="exact"/>
        <w:ind w:firstLine="640"/>
        <w:outlineLvl w:val="1"/>
        <w:rPr>
          <w:rFonts w:hint="eastAsia" w:eastAsia="仿宋_GB2312" w:cs="仿宋_GB2312"/>
          <w:sz w:val="32"/>
          <w:szCs w:val="32"/>
        </w:rPr>
      </w:pPr>
    </w:p>
    <w:p w14:paraId="7B06A8B2">
      <w:pPr>
        <w:pStyle w:val="29"/>
        <w:spacing w:line="600" w:lineRule="exact"/>
        <w:ind w:firstLine="640"/>
        <w:outlineLvl w:val="1"/>
        <w:rPr>
          <w:rFonts w:hint="eastAsia" w:eastAsia="仿宋_GB2312" w:cs="仿宋_GB2312"/>
          <w:sz w:val="32"/>
          <w:szCs w:val="32"/>
        </w:rPr>
      </w:pPr>
    </w:p>
    <w:p w14:paraId="75E764F0">
      <w:pPr>
        <w:pStyle w:val="29"/>
        <w:spacing w:line="600" w:lineRule="exact"/>
        <w:ind w:firstLine="640"/>
        <w:outlineLvl w:val="1"/>
        <w:rPr>
          <w:rFonts w:hint="eastAsia" w:eastAsia="仿宋_GB2312" w:cs="仿宋_GB2312"/>
          <w:sz w:val="32"/>
          <w:szCs w:val="32"/>
        </w:rPr>
      </w:pPr>
    </w:p>
    <w:p w14:paraId="2F27B971">
      <w:pPr>
        <w:pStyle w:val="29"/>
        <w:spacing w:line="600" w:lineRule="exact"/>
        <w:ind w:firstLine="640"/>
        <w:outlineLvl w:val="1"/>
        <w:rPr>
          <w:rFonts w:hint="eastAsia" w:eastAsia="仿宋_GB2312" w:cs="仿宋_GB2312"/>
          <w:sz w:val="32"/>
          <w:szCs w:val="32"/>
        </w:rPr>
      </w:pPr>
    </w:p>
    <w:p w14:paraId="72DBE2AE">
      <w:pPr>
        <w:pStyle w:val="29"/>
        <w:spacing w:line="600" w:lineRule="exact"/>
        <w:ind w:left="0" w:leftChars="0" w:firstLine="0" w:firstLineChars="0"/>
        <w:outlineLvl w:val="1"/>
        <w:rPr>
          <w:rFonts w:hint="eastAsia" w:eastAsia="仿宋_GB2312" w:cs="仿宋_GB2312"/>
          <w:sz w:val="32"/>
          <w:szCs w:val="32"/>
        </w:rPr>
      </w:pPr>
    </w:p>
    <w:p w14:paraId="514A2FC8">
      <w:pPr>
        <w:pStyle w:val="29"/>
        <w:spacing w:line="600" w:lineRule="exact"/>
        <w:ind w:left="0" w:leftChars="0" w:firstLine="0" w:firstLineChars="0"/>
        <w:jc w:val="center"/>
        <w:outlineLvl w:val="1"/>
        <w:rPr>
          <w:rFonts w:hint="eastAsia" w:ascii="Times New Roman" w:hAnsi="Times New Roman" w:eastAsia="方正仿宋_GBK" w:cs="Times New Roman"/>
          <w:kern w:val="0"/>
          <w:sz w:val="32"/>
          <w:szCs w:val="32"/>
          <w:lang w:val="en-US" w:eastAsia="zh-CN" w:bidi="ar"/>
        </w:rPr>
      </w:pPr>
    </w:p>
    <w:p w14:paraId="139757DC">
      <w:pPr>
        <w:pStyle w:val="29"/>
        <w:spacing w:line="600" w:lineRule="exact"/>
        <w:ind w:left="0" w:leftChars="0" w:firstLine="0" w:firstLineChars="0"/>
        <w:jc w:val="center"/>
        <w:outlineLvl w:val="1"/>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（图2：收入决算结构图）</w:t>
      </w:r>
      <w:bookmarkStart w:id="18" w:name="_Toc15377207"/>
      <w:bookmarkStart w:id="19" w:name="_Toc15396605"/>
    </w:p>
    <w:p w14:paraId="42CE6DE8">
      <w:pPr>
        <w:pStyle w:val="38"/>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三、支出决算情况说明</w:t>
      </w:r>
      <w:bookmarkEnd w:id="18"/>
      <w:bookmarkEnd w:id="19"/>
    </w:p>
    <w:p w14:paraId="306179EC">
      <w:pPr>
        <w:pStyle w:val="29"/>
        <w:spacing w:line="600" w:lineRule="exact"/>
        <w:ind w:firstLine="640"/>
        <w:outlineLvl w:val="1"/>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2025年度本年支出合计503.27万元，其中：基本支出386.15万元，占76.7%；项目支出117.12万元，占23.</w:t>
      </w:r>
      <w:r>
        <w:rPr>
          <w:rFonts w:hint="eastAsia" w:eastAsia="方正仿宋_GBK" w:cs="Times New Roman"/>
          <w:kern w:val="0"/>
          <w:sz w:val="32"/>
          <w:szCs w:val="32"/>
          <w:lang w:val="en-US" w:eastAsia="zh-CN" w:bidi="ar"/>
        </w:rPr>
        <w:t>3</w:t>
      </w:r>
      <w:r>
        <w:rPr>
          <w:rFonts w:hint="eastAsia" w:ascii="Times New Roman" w:hAnsi="Times New Roman" w:eastAsia="方正仿宋_GBK" w:cs="Times New Roman"/>
          <w:kern w:val="0"/>
          <w:sz w:val="32"/>
          <w:szCs w:val="32"/>
          <w:lang w:val="en-US" w:eastAsia="zh-CN" w:bidi="ar"/>
        </w:rPr>
        <w:t>%。</w:t>
      </w:r>
    </w:p>
    <w:p w14:paraId="34F20131">
      <w:pPr>
        <w:pStyle w:val="29"/>
        <w:spacing w:line="600" w:lineRule="exact"/>
        <w:ind w:firstLine="640"/>
        <w:outlineLvl w:val="1"/>
        <w:rPr>
          <w:rFonts w:hint="eastAsia" w:eastAsia="仿宋_GB2312" w:cs="仿宋_GB2312"/>
          <w:sz w:val="32"/>
          <w:szCs w:val="32"/>
          <w:lang w:eastAsia="zh-CN"/>
        </w:rPr>
      </w:pPr>
      <w:r>
        <w:drawing>
          <wp:anchor distT="0" distB="0" distL="114300" distR="114300" simplePos="0" relativeHeight="251660288" behindDoc="1" locked="0" layoutInCell="1" allowOverlap="1">
            <wp:simplePos x="0" y="0"/>
            <wp:positionH relativeFrom="column">
              <wp:posOffset>238760</wp:posOffset>
            </wp:positionH>
            <wp:positionV relativeFrom="page">
              <wp:posOffset>5113655</wp:posOffset>
            </wp:positionV>
            <wp:extent cx="4589780" cy="2753995"/>
            <wp:effectExtent l="0" t="0" r="1270" b="8255"/>
            <wp:wrapNone/>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11"/>
                    <a:stretch>
                      <a:fillRect/>
                    </a:stretch>
                  </pic:blipFill>
                  <pic:spPr>
                    <a:xfrm>
                      <a:off x="0" y="0"/>
                      <a:ext cx="4589780" cy="2753995"/>
                    </a:xfrm>
                    <a:prstGeom prst="rect">
                      <a:avLst/>
                    </a:prstGeom>
                    <a:noFill/>
                    <a:ln>
                      <a:noFill/>
                    </a:ln>
                  </pic:spPr>
                </pic:pic>
              </a:graphicData>
            </a:graphic>
          </wp:anchor>
        </w:drawing>
      </w:r>
    </w:p>
    <w:p w14:paraId="269E290C">
      <w:pPr>
        <w:pStyle w:val="29"/>
        <w:spacing w:line="600" w:lineRule="exact"/>
        <w:ind w:firstLine="640"/>
        <w:outlineLvl w:val="1"/>
        <w:rPr>
          <w:rFonts w:hint="eastAsia" w:eastAsia="仿宋_GB2312" w:cs="仿宋_GB2312"/>
          <w:sz w:val="32"/>
          <w:szCs w:val="32"/>
          <w:lang w:eastAsia="zh-CN"/>
        </w:rPr>
      </w:pPr>
    </w:p>
    <w:p w14:paraId="0F73F592">
      <w:pPr>
        <w:pStyle w:val="29"/>
        <w:spacing w:line="600" w:lineRule="exact"/>
        <w:ind w:firstLine="640"/>
        <w:outlineLvl w:val="1"/>
        <w:rPr>
          <w:rFonts w:hint="eastAsia" w:eastAsia="仿宋_GB2312" w:cs="仿宋_GB2312"/>
          <w:sz w:val="32"/>
          <w:szCs w:val="32"/>
          <w:lang w:eastAsia="zh-CN"/>
        </w:rPr>
      </w:pPr>
    </w:p>
    <w:p w14:paraId="33C5A1CF">
      <w:pPr>
        <w:pStyle w:val="29"/>
        <w:spacing w:line="600" w:lineRule="exact"/>
        <w:ind w:firstLine="640"/>
        <w:outlineLvl w:val="1"/>
        <w:rPr>
          <w:rFonts w:hint="eastAsia" w:eastAsia="仿宋_GB2312" w:cs="仿宋_GB2312"/>
          <w:sz w:val="32"/>
          <w:szCs w:val="32"/>
          <w:lang w:eastAsia="zh-CN"/>
        </w:rPr>
      </w:pPr>
    </w:p>
    <w:p w14:paraId="7F224B81">
      <w:pPr>
        <w:pStyle w:val="29"/>
        <w:spacing w:line="600" w:lineRule="exact"/>
        <w:ind w:firstLine="640"/>
        <w:outlineLvl w:val="1"/>
        <w:rPr>
          <w:rFonts w:hint="eastAsia" w:eastAsia="仿宋_GB2312" w:cs="仿宋_GB2312"/>
          <w:sz w:val="32"/>
          <w:szCs w:val="32"/>
          <w:lang w:eastAsia="zh-CN"/>
        </w:rPr>
      </w:pPr>
    </w:p>
    <w:p w14:paraId="13DFFD32">
      <w:pPr>
        <w:pStyle w:val="29"/>
        <w:spacing w:line="600" w:lineRule="exact"/>
        <w:ind w:firstLine="640"/>
        <w:outlineLvl w:val="1"/>
        <w:rPr>
          <w:rFonts w:hint="eastAsia" w:eastAsia="仿宋_GB2312" w:cs="仿宋_GB2312"/>
          <w:sz w:val="32"/>
          <w:szCs w:val="32"/>
          <w:lang w:eastAsia="zh-CN"/>
        </w:rPr>
      </w:pPr>
    </w:p>
    <w:p w14:paraId="668D6C35">
      <w:pPr>
        <w:pStyle w:val="29"/>
        <w:spacing w:line="600" w:lineRule="exact"/>
        <w:ind w:left="0" w:leftChars="0" w:firstLine="0" w:firstLineChars="0"/>
        <w:jc w:val="both"/>
        <w:outlineLvl w:val="1"/>
        <w:rPr>
          <w:rFonts w:hint="eastAsia" w:ascii="Times New Roman" w:hAnsi="Times New Roman" w:eastAsia="方正仿宋_GBK" w:cs="Times New Roman"/>
          <w:kern w:val="0"/>
          <w:sz w:val="32"/>
          <w:szCs w:val="32"/>
          <w:lang w:val="en-US" w:eastAsia="zh-CN" w:bidi="ar"/>
        </w:rPr>
      </w:pPr>
    </w:p>
    <w:p w14:paraId="261BC349">
      <w:pPr>
        <w:pStyle w:val="29"/>
        <w:spacing w:line="600" w:lineRule="exact"/>
        <w:ind w:left="0" w:leftChars="0" w:firstLine="0" w:firstLineChars="0"/>
        <w:jc w:val="center"/>
        <w:outlineLvl w:val="1"/>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（图3：支出决算结构图）</w:t>
      </w:r>
    </w:p>
    <w:p w14:paraId="54378C5D">
      <w:pPr>
        <w:pStyle w:val="38"/>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黑体_GBK" w:hAnsi="方正黑体_GBK" w:eastAsia="方正黑体_GBK" w:cs="方正黑体_GBK"/>
          <w:sz w:val="32"/>
          <w:szCs w:val="32"/>
          <w:lang w:val="en-US" w:eastAsia="zh-CN"/>
        </w:rPr>
      </w:pPr>
      <w:bookmarkStart w:id="20" w:name="_Toc15396606"/>
      <w:bookmarkStart w:id="21" w:name="_Toc15377208"/>
      <w:r>
        <w:rPr>
          <w:rFonts w:hint="eastAsia" w:ascii="方正黑体_GBK" w:hAnsi="方正黑体_GBK" w:eastAsia="方正黑体_GBK" w:cs="方正黑体_GBK"/>
          <w:sz w:val="32"/>
          <w:szCs w:val="32"/>
          <w:lang w:val="en-US" w:eastAsia="zh-CN"/>
        </w:rPr>
        <w:t>四、财政拨款收入支出决算总体情况说明</w:t>
      </w:r>
      <w:bookmarkEnd w:id="20"/>
      <w:bookmarkEnd w:id="21"/>
    </w:p>
    <w:p w14:paraId="4D016D9C">
      <w:pPr>
        <w:pStyle w:val="29"/>
        <w:spacing w:line="600" w:lineRule="exact"/>
        <w:ind w:firstLine="640"/>
        <w:outlineLvl w:val="1"/>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2025年度财政拨款收入、支出总计均为503.27万元。与上年度相比，财政拨款收入、支出总计各减少39.3万元，下降7.2%。主要变动原因是政府性基金预算财政拨款项目经</w:t>
      </w:r>
      <w:r>
        <w:drawing>
          <wp:anchor distT="0" distB="0" distL="114300" distR="114300" simplePos="0" relativeHeight="251661312" behindDoc="1" locked="0" layoutInCell="1" allowOverlap="1">
            <wp:simplePos x="0" y="0"/>
            <wp:positionH relativeFrom="column">
              <wp:posOffset>320675</wp:posOffset>
            </wp:positionH>
            <wp:positionV relativeFrom="page">
              <wp:posOffset>1214120</wp:posOffset>
            </wp:positionV>
            <wp:extent cx="4565650" cy="2731770"/>
            <wp:effectExtent l="0" t="0" r="6350" b="11430"/>
            <wp:wrapNone/>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12"/>
                    <a:stretch>
                      <a:fillRect/>
                    </a:stretch>
                  </pic:blipFill>
                  <pic:spPr>
                    <a:xfrm>
                      <a:off x="0" y="0"/>
                      <a:ext cx="4565650" cy="2731770"/>
                    </a:xfrm>
                    <a:prstGeom prst="rect">
                      <a:avLst/>
                    </a:prstGeom>
                    <a:noFill/>
                    <a:ln>
                      <a:noFill/>
                    </a:ln>
                  </pic:spPr>
                </pic:pic>
              </a:graphicData>
            </a:graphic>
          </wp:anchor>
        </w:drawing>
      </w:r>
      <w:r>
        <w:rPr>
          <w:rFonts w:hint="eastAsia" w:ascii="Times New Roman" w:hAnsi="Times New Roman" w:eastAsia="方正仿宋_GBK" w:cs="Times New Roman"/>
          <w:kern w:val="0"/>
          <w:sz w:val="32"/>
          <w:szCs w:val="32"/>
          <w:lang w:val="en-US" w:eastAsia="zh-CN" w:bidi="ar"/>
        </w:rPr>
        <w:t>费的下拨和支出减少。</w:t>
      </w:r>
    </w:p>
    <w:p w14:paraId="282F9A41">
      <w:pPr>
        <w:spacing w:line="600" w:lineRule="exact"/>
        <w:ind w:firstLine="640"/>
        <w:rPr>
          <w:rFonts w:eastAsia="仿宋_GB2312" w:cs="仿宋_GB2312"/>
          <w:sz w:val="32"/>
          <w:szCs w:val="32"/>
        </w:rPr>
      </w:pPr>
    </w:p>
    <w:p w14:paraId="71C41418">
      <w:pPr>
        <w:pStyle w:val="15"/>
        <w:rPr>
          <w:rFonts w:eastAsia="仿宋_GB2312" w:cs="仿宋_GB2312"/>
          <w:sz w:val="32"/>
          <w:szCs w:val="32"/>
        </w:rPr>
      </w:pPr>
    </w:p>
    <w:p w14:paraId="74FC30BB">
      <w:pPr>
        <w:pStyle w:val="29"/>
        <w:spacing w:line="600" w:lineRule="exact"/>
        <w:ind w:firstLine="640"/>
        <w:outlineLvl w:val="1"/>
        <w:rPr>
          <w:rFonts w:hint="eastAsia" w:ascii="Times New Roman" w:hAnsi="Times New Roman" w:eastAsia="方正仿宋_GBK" w:cs="Times New Roman"/>
          <w:kern w:val="0"/>
          <w:sz w:val="32"/>
          <w:szCs w:val="32"/>
          <w:lang w:val="en-US" w:eastAsia="zh-CN" w:bidi="ar"/>
        </w:rPr>
      </w:pPr>
    </w:p>
    <w:p w14:paraId="48CBC9A8">
      <w:pPr>
        <w:pStyle w:val="29"/>
        <w:spacing w:line="600" w:lineRule="exact"/>
        <w:ind w:firstLine="640"/>
        <w:outlineLvl w:val="1"/>
        <w:rPr>
          <w:rFonts w:hint="eastAsia" w:ascii="Times New Roman" w:hAnsi="Times New Roman" w:eastAsia="方正仿宋_GBK" w:cs="Times New Roman"/>
          <w:kern w:val="0"/>
          <w:sz w:val="32"/>
          <w:szCs w:val="32"/>
          <w:lang w:val="en-US" w:eastAsia="zh-CN" w:bidi="ar"/>
        </w:rPr>
      </w:pPr>
    </w:p>
    <w:p w14:paraId="519D4009">
      <w:pPr>
        <w:pStyle w:val="29"/>
        <w:spacing w:line="600" w:lineRule="exact"/>
        <w:ind w:firstLine="640"/>
        <w:outlineLvl w:val="1"/>
        <w:rPr>
          <w:rFonts w:hint="eastAsia" w:ascii="Times New Roman" w:hAnsi="Times New Roman" w:eastAsia="方正仿宋_GBK" w:cs="Times New Roman"/>
          <w:kern w:val="0"/>
          <w:sz w:val="32"/>
          <w:szCs w:val="32"/>
          <w:lang w:val="en-US" w:eastAsia="zh-CN" w:bidi="ar"/>
        </w:rPr>
      </w:pPr>
    </w:p>
    <w:p w14:paraId="539CE60B">
      <w:pPr>
        <w:pStyle w:val="29"/>
        <w:spacing w:line="600" w:lineRule="exact"/>
        <w:ind w:firstLine="640"/>
        <w:outlineLvl w:val="1"/>
        <w:rPr>
          <w:rFonts w:hint="eastAsia" w:ascii="Times New Roman" w:hAnsi="Times New Roman" w:eastAsia="方正仿宋_GBK" w:cs="Times New Roman"/>
          <w:kern w:val="0"/>
          <w:sz w:val="32"/>
          <w:szCs w:val="32"/>
          <w:lang w:val="en-US" w:eastAsia="zh-CN" w:bidi="ar"/>
        </w:rPr>
      </w:pPr>
    </w:p>
    <w:p w14:paraId="1BC025D7">
      <w:pPr>
        <w:pStyle w:val="29"/>
        <w:spacing w:line="600" w:lineRule="exact"/>
        <w:ind w:left="0" w:leftChars="0" w:firstLine="0" w:firstLineChars="0"/>
        <w:outlineLvl w:val="1"/>
        <w:rPr>
          <w:rFonts w:hint="eastAsia" w:ascii="Times New Roman" w:hAnsi="Times New Roman" w:eastAsia="方正仿宋_GBK" w:cs="Times New Roman"/>
          <w:kern w:val="0"/>
          <w:sz w:val="32"/>
          <w:szCs w:val="32"/>
          <w:lang w:val="en-US" w:eastAsia="zh-CN" w:bidi="ar"/>
        </w:rPr>
      </w:pPr>
    </w:p>
    <w:p w14:paraId="0F54225F">
      <w:pPr>
        <w:pStyle w:val="29"/>
        <w:spacing w:line="600" w:lineRule="exact"/>
        <w:ind w:left="0" w:leftChars="0" w:firstLine="0" w:firstLineChars="0"/>
        <w:jc w:val="center"/>
        <w:outlineLvl w:val="1"/>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（图4：财政拨款收、支决算总计变动情况）</w:t>
      </w:r>
    </w:p>
    <w:p w14:paraId="6401D9A5">
      <w:pPr>
        <w:pStyle w:val="38"/>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方正黑体_GBK" w:hAnsi="方正黑体_GBK" w:eastAsia="方正黑体_GBK" w:cs="方正黑体_GBK"/>
          <w:sz w:val="32"/>
          <w:szCs w:val="32"/>
          <w:lang w:val="en-US" w:eastAsia="zh-CN"/>
        </w:rPr>
      </w:pPr>
      <w:bookmarkStart w:id="22" w:name="_Toc15377209"/>
      <w:bookmarkStart w:id="23" w:name="_Toc15396607"/>
      <w:r>
        <w:rPr>
          <w:rFonts w:hint="eastAsia" w:ascii="方正黑体_GBK" w:hAnsi="方正黑体_GBK" w:eastAsia="方正黑体_GBK" w:cs="方正黑体_GBK"/>
          <w:sz w:val="32"/>
          <w:szCs w:val="32"/>
          <w:lang w:val="en-US" w:eastAsia="zh-CN"/>
        </w:rPr>
        <w:t>五、一般公共预算财政拨款支出决算情况说明</w:t>
      </w:r>
      <w:bookmarkEnd w:id="22"/>
      <w:bookmarkEnd w:id="23"/>
    </w:p>
    <w:p w14:paraId="4A1BBEAC">
      <w:pPr>
        <w:pStyle w:val="7"/>
        <w:keepNext w:val="0"/>
        <w:keepLines w:val="0"/>
        <w:pageBreakBefore w:val="0"/>
        <w:widowControl w:val="0"/>
        <w:kinsoku/>
        <w:wordWrap/>
        <w:overflowPunct/>
        <w:topLinePunct w:val="0"/>
        <w:autoSpaceDE/>
        <w:autoSpaceDN/>
        <w:bidi w:val="0"/>
        <w:adjustRightInd w:val="0"/>
        <w:snapToGrid/>
        <w:spacing w:before="0" w:beforeLines="0" w:line="600" w:lineRule="exact"/>
        <w:ind w:left="0" w:leftChars="0" w:firstLine="643" w:firstLineChars="200"/>
        <w:textAlignment w:val="auto"/>
        <w:rPr>
          <w:rFonts w:hint="default" w:ascii="方正楷体_GBK" w:hAnsi="方正楷体_GBK" w:eastAsia="方正楷体_GBK" w:cs="方正楷体_GBK"/>
          <w:b/>
          <w:bCs/>
          <w:kern w:val="0"/>
          <w:sz w:val="32"/>
          <w:szCs w:val="32"/>
          <w:lang w:val="en-US" w:eastAsia="zh-CN" w:bidi="ar"/>
        </w:rPr>
      </w:pPr>
      <w:bookmarkStart w:id="24" w:name="_Toc15377210"/>
      <w:r>
        <w:rPr>
          <w:rFonts w:hint="eastAsia" w:ascii="方正楷体_GBK" w:hAnsi="方正楷体_GBK" w:eastAsia="方正楷体_GBK" w:cs="方正楷体_GBK"/>
          <w:b/>
          <w:bCs/>
          <w:kern w:val="0"/>
          <w:sz w:val="32"/>
          <w:szCs w:val="32"/>
          <w:lang w:val="en-US" w:eastAsia="zh-CN" w:bidi="ar"/>
        </w:rPr>
        <w:t>（一）一般公共预算财政拨款支出决算总体情况</w:t>
      </w:r>
      <w:bookmarkEnd w:id="24"/>
    </w:p>
    <w:p w14:paraId="28B6CE70">
      <w:pPr>
        <w:pStyle w:val="29"/>
        <w:spacing w:line="600" w:lineRule="exact"/>
        <w:ind w:firstLine="640"/>
        <w:outlineLvl w:val="1"/>
        <w:rPr>
          <w:rFonts w:hint="eastAsia" w:eastAsia="仿宋_GB2312" w:cs="仿宋_GB2312"/>
          <w:sz w:val="32"/>
          <w:szCs w:val="32"/>
        </w:rPr>
      </w:pPr>
      <w:r>
        <w:rPr>
          <w:rFonts w:hint="eastAsia" w:ascii="Times New Roman" w:hAnsi="Times New Roman" w:eastAsia="方正仿宋_GBK" w:cs="Times New Roman"/>
          <w:kern w:val="0"/>
          <w:sz w:val="32"/>
          <w:szCs w:val="32"/>
          <w:lang w:val="en-US" w:eastAsia="zh-CN" w:bidi="ar"/>
        </w:rPr>
        <w:t>2025年度一般公共预算财政拨款支出493.07万元，占本年支出合计的9</w:t>
      </w:r>
      <w:r>
        <w:rPr>
          <w:rFonts w:hint="eastAsia" w:eastAsia="方正仿宋_GBK" w:cs="Times New Roman"/>
          <w:kern w:val="0"/>
          <w:sz w:val="32"/>
          <w:szCs w:val="32"/>
          <w:lang w:val="en-US" w:eastAsia="zh-CN" w:bidi="ar"/>
        </w:rPr>
        <w:t>8</w:t>
      </w:r>
      <w:r>
        <w:rPr>
          <w:rFonts w:hint="eastAsia" w:ascii="Times New Roman" w:hAnsi="Times New Roman" w:eastAsia="方正仿宋_GBK" w:cs="Times New Roman"/>
          <w:kern w:val="0"/>
          <w:sz w:val="32"/>
          <w:szCs w:val="32"/>
          <w:lang w:val="en-US" w:eastAsia="zh-CN" w:bidi="ar"/>
        </w:rPr>
        <w:t>%。与上年度相比，一般公共预算财政拨款支出增加6.4万元，增长1.3%。主要变动原因是一般公共预算财政拨款基本支出增加，项目支出减少。</w:t>
      </w:r>
    </w:p>
    <w:p w14:paraId="1B6EAB7D">
      <w:pPr>
        <w:spacing w:line="600" w:lineRule="exact"/>
        <w:ind w:firstLine="640"/>
        <w:rPr>
          <w:rFonts w:hint="eastAsia" w:eastAsia="仿宋_GB2312" w:cs="仿宋_GB2312"/>
          <w:sz w:val="32"/>
          <w:szCs w:val="32"/>
        </w:rPr>
      </w:pPr>
      <w:r>
        <w:drawing>
          <wp:anchor distT="0" distB="0" distL="114300" distR="114300" simplePos="0" relativeHeight="251662336" behindDoc="1" locked="0" layoutInCell="1" allowOverlap="1">
            <wp:simplePos x="0" y="0"/>
            <wp:positionH relativeFrom="column">
              <wp:posOffset>202565</wp:posOffset>
            </wp:positionH>
            <wp:positionV relativeFrom="paragraph">
              <wp:posOffset>118745</wp:posOffset>
            </wp:positionV>
            <wp:extent cx="4938395" cy="2584450"/>
            <wp:effectExtent l="0" t="0" r="14605" b="6350"/>
            <wp:wrapNone/>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13"/>
                    <a:stretch>
                      <a:fillRect/>
                    </a:stretch>
                  </pic:blipFill>
                  <pic:spPr>
                    <a:xfrm>
                      <a:off x="0" y="0"/>
                      <a:ext cx="4938395" cy="2584450"/>
                    </a:xfrm>
                    <a:prstGeom prst="rect">
                      <a:avLst/>
                    </a:prstGeom>
                    <a:noFill/>
                    <a:ln>
                      <a:noFill/>
                    </a:ln>
                  </pic:spPr>
                </pic:pic>
              </a:graphicData>
            </a:graphic>
          </wp:anchor>
        </w:drawing>
      </w:r>
    </w:p>
    <w:p w14:paraId="11C7AF1A">
      <w:pPr>
        <w:spacing w:line="600" w:lineRule="exact"/>
        <w:ind w:firstLine="640"/>
        <w:rPr>
          <w:rFonts w:hint="eastAsia" w:eastAsia="仿宋_GB2312" w:cs="仿宋_GB2312"/>
          <w:sz w:val="32"/>
          <w:szCs w:val="32"/>
        </w:rPr>
      </w:pPr>
    </w:p>
    <w:p w14:paraId="29417569">
      <w:pPr>
        <w:spacing w:line="600" w:lineRule="exact"/>
        <w:ind w:firstLine="640"/>
        <w:rPr>
          <w:rFonts w:hint="eastAsia" w:eastAsia="仿宋_GB2312" w:cs="仿宋_GB2312"/>
          <w:sz w:val="32"/>
          <w:szCs w:val="32"/>
        </w:rPr>
      </w:pPr>
    </w:p>
    <w:p w14:paraId="5D26DDBB">
      <w:pPr>
        <w:spacing w:line="600" w:lineRule="exact"/>
        <w:ind w:firstLine="640"/>
        <w:rPr>
          <w:rFonts w:hint="eastAsia" w:eastAsia="仿宋_GB2312" w:cs="仿宋_GB2312"/>
          <w:sz w:val="32"/>
          <w:szCs w:val="32"/>
        </w:rPr>
      </w:pPr>
    </w:p>
    <w:p w14:paraId="60675751">
      <w:pPr>
        <w:spacing w:line="600" w:lineRule="exact"/>
        <w:rPr>
          <w:rFonts w:hint="eastAsia" w:eastAsia="仿宋_GB2312" w:cs="仿宋_GB2312"/>
          <w:sz w:val="32"/>
          <w:szCs w:val="32"/>
        </w:rPr>
      </w:pPr>
    </w:p>
    <w:p w14:paraId="5CA78E13">
      <w:pPr>
        <w:pStyle w:val="29"/>
        <w:spacing w:line="600" w:lineRule="exact"/>
        <w:ind w:left="0" w:leftChars="0" w:firstLine="0" w:firstLineChars="0"/>
        <w:outlineLvl w:val="1"/>
        <w:rPr>
          <w:rFonts w:hint="eastAsia" w:ascii="Times New Roman" w:hAnsi="Times New Roman" w:eastAsia="方正仿宋_GBK" w:cs="Times New Roman"/>
          <w:kern w:val="0"/>
          <w:sz w:val="32"/>
          <w:szCs w:val="32"/>
          <w:lang w:val="en-US" w:eastAsia="zh-CN" w:bidi="ar"/>
        </w:rPr>
      </w:pPr>
    </w:p>
    <w:p w14:paraId="59FFFB9A">
      <w:pPr>
        <w:pStyle w:val="29"/>
        <w:spacing w:line="600" w:lineRule="exact"/>
        <w:ind w:left="0" w:leftChars="0" w:firstLine="0" w:firstLineChars="0"/>
        <w:jc w:val="center"/>
        <w:outlineLvl w:val="1"/>
        <w:rPr>
          <w:rFonts w:hint="eastAsia" w:ascii="Times New Roman" w:hAnsi="Times New Roman" w:eastAsia="方正仿宋_GBK" w:cs="Times New Roman"/>
          <w:kern w:val="0"/>
          <w:sz w:val="32"/>
          <w:szCs w:val="32"/>
          <w:lang w:val="en-US" w:eastAsia="zh-CN" w:bidi="ar"/>
        </w:rPr>
      </w:pPr>
    </w:p>
    <w:p w14:paraId="73DB6E3E">
      <w:pPr>
        <w:pStyle w:val="29"/>
        <w:spacing w:line="600" w:lineRule="exact"/>
        <w:ind w:left="0" w:leftChars="0" w:firstLine="0" w:firstLineChars="0"/>
        <w:jc w:val="center"/>
        <w:outlineLvl w:val="1"/>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（图5：一般公共预算财政拨款支出决算变动情况）</w:t>
      </w:r>
    </w:p>
    <w:p w14:paraId="37A52F23">
      <w:pPr>
        <w:pStyle w:val="7"/>
        <w:keepNext w:val="0"/>
        <w:keepLines w:val="0"/>
        <w:pageBreakBefore w:val="0"/>
        <w:widowControl w:val="0"/>
        <w:kinsoku/>
        <w:wordWrap/>
        <w:overflowPunct/>
        <w:topLinePunct w:val="0"/>
        <w:autoSpaceDE/>
        <w:autoSpaceDN/>
        <w:bidi w:val="0"/>
        <w:adjustRightInd w:val="0"/>
        <w:snapToGrid/>
        <w:spacing w:before="0" w:beforeLines="0" w:line="600" w:lineRule="exact"/>
        <w:ind w:left="0" w:leftChars="0" w:firstLine="643" w:firstLineChars="200"/>
        <w:textAlignment w:val="auto"/>
        <w:rPr>
          <w:rFonts w:hint="eastAsia" w:ascii="方正楷体_GBK" w:hAnsi="方正楷体_GBK" w:eastAsia="方正楷体_GBK" w:cs="方正楷体_GBK"/>
          <w:b/>
          <w:bCs/>
          <w:kern w:val="0"/>
          <w:sz w:val="32"/>
          <w:szCs w:val="32"/>
          <w:lang w:val="en-US" w:eastAsia="zh-CN" w:bidi="ar"/>
        </w:rPr>
      </w:pPr>
      <w:bookmarkStart w:id="25" w:name="_Toc15377211"/>
      <w:r>
        <w:rPr>
          <w:rFonts w:hint="eastAsia" w:ascii="方正楷体_GBK" w:hAnsi="方正楷体_GBK" w:eastAsia="方正楷体_GBK" w:cs="方正楷体_GBK"/>
          <w:b/>
          <w:bCs/>
          <w:kern w:val="0"/>
          <w:sz w:val="32"/>
          <w:szCs w:val="32"/>
          <w:lang w:val="en-US" w:eastAsia="zh-CN" w:bidi="ar"/>
        </w:rPr>
        <w:t>（二）一般公共预算财政拨款支出决算结构情况</w:t>
      </w:r>
      <w:bookmarkEnd w:id="25"/>
    </w:p>
    <w:p w14:paraId="776D1DAC">
      <w:pPr>
        <w:pStyle w:val="29"/>
        <w:spacing w:line="600" w:lineRule="exact"/>
        <w:ind w:firstLine="640"/>
        <w:outlineLvl w:val="1"/>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2025年度一般公共预算财政拨款支出493.07万元，主要用于以下方面：社会保障和就业支出447.22万元，占90.7%；卫生健康支出20.81万元，占4.2%；住房保障支出25.04万元，占5.</w:t>
      </w:r>
      <w:r>
        <w:rPr>
          <w:rFonts w:hint="eastAsia" w:eastAsia="方正仿宋_GBK" w:cs="Times New Roman"/>
          <w:kern w:val="0"/>
          <w:sz w:val="32"/>
          <w:szCs w:val="32"/>
          <w:lang w:val="en-US" w:eastAsia="zh-CN" w:bidi="ar"/>
        </w:rPr>
        <w:t>1</w:t>
      </w:r>
      <w:r>
        <w:rPr>
          <w:rFonts w:hint="eastAsia" w:ascii="Times New Roman" w:hAnsi="Times New Roman" w:eastAsia="方正仿宋_GBK" w:cs="Times New Roman"/>
          <w:kern w:val="0"/>
          <w:sz w:val="32"/>
          <w:szCs w:val="32"/>
          <w:lang w:val="en-US" w:eastAsia="zh-CN" w:bidi="ar"/>
        </w:rPr>
        <w:t>%。</w:t>
      </w:r>
    </w:p>
    <w:p w14:paraId="559615FA">
      <w:pPr>
        <w:spacing w:line="600" w:lineRule="exact"/>
        <w:ind w:firstLine="640"/>
        <w:rPr>
          <w:rFonts w:hint="eastAsia" w:eastAsia="仿宋_GB2312" w:cs="仿宋_GB2312"/>
          <w:sz w:val="32"/>
          <w:szCs w:val="32"/>
        </w:rPr>
      </w:pPr>
      <w:r>
        <w:drawing>
          <wp:anchor distT="0" distB="0" distL="114300" distR="114300" simplePos="0" relativeHeight="251663360" behindDoc="1" locked="0" layoutInCell="1" allowOverlap="1">
            <wp:simplePos x="0" y="0"/>
            <wp:positionH relativeFrom="column">
              <wp:posOffset>64135</wp:posOffset>
            </wp:positionH>
            <wp:positionV relativeFrom="page">
              <wp:posOffset>2920365</wp:posOffset>
            </wp:positionV>
            <wp:extent cx="5278755" cy="2782570"/>
            <wp:effectExtent l="0" t="0" r="17145" b="17780"/>
            <wp:wrapNone/>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14"/>
                    <a:stretch>
                      <a:fillRect/>
                    </a:stretch>
                  </pic:blipFill>
                  <pic:spPr>
                    <a:xfrm>
                      <a:off x="0" y="0"/>
                      <a:ext cx="5278755" cy="2782570"/>
                    </a:xfrm>
                    <a:prstGeom prst="rect">
                      <a:avLst/>
                    </a:prstGeom>
                    <a:noFill/>
                    <a:ln>
                      <a:noFill/>
                    </a:ln>
                  </pic:spPr>
                </pic:pic>
              </a:graphicData>
            </a:graphic>
          </wp:anchor>
        </w:drawing>
      </w:r>
    </w:p>
    <w:p w14:paraId="78D868A6">
      <w:pPr>
        <w:spacing w:line="600" w:lineRule="exact"/>
        <w:ind w:firstLine="640"/>
        <w:rPr>
          <w:rFonts w:hint="eastAsia" w:eastAsia="仿宋_GB2312" w:cs="仿宋_GB2312"/>
          <w:sz w:val="32"/>
          <w:szCs w:val="32"/>
        </w:rPr>
      </w:pPr>
    </w:p>
    <w:p w14:paraId="531BE1F8">
      <w:pPr>
        <w:spacing w:line="600" w:lineRule="exact"/>
        <w:ind w:firstLine="640"/>
        <w:rPr>
          <w:rFonts w:hint="eastAsia" w:eastAsia="仿宋_GB2312" w:cs="仿宋_GB2312"/>
          <w:sz w:val="32"/>
          <w:szCs w:val="32"/>
        </w:rPr>
      </w:pPr>
    </w:p>
    <w:p w14:paraId="1A9D28B1">
      <w:pPr>
        <w:spacing w:line="600" w:lineRule="exact"/>
        <w:ind w:firstLine="640"/>
        <w:rPr>
          <w:rFonts w:hint="eastAsia" w:eastAsia="仿宋_GB2312" w:cs="仿宋_GB2312"/>
          <w:sz w:val="32"/>
          <w:szCs w:val="32"/>
        </w:rPr>
      </w:pPr>
    </w:p>
    <w:p w14:paraId="32178C83">
      <w:pPr>
        <w:spacing w:line="600" w:lineRule="exact"/>
        <w:ind w:firstLine="640"/>
        <w:rPr>
          <w:rFonts w:hint="eastAsia" w:eastAsia="仿宋_GB2312" w:cs="仿宋_GB2312"/>
          <w:sz w:val="32"/>
          <w:szCs w:val="32"/>
        </w:rPr>
      </w:pPr>
    </w:p>
    <w:p w14:paraId="0029BA73">
      <w:pPr>
        <w:spacing w:line="600" w:lineRule="exact"/>
        <w:ind w:firstLine="640"/>
        <w:rPr>
          <w:rFonts w:hint="eastAsia" w:eastAsia="仿宋_GB2312" w:cs="仿宋_GB2312"/>
          <w:sz w:val="32"/>
          <w:szCs w:val="32"/>
        </w:rPr>
      </w:pPr>
    </w:p>
    <w:p w14:paraId="56F1005D">
      <w:pPr>
        <w:pStyle w:val="15"/>
        <w:rPr>
          <w:rFonts w:hint="eastAsia" w:eastAsia="仿宋_GB2312" w:cs="仿宋_GB2312"/>
          <w:sz w:val="32"/>
          <w:szCs w:val="32"/>
        </w:rPr>
      </w:pPr>
    </w:p>
    <w:p w14:paraId="05BB6781">
      <w:pPr>
        <w:pStyle w:val="29"/>
        <w:spacing w:line="600" w:lineRule="exact"/>
        <w:ind w:left="0" w:leftChars="0" w:firstLine="0" w:firstLineChars="0"/>
        <w:outlineLvl w:val="1"/>
        <w:rPr>
          <w:rFonts w:hint="eastAsia" w:ascii="Times New Roman" w:hAnsi="Times New Roman" w:eastAsia="方正仿宋_GBK" w:cs="Times New Roman"/>
          <w:kern w:val="0"/>
          <w:sz w:val="32"/>
          <w:szCs w:val="32"/>
          <w:lang w:val="en-US" w:eastAsia="zh-CN" w:bidi="ar"/>
        </w:rPr>
      </w:pPr>
    </w:p>
    <w:p w14:paraId="6A55E1EE">
      <w:pPr>
        <w:pStyle w:val="29"/>
        <w:spacing w:line="600" w:lineRule="exact"/>
        <w:ind w:left="0" w:leftChars="0" w:firstLine="0" w:firstLineChars="0"/>
        <w:jc w:val="center"/>
        <w:outlineLvl w:val="1"/>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（图6：一般公共预算财政拨款支出决算结构）</w:t>
      </w:r>
    </w:p>
    <w:p w14:paraId="0A1C276B">
      <w:pPr>
        <w:pStyle w:val="7"/>
        <w:keepNext w:val="0"/>
        <w:keepLines w:val="0"/>
        <w:pageBreakBefore w:val="0"/>
        <w:widowControl w:val="0"/>
        <w:kinsoku/>
        <w:wordWrap/>
        <w:overflowPunct/>
        <w:topLinePunct w:val="0"/>
        <w:autoSpaceDE/>
        <w:autoSpaceDN/>
        <w:bidi w:val="0"/>
        <w:adjustRightInd w:val="0"/>
        <w:snapToGrid/>
        <w:spacing w:before="0" w:beforeLines="0" w:line="600" w:lineRule="exact"/>
        <w:ind w:left="0" w:leftChars="0" w:firstLine="643" w:firstLineChars="200"/>
        <w:textAlignment w:val="auto"/>
        <w:rPr>
          <w:rFonts w:hint="eastAsia" w:ascii="方正楷体_GBK" w:hAnsi="方正楷体_GBK" w:eastAsia="方正楷体_GBK" w:cs="方正楷体_GBK"/>
          <w:b/>
          <w:bCs/>
          <w:kern w:val="0"/>
          <w:sz w:val="32"/>
          <w:szCs w:val="32"/>
          <w:lang w:val="en-US" w:eastAsia="zh-CN" w:bidi="ar"/>
        </w:rPr>
      </w:pPr>
      <w:bookmarkStart w:id="26" w:name="_Toc15377212"/>
      <w:r>
        <w:rPr>
          <w:rFonts w:hint="eastAsia" w:ascii="方正楷体_GBK" w:hAnsi="方正楷体_GBK" w:eastAsia="方正楷体_GBK" w:cs="方正楷体_GBK"/>
          <w:b/>
          <w:bCs/>
          <w:kern w:val="0"/>
          <w:sz w:val="32"/>
          <w:szCs w:val="32"/>
          <w:lang w:val="en-US" w:eastAsia="zh-CN" w:bidi="ar"/>
        </w:rPr>
        <w:t>（三）一般公共预算财政拨款支出决算具体情况</w:t>
      </w:r>
      <w:bookmarkEnd w:id="26"/>
    </w:p>
    <w:p w14:paraId="47C72F36">
      <w:pPr>
        <w:pStyle w:val="29"/>
        <w:spacing w:line="600" w:lineRule="exact"/>
        <w:ind w:firstLine="640"/>
        <w:outlineLvl w:val="1"/>
        <w:rPr>
          <w:rFonts w:hint="eastAsia" w:ascii="Times New Roman" w:hAnsi="Times New Roman" w:eastAsia="方正仿宋_GBK" w:cs="Times New Roman"/>
          <w:kern w:val="0"/>
          <w:sz w:val="32"/>
          <w:szCs w:val="32"/>
          <w:lang w:val="en-US" w:eastAsia="zh-CN" w:bidi="ar"/>
        </w:rPr>
      </w:pPr>
      <w:bookmarkStart w:id="27" w:name="_Toc15378460"/>
      <w:bookmarkStart w:id="28" w:name="_Toc15377213"/>
      <w:bookmarkStart w:id="29" w:name="_Toc15377444"/>
      <w:r>
        <w:rPr>
          <w:rFonts w:hint="eastAsia" w:ascii="Times New Roman" w:hAnsi="Times New Roman" w:eastAsia="方正仿宋_GBK" w:cs="Times New Roman"/>
          <w:kern w:val="0"/>
          <w:sz w:val="32"/>
          <w:szCs w:val="32"/>
          <w:highlight w:val="none"/>
          <w:lang w:val="en-US" w:eastAsia="zh-CN" w:bidi="ar"/>
        </w:rPr>
        <w:t>2025年度一般公共预算支出决算数为493.07万元，完</w:t>
      </w:r>
      <w:r>
        <w:rPr>
          <w:rFonts w:hint="eastAsia" w:ascii="Times New Roman" w:hAnsi="Times New Roman" w:eastAsia="方正仿宋_GBK" w:cs="Times New Roman"/>
          <w:kern w:val="0"/>
          <w:sz w:val="32"/>
          <w:szCs w:val="32"/>
          <w:lang w:val="en-US" w:eastAsia="zh-CN" w:bidi="ar"/>
        </w:rPr>
        <w:t>成预算100%。其中：</w:t>
      </w:r>
      <w:bookmarkEnd w:id="27"/>
      <w:bookmarkEnd w:id="28"/>
      <w:bookmarkEnd w:id="29"/>
    </w:p>
    <w:p w14:paraId="38576A3E">
      <w:pPr>
        <w:pStyle w:val="29"/>
        <w:spacing w:line="600" w:lineRule="exact"/>
        <w:ind w:firstLine="640"/>
        <w:outlineLvl w:val="1"/>
        <w:rPr>
          <w:rFonts w:hint="default" w:ascii="Times New Roman" w:hAnsi="Times New Roman" w:eastAsia="方正仿宋_GBK" w:cs="Times New Roman"/>
          <w:kern w:val="0"/>
          <w:sz w:val="32"/>
          <w:szCs w:val="32"/>
          <w:lang w:val="en-US" w:eastAsia="zh-CN" w:bidi="ar"/>
        </w:rPr>
      </w:pPr>
      <w:r>
        <w:rPr>
          <w:rFonts w:hint="default" w:ascii="Times New Roman" w:hAnsi="Times New Roman" w:eastAsia="方正仿宋_GBK" w:cs="Times New Roman"/>
          <w:b/>
          <w:bCs/>
          <w:kern w:val="0"/>
          <w:sz w:val="32"/>
          <w:szCs w:val="32"/>
          <w:lang w:val="en-US" w:eastAsia="zh-CN" w:bidi="ar"/>
        </w:rPr>
        <w:t>1.社会保障和就业</w:t>
      </w:r>
      <w:r>
        <w:rPr>
          <w:rFonts w:hint="eastAsia" w:ascii="Times New Roman" w:hAnsi="Times New Roman" w:eastAsia="方正仿宋_GBK" w:cs="Times New Roman"/>
          <w:b/>
          <w:bCs/>
          <w:kern w:val="0"/>
          <w:sz w:val="32"/>
          <w:szCs w:val="32"/>
          <w:lang w:val="en-US" w:eastAsia="zh-CN" w:bidi="ar"/>
        </w:rPr>
        <w:t>支出</w:t>
      </w:r>
      <w:r>
        <w:rPr>
          <w:rFonts w:hint="default" w:ascii="Times New Roman" w:hAnsi="Times New Roman" w:eastAsia="方正仿宋_GBK" w:cs="Times New Roman"/>
          <w:b/>
          <w:bCs/>
          <w:kern w:val="0"/>
          <w:sz w:val="32"/>
          <w:szCs w:val="32"/>
          <w:lang w:val="en-US" w:eastAsia="zh-CN" w:bidi="ar"/>
        </w:rPr>
        <w:t>（类）行政事业单位养老支出（款）事业单位离退休（项）</w:t>
      </w:r>
      <w:r>
        <w:rPr>
          <w:rFonts w:hint="eastAsia" w:ascii="Times New Roman" w:hAnsi="Times New Roman" w:eastAsia="方正仿宋_GBK" w:cs="Times New Roman"/>
          <w:b/>
          <w:bCs/>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支出决算为</w:t>
      </w:r>
      <w:r>
        <w:rPr>
          <w:rFonts w:hint="eastAsia" w:ascii="Times New Roman" w:hAnsi="Times New Roman" w:eastAsia="方正仿宋_GBK" w:cs="Times New Roman"/>
          <w:kern w:val="0"/>
          <w:sz w:val="32"/>
          <w:szCs w:val="32"/>
          <w:lang w:val="en-US" w:eastAsia="zh-CN" w:bidi="ar"/>
        </w:rPr>
        <w:t>50.35</w:t>
      </w:r>
      <w:r>
        <w:rPr>
          <w:rFonts w:hint="default" w:ascii="Times New Roman" w:hAnsi="Times New Roman" w:eastAsia="方正仿宋_GBK" w:cs="Times New Roman"/>
          <w:kern w:val="0"/>
          <w:sz w:val="32"/>
          <w:szCs w:val="32"/>
          <w:lang w:val="en-US" w:eastAsia="zh-CN" w:bidi="ar"/>
        </w:rPr>
        <w:t>万元，完成预算100%。</w:t>
      </w:r>
    </w:p>
    <w:p w14:paraId="69A95DDB">
      <w:pPr>
        <w:pStyle w:val="29"/>
        <w:spacing w:line="600" w:lineRule="exact"/>
        <w:ind w:firstLine="640"/>
        <w:outlineLvl w:val="1"/>
        <w:rPr>
          <w:rFonts w:hint="default" w:ascii="Times New Roman" w:hAnsi="Times New Roman" w:eastAsia="方正仿宋_GBK" w:cs="Times New Roman"/>
          <w:kern w:val="0"/>
          <w:sz w:val="32"/>
          <w:szCs w:val="32"/>
          <w:lang w:val="en-US" w:eastAsia="zh-CN" w:bidi="ar"/>
        </w:rPr>
      </w:pPr>
      <w:r>
        <w:rPr>
          <w:rFonts w:hint="default" w:ascii="Times New Roman" w:hAnsi="Times New Roman" w:eastAsia="方正仿宋_GBK" w:cs="Times New Roman"/>
          <w:b/>
          <w:bCs/>
          <w:kern w:val="0"/>
          <w:sz w:val="32"/>
          <w:szCs w:val="32"/>
          <w:lang w:val="en-US" w:eastAsia="zh-CN" w:bidi="ar"/>
        </w:rPr>
        <w:t>2.社会保障和就业</w:t>
      </w:r>
      <w:r>
        <w:rPr>
          <w:rFonts w:hint="eastAsia" w:ascii="Times New Roman" w:hAnsi="Times New Roman" w:eastAsia="方正仿宋_GBK" w:cs="Times New Roman"/>
          <w:b/>
          <w:bCs/>
          <w:kern w:val="0"/>
          <w:sz w:val="32"/>
          <w:szCs w:val="32"/>
          <w:lang w:val="en-US" w:eastAsia="zh-CN" w:bidi="ar"/>
        </w:rPr>
        <w:t>支出</w:t>
      </w:r>
      <w:r>
        <w:rPr>
          <w:rFonts w:hint="default" w:ascii="Times New Roman" w:hAnsi="Times New Roman" w:eastAsia="方正仿宋_GBK" w:cs="Times New Roman"/>
          <w:b/>
          <w:bCs/>
          <w:kern w:val="0"/>
          <w:sz w:val="32"/>
          <w:szCs w:val="32"/>
          <w:lang w:val="en-US" w:eastAsia="zh-CN" w:bidi="ar"/>
        </w:rPr>
        <w:t>（类）行政事业单位养老支出（款）机关事业单位基本养老保险缴费支出（项）</w:t>
      </w:r>
      <w:r>
        <w:rPr>
          <w:rFonts w:hint="eastAsia" w:ascii="Times New Roman" w:hAnsi="Times New Roman" w:eastAsia="方正仿宋_GBK" w:cs="Times New Roman"/>
          <w:b/>
          <w:bCs/>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支出决算为</w:t>
      </w:r>
      <w:r>
        <w:rPr>
          <w:rFonts w:hint="eastAsia" w:ascii="Times New Roman" w:hAnsi="Times New Roman" w:eastAsia="方正仿宋_GBK" w:cs="Times New Roman"/>
          <w:kern w:val="0"/>
          <w:sz w:val="32"/>
          <w:szCs w:val="32"/>
          <w:lang w:val="en-US" w:eastAsia="zh-CN" w:bidi="ar"/>
        </w:rPr>
        <w:t>34.1</w:t>
      </w:r>
      <w:r>
        <w:rPr>
          <w:rFonts w:hint="default" w:ascii="Times New Roman" w:hAnsi="Times New Roman" w:eastAsia="方正仿宋_GBK" w:cs="Times New Roman"/>
          <w:kern w:val="0"/>
          <w:sz w:val="32"/>
          <w:szCs w:val="32"/>
          <w:lang w:val="en-US" w:eastAsia="zh-CN" w:bidi="ar"/>
        </w:rPr>
        <w:t>万元，完成预算100%。</w:t>
      </w:r>
    </w:p>
    <w:p w14:paraId="3E666B5C">
      <w:pPr>
        <w:pStyle w:val="29"/>
        <w:spacing w:line="600" w:lineRule="exact"/>
        <w:ind w:firstLine="640"/>
        <w:outlineLvl w:val="1"/>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b/>
          <w:bCs/>
          <w:kern w:val="0"/>
          <w:sz w:val="32"/>
          <w:szCs w:val="32"/>
          <w:lang w:val="en-US" w:eastAsia="zh-CN" w:bidi="ar"/>
        </w:rPr>
        <w:t>3</w:t>
      </w:r>
      <w:r>
        <w:rPr>
          <w:rFonts w:hint="default" w:ascii="Times New Roman" w:hAnsi="Times New Roman" w:eastAsia="方正仿宋_GBK" w:cs="Times New Roman"/>
          <w:b/>
          <w:bCs/>
          <w:kern w:val="0"/>
          <w:sz w:val="32"/>
          <w:szCs w:val="32"/>
          <w:lang w:val="en-US" w:eastAsia="zh-CN" w:bidi="ar"/>
        </w:rPr>
        <w:t>.社会保障和就业</w:t>
      </w:r>
      <w:r>
        <w:rPr>
          <w:rFonts w:hint="eastAsia" w:ascii="Times New Roman" w:hAnsi="Times New Roman" w:eastAsia="方正仿宋_GBK" w:cs="Times New Roman"/>
          <w:b/>
          <w:bCs/>
          <w:kern w:val="0"/>
          <w:sz w:val="32"/>
          <w:szCs w:val="32"/>
          <w:lang w:val="en-US" w:eastAsia="zh-CN" w:bidi="ar"/>
        </w:rPr>
        <w:t>支出</w:t>
      </w:r>
      <w:r>
        <w:rPr>
          <w:rFonts w:hint="default" w:ascii="Times New Roman" w:hAnsi="Times New Roman" w:eastAsia="方正仿宋_GBK" w:cs="Times New Roman"/>
          <w:b/>
          <w:bCs/>
          <w:kern w:val="0"/>
          <w:sz w:val="32"/>
          <w:szCs w:val="32"/>
          <w:lang w:val="en-US" w:eastAsia="zh-CN" w:bidi="ar"/>
        </w:rPr>
        <w:t>（类）行政事业单位养老支出（款）机关事业单位</w:t>
      </w:r>
      <w:r>
        <w:rPr>
          <w:rFonts w:hint="eastAsia" w:ascii="Times New Roman" w:hAnsi="Times New Roman" w:eastAsia="方正仿宋_GBK" w:cs="Times New Roman"/>
          <w:b/>
          <w:bCs/>
          <w:kern w:val="0"/>
          <w:sz w:val="32"/>
          <w:szCs w:val="32"/>
          <w:lang w:val="en-US" w:eastAsia="zh-CN" w:bidi="ar"/>
        </w:rPr>
        <w:t>职业年金</w:t>
      </w:r>
      <w:r>
        <w:rPr>
          <w:rFonts w:hint="default" w:ascii="Times New Roman" w:hAnsi="Times New Roman" w:eastAsia="方正仿宋_GBK" w:cs="Times New Roman"/>
          <w:b/>
          <w:bCs/>
          <w:kern w:val="0"/>
          <w:sz w:val="32"/>
          <w:szCs w:val="32"/>
          <w:lang w:val="en-US" w:eastAsia="zh-CN" w:bidi="ar"/>
        </w:rPr>
        <w:t>缴费支出（项）</w:t>
      </w:r>
      <w:r>
        <w:rPr>
          <w:rFonts w:hint="eastAsia" w:ascii="Times New Roman" w:hAnsi="Times New Roman" w:eastAsia="方正仿宋_GBK" w:cs="Times New Roman"/>
          <w:b/>
          <w:bCs/>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支出决算为</w:t>
      </w:r>
      <w:r>
        <w:rPr>
          <w:rFonts w:hint="eastAsia" w:ascii="Times New Roman" w:hAnsi="Times New Roman" w:eastAsia="方正仿宋_GBK" w:cs="Times New Roman"/>
          <w:kern w:val="0"/>
          <w:sz w:val="32"/>
          <w:szCs w:val="32"/>
          <w:lang w:val="en-US" w:eastAsia="zh-CN" w:bidi="ar"/>
        </w:rPr>
        <w:t>7.84</w:t>
      </w:r>
      <w:r>
        <w:rPr>
          <w:rFonts w:hint="default" w:ascii="Times New Roman" w:hAnsi="Times New Roman" w:eastAsia="方正仿宋_GBK" w:cs="Times New Roman"/>
          <w:kern w:val="0"/>
          <w:sz w:val="32"/>
          <w:szCs w:val="32"/>
          <w:lang w:val="en-US" w:eastAsia="zh-CN" w:bidi="ar"/>
        </w:rPr>
        <w:t>万元，完成预算100%。</w:t>
      </w:r>
    </w:p>
    <w:p w14:paraId="65B22473">
      <w:pPr>
        <w:pStyle w:val="29"/>
        <w:spacing w:line="600" w:lineRule="exact"/>
        <w:ind w:firstLine="640"/>
        <w:outlineLvl w:val="1"/>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b/>
          <w:bCs/>
          <w:kern w:val="0"/>
          <w:sz w:val="32"/>
          <w:szCs w:val="32"/>
          <w:lang w:val="en-US" w:eastAsia="zh-CN" w:bidi="ar"/>
        </w:rPr>
        <w:t>4</w:t>
      </w:r>
      <w:r>
        <w:rPr>
          <w:rFonts w:hint="default" w:ascii="Times New Roman" w:hAnsi="Times New Roman" w:eastAsia="方正仿宋_GBK" w:cs="Times New Roman"/>
          <w:b/>
          <w:bCs/>
          <w:kern w:val="0"/>
          <w:sz w:val="32"/>
          <w:szCs w:val="32"/>
          <w:lang w:val="en-US" w:eastAsia="zh-CN" w:bidi="ar"/>
        </w:rPr>
        <w:t>.社会保障和就业</w:t>
      </w:r>
      <w:r>
        <w:rPr>
          <w:rFonts w:hint="eastAsia" w:ascii="Times New Roman" w:hAnsi="Times New Roman" w:eastAsia="方正仿宋_GBK" w:cs="Times New Roman"/>
          <w:b/>
          <w:bCs/>
          <w:kern w:val="0"/>
          <w:sz w:val="32"/>
          <w:szCs w:val="32"/>
          <w:lang w:val="en-US" w:eastAsia="zh-CN" w:bidi="ar"/>
        </w:rPr>
        <w:t>支出</w:t>
      </w:r>
      <w:r>
        <w:rPr>
          <w:rFonts w:hint="default" w:ascii="Times New Roman" w:hAnsi="Times New Roman" w:eastAsia="方正仿宋_GBK" w:cs="Times New Roman"/>
          <w:b/>
          <w:bCs/>
          <w:kern w:val="0"/>
          <w:sz w:val="32"/>
          <w:szCs w:val="32"/>
          <w:lang w:val="en-US" w:eastAsia="zh-CN" w:bidi="ar"/>
        </w:rPr>
        <w:t>（类）社会福利（款）社会福利事业单位（项）</w:t>
      </w:r>
      <w:r>
        <w:rPr>
          <w:rFonts w:hint="eastAsia" w:ascii="Times New Roman" w:hAnsi="Times New Roman" w:eastAsia="方正仿宋_GBK" w:cs="Times New Roman"/>
          <w:b/>
          <w:bCs/>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支出决算为</w:t>
      </w:r>
      <w:r>
        <w:rPr>
          <w:rFonts w:hint="eastAsia" w:ascii="Times New Roman" w:hAnsi="Times New Roman" w:eastAsia="方正仿宋_GBK" w:cs="Times New Roman"/>
          <w:kern w:val="0"/>
          <w:sz w:val="32"/>
          <w:szCs w:val="32"/>
          <w:lang w:val="en-US" w:eastAsia="zh-CN" w:bidi="ar"/>
        </w:rPr>
        <w:t>279.54</w:t>
      </w:r>
      <w:r>
        <w:rPr>
          <w:rFonts w:hint="default" w:ascii="Times New Roman" w:hAnsi="Times New Roman" w:eastAsia="方正仿宋_GBK" w:cs="Times New Roman"/>
          <w:kern w:val="0"/>
          <w:sz w:val="32"/>
          <w:szCs w:val="32"/>
          <w:lang w:val="en-US" w:eastAsia="zh-CN" w:bidi="ar"/>
        </w:rPr>
        <w:t>万元，完成预算100%。</w:t>
      </w:r>
    </w:p>
    <w:p w14:paraId="3F6C620F">
      <w:pPr>
        <w:pStyle w:val="29"/>
        <w:spacing w:line="600" w:lineRule="exact"/>
        <w:ind w:firstLine="640"/>
        <w:outlineLvl w:val="1"/>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b/>
          <w:bCs/>
          <w:kern w:val="0"/>
          <w:sz w:val="32"/>
          <w:szCs w:val="32"/>
          <w:lang w:val="en-US" w:eastAsia="zh-CN" w:bidi="ar"/>
        </w:rPr>
        <w:t>5</w:t>
      </w:r>
      <w:r>
        <w:rPr>
          <w:rFonts w:hint="default" w:ascii="Times New Roman" w:hAnsi="Times New Roman" w:eastAsia="方正仿宋_GBK" w:cs="Times New Roman"/>
          <w:b/>
          <w:bCs/>
          <w:kern w:val="0"/>
          <w:sz w:val="32"/>
          <w:szCs w:val="32"/>
          <w:lang w:val="en-US" w:eastAsia="zh-CN" w:bidi="ar"/>
        </w:rPr>
        <w:t>.社会保障和就业</w:t>
      </w:r>
      <w:r>
        <w:rPr>
          <w:rFonts w:hint="eastAsia" w:ascii="Times New Roman" w:hAnsi="Times New Roman" w:eastAsia="方正仿宋_GBK" w:cs="Times New Roman"/>
          <w:b/>
          <w:bCs/>
          <w:kern w:val="0"/>
          <w:sz w:val="32"/>
          <w:szCs w:val="32"/>
          <w:lang w:val="en-US" w:eastAsia="zh-CN" w:bidi="ar"/>
        </w:rPr>
        <w:t>支出</w:t>
      </w:r>
      <w:r>
        <w:rPr>
          <w:rFonts w:hint="default" w:ascii="Times New Roman" w:hAnsi="Times New Roman" w:eastAsia="方正仿宋_GBK" w:cs="Times New Roman"/>
          <w:b/>
          <w:bCs/>
          <w:kern w:val="0"/>
          <w:sz w:val="32"/>
          <w:szCs w:val="32"/>
          <w:lang w:val="en-US" w:eastAsia="zh-CN" w:bidi="ar"/>
        </w:rPr>
        <w:t>（类）社会福利（款）</w:t>
      </w:r>
      <w:r>
        <w:rPr>
          <w:rFonts w:hint="eastAsia" w:ascii="Times New Roman" w:hAnsi="Times New Roman" w:eastAsia="方正仿宋_GBK" w:cs="Times New Roman"/>
          <w:b/>
          <w:bCs/>
          <w:kern w:val="0"/>
          <w:sz w:val="32"/>
          <w:szCs w:val="32"/>
          <w:lang w:val="en-US" w:eastAsia="zh-CN" w:bidi="ar"/>
        </w:rPr>
        <w:t>养老服务</w:t>
      </w:r>
      <w:r>
        <w:rPr>
          <w:rFonts w:hint="default" w:ascii="Times New Roman" w:hAnsi="Times New Roman" w:eastAsia="方正仿宋_GBK" w:cs="Times New Roman"/>
          <w:b/>
          <w:bCs/>
          <w:kern w:val="0"/>
          <w:sz w:val="32"/>
          <w:szCs w:val="32"/>
          <w:lang w:val="en-US" w:eastAsia="zh-CN" w:bidi="ar"/>
        </w:rPr>
        <w:t>（项）</w:t>
      </w:r>
      <w:r>
        <w:rPr>
          <w:rFonts w:hint="eastAsia" w:ascii="Times New Roman" w:hAnsi="Times New Roman" w:eastAsia="方正仿宋_GBK" w:cs="Times New Roman"/>
          <w:b/>
          <w:bCs/>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支出决算为</w:t>
      </w:r>
      <w:r>
        <w:rPr>
          <w:rFonts w:hint="eastAsia" w:ascii="Times New Roman" w:hAnsi="Times New Roman" w:eastAsia="方正仿宋_GBK" w:cs="Times New Roman"/>
          <w:kern w:val="0"/>
          <w:sz w:val="32"/>
          <w:szCs w:val="32"/>
          <w:lang w:val="en-US" w:eastAsia="zh-CN" w:bidi="ar"/>
        </w:rPr>
        <w:t>17.15</w:t>
      </w:r>
      <w:r>
        <w:rPr>
          <w:rFonts w:hint="default" w:ascii="Times New Roman" w:hAnsi="Times New Roman" w:eastAsia="方正仿宋_GBK" w:cs="Times New Roman"/>
          <w:kern w:val="0"/>
          <w:sz w:val="32"/>
          <w:szCs w:val="32"/>
          <w:lang w:val="en-US" w:eastAsia="zh-CN" w:bidi="ar"/>
        </w:rPr>
        <w:t>万元，完成预算100%。</w:t>
      </w:r>
    </w:p>
    <w:p w14:paraId="100BCF66">
      <w:pPr>
        <w:pStyle w:val="29"/>
        <w:spacing w:line="600" w:lineRule="exact"/>
        <w:ind w:firstLine="640"/>
        <w:outlineLvl w:val="1"/>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b/>
          <w:bCs/>
          <w:kern w:val="0"/>
          <w:sz w:val="32"/>
          <w:szCs w:val="32"/>
          <w:lang w:val="en-US" w:eastAsia="zh-CN" w:bidi="ar"/>
        </w:rPr>
        <w:t>6.</w:t>
      </w:r>
      <w:r>
        <w:rPr>
          <w:rFonts w:hint="default" w:ascii="Times New Roman" w:hAnsi="Times New Roman" w:eastAsia="方正仿宋_GBK" w:cs="Times New Roman"/>
          <w:b/>
          <w:bCs/>
          <w:kern w:val="0"/>
          <w:sz w:val="32"/>
          <w:szCs w:val="32"/>
          <w:lang w:val="en-US" w:eastAsia="zh-CN" w:bidi="ar"/>
        </w:rPr>
        <w:t>社会保障和就业</w:t>
      </w:r>
      <w:r>
        <w:rPr>
          <w:rFonts w:hint="eastAsia" w:ascii="Times New Roman" w:hAnsi="Times New Roman" w:eastAsia="方正仿宋_GBK" w:cs="Times New Roman"/>
          <w:b/>
          <w:bCs/>
          <w:kern w:val="0"/>
          <w:sz w:val="32"/>
          <w:szCs w:val="32"/>
          <w:lang w:val="en-US" w:eastAsia="zh-CN" w:bidi="ar"/>
        </w:rPr>
        <w:t>支出</w:t>
      </w:r>
      <w:r>
        <w:rPr>
          <w:rFonts w:hint="default" w:ascii="Times New Roman" w:hAnsi="Times New Roman" w:eastAsia="方正仿宋_GBK" w:cs="Times New Roman"/>
          <w:b/>
          <w:bCs/>
          <w:kern w:val="0"/>
          <w:sz w:val="32"/>
          <w:szCs w:val="32"/>
          <w:lang w:val="en-US" w:eastAsia="zh-CN" w:bidi="ar"/>
        </w:rPr>
        <w:t>（类）</w:t>
      </w:r>
      <w:r>
        <w:rPr>
          <w:rFonts w:hint="eastAsia" w:ascii="Times New Roman" w:hAnsi="Times New Roman" w:eastAsia="方正仿宋_GBK" w:cs="Times New Roman"/>
          <w:b/>
          <w:bCs/>
          <w:kern w:val="0"/>
          <w:sz w:val="32"/>
          <w:szCs w:val="32"/>
          <w:lang w:val="en-US" w:eastAsia="zh-CN" w:bidi="ar"/>
        </w:rPr>
        <w:t>特困人员救助供养</w:t>
      </w:r>
      <w:r>
        <w:rPr>
          <w:rFonts w:hint="default" w:ascii="Times New Roman" w:hAnsi="Times New Roman" w:eastAsia="方正仿宋_GBK" w:cs="Times New Roman"/>
          <w:b/>
          <w:bCs/>
          <w:kern w:val="0"/>
          <w:sz w:val="32"/>
          <w:szCs w:val="32"/>
          <w:lang w:val="en-US" w:eastAsia="zh-CN" w:bidi="ar"/>
        </w:rPr>
        <w:t xml:space="preserve">（款） </w:t>
      </w:r>
      <w:r>
        <w:rPr>
          <w:rFonts w:hint="eastAsia" w:ascii="Times New Roman" w:hAnsi="Times New Roman" w:eastAsia="方正仿宋_GBK" w:cs="Times New Roman"/>
          <w:b/>
          <w:bCs/>
          <w:kern w:val="0"/>
          <w:sz w:val="32"/>
          <w:szCs w:val="32"/>
          <w:lang w:val="en-US" w:eastAsia="zh-CN" w:bidi="ar"/>
        </w:rPr>
        <w:t>城市特困人员救助供养支出</w:t>
      </w:r>
      <w:r>
        <w:rPr>
          <w:rFonts w:hint="default" w:ascii="Times New Roman" w:hAnsi="Times New Roman" w:eastAsia="方正仿宋_GBK" w:cs="Times New Roman"/>
          <w:b/>
          <w:bCs/>
          <w:kern w:val="0"/>
          <w:sz w:val="32"/>
          <w:szCs w:val="32"/>
          <w:lang w:val="en-US" w:eastAsia="zh-CN" w:bidi="ar"/>
        </w:rPr>
        <w:t>（项）</w:t>
      </w:r>
      <w:r>
        <w:rPr>
          <w:rFonts w:hint="eastAsia" w:ascii="Times New Roman" w:hAnsi="Times New Roman" w:eastAsia="方正仿宋_GBK" w:cs="Times New Roman"/>
          <w:b/>
          <w:bCs/>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支出决算为</w:t>
      </w:r>
      <w:r>
        <w:rPr>
          <w:rFonts w:hint="eastAsia" w:ascii="Times New Roman" w:hAnsi="Times New Roman" w:eastAsia="方正仿宋_GBK" w:cs="Times New Roman"/>
          <w:kern w:val="0"/>
          <w:sz w:val="32"/>
          <w:szCs w:val="32"/>
          <w:lang w:val="en-US" w:eastAsia="zh-CN" w:bidi="ar"/>
        </w:rPr>
        <w:t>58.25</w:t>
      </w:r>
      <w:r>
        <w:rPr>
          <w:rFonts w:hint="default" w:ascii="Times New Roman" w:hAnsi="Times New Roman" w:eastAsia="方正仿宋_GBK" w:cs="Times New Roman"/>
          <w:kern w:val="0"/>
          <w:sz w:val="32"/>
          <w:szCs w:val="32"/>
          <w:lang w:val="en-US" w:eastAsia="zh-CN" w:bidi="ar"/>
        </w:rPr>
        <w:t>万元，完成预算100%。</w:t>
      </w:r>
    </w:p>
    <w:p w14:paraId="04B88660">
      <w:pPr>
        <w:pStyle w:val="29"/>
        <w:spacing w:line="600" w:lineRule="exact"/>
        <w:ind w:firstLine="640"/>
        <w:outlineLvl w:val="1"/>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b/>
          <w:bCs/>
          <w:kern w:val="0"/>
          <w:sz w:val="32"/>
          <w:szCs w:val="32"/>
          <w:lang w:val="en-US" w:eastAsia="zh-CN" w:bidi="ar"/>
        </w:rPr>
        <w:t>7.卫生健康支出</w:t>
      </w:r>
      <w:r>
        <w:rPr>
          <w:rFonts w:hint="default" w:ascii="Times New Roman" w:hAnsi="Times New Roman" w:eastAsia="方正仿宋_GBK" w:cs="Times New Roman"/>
          <w:b/>
          <w:bCs/>
          <w:kern w:val="0"/>
          <w:sz w:val="32"/>
          <w:szCs w:val="32"/>
          <w:lang w:val="en-US" w:eastAsia="zh-CN" w:bidi="ar"/>
        </w:rPr>
        <w:t>（类）行政事业单位医疗（款） 事业单位医疗（项）</w:t>
      </w:r>
      <w:r>
        <w:rPr>
          <w:rFonts w:hint="eastAsia" w:ascii="Times New Roman" w:hAnsi="Times New Roman" w:eastAsia="方正仿宋_GBK" w:cs="Times New Roman"/>
          <w:b/>
          <w:bCs/>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支出决算为</w:t>
      </w:r>
      <w:r>
        <w:rPr>
          <w:rFonts w:hint="eastAsia" w:ascii="Times New Roman" w:hAnsi="Times New Roman" w:eastAsia="方正仿宋_GBK" w:cs="Times New Roman"/>
          <w:kern w:val="0"/>
          <w:sz w:val="32"/>
          <w:szCs w:val="32"/>
          <w:lang w:val="en-US" w:eastAsia="zh-CN" w:bidi="ar"/>
        </w:rPr>
        <w:t>16.68</w:t>
      </w:r>
      <w:r>
        <w:rPr>
          <w:rFonts w:hint="default" w:ascii="Times New Roman" w:hAnsi="Times New Roman" w:eastAsia="方正仿宋_GBK" w:cs="Times New Roman"/>
          <w:kern w:val="0"/>
          <w:sz w:val="32"/>
          <w:szCs w:val="32"/>
          <w:lang w:val="en-US" w:eastAsia="zh-CN" w:bidi="ar"/>
        </w:rPr>
        <w:t>万元，完成预算100%。</w:t>
      </w:r>
    </w:p>
    <w:p w14:paraId="69EC278B">
      <w:pPr>
        <w:pStyle w:val="29"/>
        <w:spacing w:line="600" w:lineRule="exact"/>
        <w:ind w:firstLine="640"/>
        <w:outlineLvl w:val="1"/>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b/>
          <w:bCs/>
          <w:kern w:val="0"/>
          <w:sz w:val="32"/>
          <w:szCs w:val="32"/>
          <w:lang w:val="en-US" w:eastAsia="zh-CN" w:bidi="ar"/>
        </w:rPr>
        <w:t>8</w:t>
      </w:r>
      <w:r>
        <w:rPr>
          <w:rFonts w:hint="default" w:ascii="Times New Roman" w:hAnsi="Times New Roman" w:eastAsia="方正仿宋_GBK" w:cs="Times New Roman"/>
          <w:b/>
          <w:bCs/>
          <w:kern w:val="0"/>
          <w:sz w:val="32"/>
          <w:szCs w:val="32"/>
          <w:lang w:val="en-US" w:eastAsia="zh-CN" w:bidi="ar"/>
        </w:rPr>
        <w:t>.</w:t>
      </w:r>
      <w:r>
        <w:rPr>
          <w:rFonts w:hint="eastAsia" w:ascii="Times New Roman" w:hAnsi="Times New Roman" w:eastAsia="方正仿宋_GBK" w:cs="Times New Roman"/>
          <w:b/>
          <w:bCs/>
          <w:kern w:val="0"/>
          <w:sz w:val="32"/>
          <w:szCs w:val="32"/>
          <w:lang w:val="en-US" w:eastAsia="zh-CN" w:bidi="ar"/>
        </w:rPr>
        <w:t>卫生健康支出</w:t>
      </w:r>
      <w:r>
        <w:rPr>
          <w:rFonts w:hint="default" w:ascii="Times New Roman" w:hAnsi="Times New Roman" w:eastAsia="方正仿宋_GBK" w:cs="Times New Roman"/>
          <w:b/>
          <w:bCs/>
          <w:kern w:val="0"/>
          <w:sz w:val="32"/>
          <w:szCs w:val="32"/>
          <w:lang w:val="en-US" w:eastAsia="zh-CN" w:bidi="ar"/>
        </w:rPr>
        <w:t xml:space="preserve">（类）行政事业单位医疗（款） </w:t>
      </w:r>
      <w:r>
        <w:rPr>
          <w:rFonts w:hint="eastAsia" w:ascii="Times New Roman" w:hAnsi="Times New Roman" w:eastAsia="方正仿宋_GBK" w:cs="Times New Roman"/>
          <w:b/>
          <w:bCs/>
          <w:kern w:val="0"/>
          <w:sz w:val="32"/>
          <w:szCs w:val="32"/>
          <w:lang w:val="en-US" w:eastAsia="zh-CN" w:bidi="ar"/>
        </w:rPr>
        <w:t>公务员医疗补助</w:t>
      </w:r>
      <w:r>
        <w:rPr>
          <w:rFonts w:hint="default" w:ascii="Times New Roman" w:hAnsi="Times New Roman" w:eastAsia="方正仿宋_GBK" w:cs="Times New Roman"/>
          <w:b/>
          <w:bCs/>
          <w:kern w:val="0"/>
          <w:sz w:val="32"/>
          <w:szCs w:val="32"/>
          <w:lang w:val="en-US" w:eastAsia="zh-CN" w:bidi="ar"/>
        </w:rPr>
        <w:t>（项）</w:t>
      </w:r>
      <w:r>
        <w:rPr>
          <w:rFonts w:hint="eastAsia" w:ascii="Times New Roman" w:hAnsi="Times New Roman" w:eastAsia="方正仿宋_GBK" w:cs="Times New Roman"/>
          <w:b/>
          <w:bCs/>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支出决算为</w:t>
      </w:r>
      <w:r>
        <w:rPr>
          <w:rFonts w:hint="eastAsia" w:ascii="Times New Roman" w:hAnsi="Times New Roman" w:eastAsia="方正仿宋_GBK" w:cs="Times New Roman"/>
          <w:kern w:val="0"/>
          <w:sz w:val="32"/>
          <w:szCs w:val="32"/>
          <w:lang w:val="en-US" w:eastAsia="zh-CN" w:bidi="ar"/>
        </w:rPr>
        <w:t>2.16</w:t>
      </w:r>
      <w:r>
        <w:rPr>
          <w:rFonts w:hint="default" w:ascii="Times New Roman" w:hAnsi="Times New Roman" w:eastAsia="方正仿宋_GBK" w:cs="Times New Roman"/>
          <w:kern w:val="0"/>
          <w:sz w:val="32"/>
          <w:szCs w:val="32"/>
          <w:lang w:val="en-US" w:eastAsia="zh-CN" w:bidi="ar"/>
        </w:rPr>
        <w:t>万元，完成预算100%。</w:t>
      </w:r>
    </w:p>
    <w:p w14:paraId="12A528F1">
      <w:pPr>
        <w:pStyle w:val="29"/>
        <w:spacing w:line="600" w:lineRule="exact"/>
        <w:ind w:firstLine="640"/>
        <w:outlineLvl w:val="1"/>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b/>
          <w:bCs/>
          <w:kern w:val="0"/>
          <w:sz w:val="32"/>
          <w:szCs w:val="32"/>
          <w:lang w:val="en-US" w:eastAsia="zh-CN" w:bidi="ar"/>
        </w:rPr>
        <w:t>9</w:t>
      </w:r>
      <w:r>
        <w:rPr>
          <w:rFonts w:hint="default" w:ascii="Times New Roman" w:hAnsi="Times New Roman" w:eastAsia="方正仿宋_GBK" w:cs="Times New Roman"/>
          <w:b/>
          <w:bCs/>
          <w:kern w:val="0"/>
          <w:sz w:val="32"/>
          <w:szCs w:val="32"/>
          <w:lang w:val="en-US" w:eastAsia="zh-CN" w:bidi="ar"/>
        </w:rPr>
        <w:t>.</w:t>
      </w:r>
      <w:r>
        <w:rPr>
          <w:rFonts w:hint="eastAsia" w:ascii="Times New Roman" w:hAnsi="Times New Roman" w:eastAsia="方正仿宋_GBK" w:cs="Times New Roman"/>
          <w:b/>
          <w:bCs/>
          <w:kern w:val="0"/>
          <w:sz w:val="32"/>
          <w:szCs w:val="32"/>
          <w:lang w:val="en-US" w:eastAsia="zh-CN" w:bidi="ar"/>
        </w:rPr>
        <w:t>卫生健康支出</w:t>
      </w:r>
      <w:r>
        <w:rPr>
          <w:rFonts w:hint="default" w:ascii="Times New Roman" w:hAnsi="Times New Roman" w:eastAsia="方正仿宋_GBK" w:cs="Times New Roman"/>
          <w:b/>
          <w:bCs/>
          <w:kern w:val="0"/>
          <w:sz w:val="32"/>
          <w:szCs w:val="32"/>
          <w:lang w:val="en-US" w:eastAsia="zh-CN" w:bidi="ar"/>
        </w:rPr>
        <w:t xml:space="preserve">（类）行政事业单位医疗（款） </w:t>
      </w:r>
      <w:r>
        <w:rPr>
          <w:rFonts w:hint="eastAsia" w:ascii="Times New Roman" w:hAnsi="Times New Roman" w:eastAsia="方正仿宋_GBK" w:cs="Times New Roman"/>
          <w:b/>
          <w:bCs/>
          <w:kern w:val="0"/>
          <w:sz w:val="32"/>
          <w:szCs w:val="32"/>
          <w:lang w:val="en-US" w:eastAsia="zh-CN" w:bidi="ar"/>
        </w:rPr>
        <w:t>其他行政</w:t>
      </w:r>
      <w:r>
        <w:rPr>
          <w:rFonts w:hint="default" w:ascii="Times New Roman" w:hAnsi="Times New Roman" w:eastAsia="方正仿宋_GBK" w:cs="Times New Roman"/>
          <w:b/>
          <w:bCs/>
          <w:kern w:val="0"/>
          <w:sz w:val="32"/>
          <w:szCs w:val="32"/>
          <w:lang w:val="en-US" w:eastAsia="zh-CN" w:bidi="ar"/>
        </w:rPr>
        <w:t>事业单位医疗</w:t>
      </w:r>
      <w:r>
        <w:rPr>
          <w:rFonts w:hint="eastAsia" w:ascii="Times New Roman" w:hAnsi="Times New Roman" w:eastAsia="方正仿宋_GBK" w:cs="Times New Roman"/>
          <w:b/>
          <w:bCs/>
          <w:kern w:val="0"/>
          <w:sz w:val="32"/>
          <w:szCs w:val="32"/>
          <w:lang w:val="en-US" w:eastAsia="zh-CN" w:bidi="ar"/>
        </w:rPr>
        <w:t>支出</w:t>
      </w:r>
      <w:r>
        <w:rPr>
          <w:rFonts w:hint="default" w:ascii="Times New Roman" w:hAnsi="Times New Roman" w:eastAsia="方正仿宋_GBK" w:cs="Times New Roman"/>
          <w:b/>
          <w:bCs/>
          <w:kern w:val="0"/>
          <w:sz w:val="32"/>
          <w:szCs w:val="32"/>
          <w:lang w:val="en-US" w:eastAsia="zh-CN" w:bidi="ar"/>
        </w:rPr>
        <w:t>（项）</w:t>
      </w:r>
      <w:r>
        <w:rPr>
          <w:rFonts w:hint="eastAsia" w:ascii="Times New Roman" w:hAnsi="Times New Roman" w:eastAsia="方正仿宋_GBK" w:cs="Times New Roman"/>
          <w:b/>
          <w:bCs/>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支出决算为</w:t>
      </w:r>
      <w:r>
        <w:rPr>
          <w:rFonts w:hint="eastAsia" w:ascii="Times New Roman" w:hAnsi="Times New Roman" w:eastAsia="方正仿宋_GBK" w:cs="Times New Roman"/>
          <w:kern w:val="0"/>
          <w:sz w:val="32"/>
          <w:szCs w:val="32"/>
          <w:lang w:val="en-US" w:eastAsia="zh-CN" w:bidi="ar"/>
        </w:rPr>
        <w:t>1.97</w:t>
      </w:r>
      <w:r>
        <w:rPr>
          <w:rFonts w:hint="default" w:ascii="Times New Roman" w:hAnsi="Times New Roman" w:eastAsia="方正仿宋_GBK" w:cs="Times New Roman"/>
          <w:kern w:val="0"/>
          <w:sz w:val="32"/>
          <w:szCs w:val="32"/>
          <w:lang w:val="en-US" w:eastAsia="zh-CN" w:bidi="ar"/>
        </w:rPr>
        <w:t>万元，完成预算100%。</w:t>
      </w:r>
    </w:p>
    <w:p w14:paraId="1D293730">
      <w:pPr>
        <w:pStyle w:val="29"/>
        <w:spacing w:line="600" w:lineRule="exact"/>
        <w:ind w:firstLine="640"/>
        <w:outlineLvl w:val="1"/>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b/>
          <w:bCs/>
          <w:kern w:val="0"/>
          <w:sz w:val="32"/>
          <w:szCs w:val="32"/>
          <w:lang w:val="en-US" w:eastAsia="zh-CN" w:bidi="ar"/>
        </w:rPr>
        <w:t>10</w:t>
      </w:r>
      <w:r>
        <w:rPr>
          <w:rFonts w:hint="default" w:ascii="Times New Roman" w:hAnsi="Times New Roman" w:eastAsia="方正仿宋_GBK" w:cs="Times New Roman"/>
          <w:b/>
          <w:bCs/>
          <w:kern w:val="0"/>
          <w:sz w:val="32"/>
          <w:szCs w:val="32"/>
          <w:lang w:val="en-US" w:eastAsia="zh-CN" w:bidi="ar"/>
        </w:rPr>
        <w:t>.住房保障支出（类）住房改革支出（款）住房公积金（项）</w:t>
      </w:r>
      <w:r>
        <w:rPr>
          <w:rFonts w:hint="eastAsia" w:ascii="Times New Roman" w:hAnsi="Times New Roman" w:eastAsia="方正仿宋_GBK" w:cs="Times New Roman"/>
          <w:b/>
          <w:bCs/>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支出决算为</w:t>
      </w:r>
      <w:r>
        <w:rPr>
          <w:rFonts w:hint="eastAsia" w:ascii="Times New Roman" w:hAnsi="Times New Roman" w:eastAsia="方正仿宋_GBK" w:cs="Times New Roman"/>
          <w:kern w:val="0"/>
          <w:sz w:val="32"/>
          <w:szCs w:val="32"/>
          <w:lang w:val="en-US" w:eastAsia="zh-CN" w:bidi="ar"/>
        </w:rPr>
        <w:t>25.04</w:t>
      </w:r>
      <w:r>
        <w:rPr>
          <w:rFonts w:hint="default" w:ascii="Times New Roman" w:hAnsi="Times New Roman" w:eastAsia="方正仿宋_GBK" w:cs="Times New Roman"/>
          <w:kern w:val="0"/>
          <w:sz w:val="32"/>
          <w:szCs w:val="32"/>
          <w:lang w:val="en-US" w:eastAsia="zh-CN" w:bidi="ar"/>
        </w:rPr>
        <w:t>万元，完成预算100%。</w:t>
      </w:r>
    </w:p>
    <w:p w14:paraId="791AFAEE">
      <w:pPr>
        <w:tabs>
          <w:tab w:val="right" w:pos="8306"/>
        </w:tabs>
        <w:spacing w:line="600" w:lineRule="exact"/>
        <w:ind w:firstLine="640"/>
        <w:outlineLvl w:val="1"/>
        <w:rPr>
          <w:rStyle w:val="31"/>
          <w:rFonts w:ascii="Times New Roman" w:hAnsi="Times New Roman"/>
        </w:rPr>
      </w:pPr>
      <w:bookmarkStart w:id="30" w:name="_Toc15396608"/>
      <w:bookmarkStart w:id="31" w:name="_Toc15377214"/>
      <w:r>
        <w:rPr>
          <w:rFonts w:hint="eastAsia" w:ascii="方正黑体_GBK" w:hAnsi="方正黑体_GBK" w:eastAsia="方正黑体_GBK" w:cs="方正黑体_GBK"/>
          <w:kern w:val="2"/>
          <w:sz w:val="32"/>
          <w:szCs w:val="32"/>
          <w:lang w:val="en-US" w:eastAsia="zh-CN" w:bidi="ar-SA"/>
        </w:rPr>
        <w:t>六、一般公共预算财政拨款基本支出决算情况说明</w:t>
      </w:r>
      <w:bookmarkEnd w:id="30"/>
      <w:bookmarkEnd w:id="31"/>
      <w:r>
        <w:rPr>
          <w:rStyle w:val="31"/>
          <w:rFonts w:ascii="Times New Roman" w:hAnsi="Times New Roman" w:eastAsia="黑体"/>
          <w:b w:val="0"/>
        </w:rPr>
        <w:tab/>
      </w:r>
    </w:p>
    <w:p w14:paraId="3F76E670">
      <w:pPr>
        <w:spacing w:line="600" w:lineRule="exact"/>
        <w:ind w:firstLine="640"/>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2025年度一般公共预算财政拨款基本支出386.15万元，其中：</w:t>
      </w:r>
    </w:p>
    <w:p w14:paraId="25DB8C12">
      <w:pPr>
        <w:spacing w:line="600" w:lineRule="exact"/>
        <w:ind w:firstLine="640"/>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人员经费367.07万元，主要包括：基本工资、津贴补贴、奖金、绩效工资、机关事业单位基本养老保险缴费、职业年金缴费、职工基本医疗保险缴费、公务员医疗补助缴费、其他社会保障缴费、住房公积金、其他工资福利支出、生活补助、医疗费补助、奖励金。</w:t>
      </w:r>
      <w:r>
        <w:rPr>
          <w:rFonts w:hint="eastAsia" w:ascii="Times New Roman" w:hAnsi="Times New Roman" w:eastAsia="方正仿宋_GBK" w:cs="Times New Roman"/>
          <w:kern w:val="0"/>
          <w:sz w:val="32"/>
          <w:szCs w:val="32"/>
          <w:lang w:val="en-US" w:eastAsia="zh-CN" w:bidi="ar"/>
        </w:rPr>
        <w:br w:type="textWrapping"/>
      </w:r>
      <w:r>
        <w:rPr>
          <w:rFonts w:hint="eastAsia" w:ascii="Times New Roman" w:hAnsi="Times New Roman" w:eastAsia="方正仿宋_GBK" w:cs="Times New Roman"/>
          <w:kern w:val="0"/>
          <w:sz w:val="32"/>
          <w:szCs w:val="32"/>
          <w:lang w:val="en-US" w:eastAsia="zh-CN" w:bidi="ar"/>
        </w:rPr>
        <w:t>　　公用经费19.08万元，主要包括：办公费、水费、电费、邮电费、差旅费、委托业务费、工会经费、福利费、公务用车运行维护费、其他商品和服务支出、办公设备购置。</w:t>
      </w:r>
    </w:p>
    <w:p w14:paraId="21EA4FA5">
      <w:pPr>
        <w:tabs>
          <w:tab w:val="right" w:pos="8306"/>
        </w:tabs>
        <w:spacing w:line="600" w:lineRule="exact"/>
        <w:ind w:firstLine="640"/>
        <w:outlineLvl w:val="1"/>
        <w:rPr>
          <w:rFonts w:hint="eastAsia" w:ascii="方正黑体_GBK" w:hAnsi="方正黑体_GBK" w:eastAsia="方正黑体_GBK" w:cs="方正黑体_GBK"/>
          <w:kern w:val="2"/>
          <w:sz w:val="32"/>
          <w:szCs w:val="32"/>
          <w:lang w:val="en-US" w:eastAsia="zh-CN" w:bidi="ar-SA"/>
        </w:rPr>
      </w:pPr>
      <w:bookmarkStart w:id="32" w:name="_Toc15377215"/>
      <w:bookmarkStart w:id="33" w:name="_Toc15396609"/>
      <w:r>
        <w:rPr>
          <w:rFonts w:hint="eastAsia" w:ascii="方正黑体_GBK" w:hAnsi="方正黑体_GBK" w:eastAsia="方正黑体_GBK" w:cs="方正黑体_GBK"/>
          <w:kern w:val="2"/>
          <w:sz w:val="32"/>
          <w:szCs w:val="32"/>
          <w:lang w:val="en-US" w:eastAsia="zh-CN" w:bidi="ar-SA"/>
        </w:rPr>
        <w:t>七、财政拨款“三公”经费支出决算情况说明</w:t>
      </w:r>
      <w:bookmarkEnd w:id="32"/>
      <w:bookmarkEnd w:id="33"/>
    </w:p>
    <w:p w14:paraId="2DFAD266">
      <w:pPr>
        <w:pStyle w:val="7"/>
        <w:keepNext w:val="0"/>
        <w:keepLines w:val="0"/>
        <w:pageBreakBefore w:val="0"/>
        <w:widowControl w:val="0"/>
        <w:kinsoku/>
        <w:wordWrap/>
        <w:overflowPunct/>
        <w:topLinePunct w:val="0"/>
        <w:autoSpaceDE/>
        <w:autoSpaceDN/>
        <w:bidi w:val="0"/>
        <w:adjustRightInd w:val="0"/>
        <w:snapToGrid/>
        <w:spacing w:before="0" w:beforeLines="0" w:line="600" w:lineRule="exact"/>
        <w:ind w:left="0" w:leftChars="0" w:firstLine="643" w:firstLineChars="200"/>
        <w:textAlignment w:val="auto"/>
        <w:rPr>
          <w:rFonts w:hint="eastAsia" w:ascii="方正楷体_GBK" w:hAnsi="方正楷体_GBK" w:eastAsia="方正楷体_GBK" w:cs="方正楷体_GBK"/>
          <w:b/>
          <w:bCs/>
          <w:kern w:val="0"/>
          <w:sz w:val="32"/>
          <w:szCs w:val="32"/>
          <w:lang w:val="en-US" w:eastAsia="zh-CN" w:bidi="ar"/>
        </w:rPr>
      </w:pPr>
      <w:bookmarkStart w:id="34" w:name="_Toc15377216"/>
      <w:r>
        <w:rPr>
          <w:rFonts w:hint="eastAsia" w:ascii="方正楷体_GBK" w:hAnsi="方正楷体_GBK" w:eastAsia="方正楷体_GBK" w:cs="方正楷体_GBK"/>
          <w:b/>
          <w:bCs/>
          <w:kern w:val="0"/>
          <w:sz w:val="32"/>
          <w:szCs w:val="32"/>
          <w:lang w:val="en-US" w:eastAsia="zh-CN" w:bidi="ar"/>
        </w:rPr>
        <w:t>（一）财政拨款“三公”经费支出决算总体情况说明</w:t>
      </w:r>
      <w:bookmarkEnd w:id="34"/>
    </w:p>
    <w:p w14:paraId="73CCE271">
      <w:pPr>
        <w:spacing w:line="600" w:lineRule="exact"/>
        <w:ind w:firstLine="640"/>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2025年度财政拨款“三公”经费支出决算为1.1万元，完成预算100%，较上年度减少0.03万元，下降2.</w:t>
      </w:r>
      <w:r>
        <w:rPr>
          <w:rFonts w:hint="eastAsia" w:eastAsia="方正仿宋_GBK" w:cs="Times New Roman"/>
          <w:kern w:val="0"/>
          <w:sz w:val="32"/>
          <w:szCs w:val="32"/>
          <w:lang w:val="en-US" w:eastAsia="zh-CN" w:bidi="ar"/>
        </w:rPr>
        <w:t>7</w:t>
      </w:r>
      <w:r>
        <w:rPr>
          <w:rFonts w:hint="eastAsia" w:ascii="Times New Roman" w:hAnsi="Times New Roman" w:eastAsia="方正仿宋_GBK" w:cs="Times New Roman"/>
          <w:kern w:val="0"/>
          <w:sz w:val="32"/>
          <w:szCs w:val="32"/>
          <w:lang w:val="en-US" w:eastAsia="zh-CN" w:bidi="ar"/>
        </w:rPr>
        <w:t>%。决算数与预算数持平。</w:t>
      </w:r>
    </w:p>
    <w:p w14:paraId="4FDC2248">
      <w:pPr>
        <w:pStyle w:val="7"/>
        <w:keepNext w:val="0"/>
        <w:keepLines w:val="0"/>
        <w:pageBreakBefore w:val="0"/>
        <w:widowControl w:val="0"/>
        <w:kinsoku/>
        <w:wordWrap/>
        <w:overflowPunct/>
        <w:topLinePunct w:val="0"/>
        <w:autoSpaceDE/>
        <w:autoSpaceDN/>
        <w:bidi w:val="0"/>
        <w:adjustRightInd w:val="0"/>
        <w:snapToGrid/>
        <w:spacing w:before="0" w:beforeLines="0" w:line="600" w:lineRule="exact"/>
        <w:ind w:left="0" w:leftChars="0" w:firstLine="643" w:firstLineChars="200"/>
        <w:textAlignment w:val="auto"/>
        <w:rPr>
          <w:rFonts w:hint="eastAsia" w:ascii="方正楷体_GBK" w:hAnsi="方正楷体_GBK" w:eastAsia="方正楷体_GBK" w:cs="方正楷体_GBK"/>
          <w:b/>
          <w:bCs/>
          <w:kern w:val="0"/>
          <w:sz w:val="32"/>
          <w:szCs w:val="32"/>
          <w:lang w:val="en-US" w:eastAsia="zh-CN" w:bidi="ar"/>
        </w:rPr>
      </w:pPr>
      <w:bookmarkStart w:id="35" w:name="_Toc15377217"/>
      <w:r>
        <w:rPr>
          <w:rFonts w:hint="eastAsia" w:ascii="方正楷体_GBK" w:hAnsi="方正楷体_GBK" w:eastAsia="方正楷体_GBK" w:cs="方正楷体_GBK"/>
          <w:b/>
          <w:bCs/>
          <w:kern w:val="0"/>
          <w:sz w:val="32"/>
          <w:szCs w:val="32"/>
          <w:lang w:val="en-US" w:eastAsia="zh-CN" w:bidi="ar"/>
        </w:rPr>
        <w:t>（二）财政拨款“三公”经费支出决算具体情况说明</w:t>
      </w:r>
      <w:bookmarkEnd w:id="35"/>
    </w:p>
    <w:p w14:paraId="1B8A07B6">
      <w:pPr>
        <w:spacing w:line="600" w:lineRule="exact"/>
        <w:ind w:firstLine="640"/>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2025年度财政拨款“三公”经费支出决算中，因公出国（境）费支出决算0万元，占0%；公务用车购置及运行维护费支出决算1.1万元，占100%；公务接待费支出决算0万元，占0%。具体情况如下：</w:t>
      </w:r>
    </w:p>
    <w:p w14:paraId="18299EB6">
      <w:pPr>
        <w:spacing w:line="600" w:lineRule="exact"/>
        <w:ind w:firstLine="640"/>
        <w:rPr>
          <w:rFonts w:hint="eastAsia" w:eastAsia="仿宋_GB2312" w:cs="仿宋_GB2312"/>
          <w:sz w:val="32"/>
          <w:szCs w:val="32"/>
        </w:rPr>
      </w:pPr>
      <w:r>
        <w:drawing>
          <wp:anchor distT="0" distB="0" distL="114300" distR="114300" simplePos="0" relativeHeight="251664384" behindDoc="1" locked="0" layoutInCell="1" allowOverlap="1">
            <wp:simplePos x="0" y="0"/>
            <wp:positionH relativeFrom="column">
              <wp:posOffset>511175</wp:posOffset>
            </wp:positionH>
            <wp:positionV relativeFrom="page">
              <wp:posOffset>7489825</wp:posOffset>
            </wp:positionV>
            <wp:extent cx="4391660" cy="2635250"/>
            <wp:effectExtent l="0" t="0" r="8890" b="12700"/>
            <wp:wrapNone/>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15"/>
                    <a:stretch>
                      <a:fillRect/>
                    </a:stretch>
                  </pic:blipFill>
                  <pic:spPr>
                    <a:xfrm>
                      <a:off x="0" y="0"/>
                      <a:ext cx="4391660" cy="2635250"/>
                    </a:xfrm>
                    <a:prstGeom prst="rect">
                      <a:avLst/>
                    </a:prstGeom>
                    <a:noFill/>
                    <a:ln>
                      <a:noFill/>
                    </a:ln>
                  </pic:spPr>
                </pic:pic>
              </a:graphicData>
            </a:graphic>
          </wp:anchor>
        </w:drawing>
      </w:r>
    </w:p>
    <w:p w14:paraId="29859944">
      <w:pPr>
        <w:spacing w:line="600" w:lineRule="exact"/>
        <w:ind w:firstLine="640"/>
        <w:rPr>
          <w:rFonts w:hint="eastAsia" w:eastAsia="仿宋_GB2312" w:cs="仿宋_GB2312"/>
          <w:sz w:val="32"/>
          <w:szCs w:val="32"/>
        </w:rPr>
      </w:pPr>
    </w:p>
    <w:p w14:paraId="2F1F810D">
      <w:pPr>
        <w:spacing w:line="600" w:lineRule="exact"/>
        <w:ind w:firstLine="640"/>
        <w:rPr>
          <w:rFonts w:hint="eastAsia" w:eastAsia="仿宋_GB2312" w:cs="仿宋_GB2312"/>
          <w:sz w:val="32"/>
          <w:szCs w:val="32"/>
        </w:rPr>
      </w:pPr>
    </w:p>
    <w:p w14:paraId="1DBAC3AC">
      <w:pPr>
        <w:spacing w:line="600" w:lineRule="exact"/>
        <w:ind w:firstLine="640"/>
        <w:rPr>
          <w:rFonts w:hint="eastAsia" w:eastAsia="仿宋_GB2312" w:cs="仿宋_GB2312"/>
          <w:sz w:val="32"/>
          <w:szCs w:val="32"/>
        </w:rPr>
      </w:pPr>
    </w:p>
    <w:p w14:paraId="4D5D642F">
      <w:pPr>
        <w:spacing w:line="600" w:lineRule="exact"/>
        <w:jc w:val="both"/>
        <w:rPr>
          <w:rFonts w:hint="eastAsia" w:ascii="Times New Roman" w:hAnsi="Times New Roman" w:eastAsia="方正仿宋_GBK" w:cs="Times New Roman"/>
          <w:kern w:val="0"/>
          <w:sz w:val="32"/>
          <w:szCs w:val="32"/>
          <w:lang w:val="en-US" w:eastAsia="zh-CN" w:bidi="ar"/>
        </w:rPr>
      </w:pPr>
    </w:p>
    <w:p w14:paraId="4BC5158D">
      <w:pPr>
        <w:spacing w:line="600" w:lineRule="exact"/>
        <w:jc w:val="center"/>
        <w:rPr>
          <w:rFonts w:hint="eastAsia" w:ascii="Times New Roman" w:hAnsi="Times New Roman" w:eastAsia="方正仿宋_GBK" w:cs="Times New Roman"/>
          <w:kern w:val="0"/>
          <w:sz w:val="32"/>
          <w:szCs w:val="32"/>
          <w:lang w:val="en-US" w:eastAsia="zh-CN" w:bidi="ar"/>
        </w:rPr>
      </w:pPr>
    </w:p>
    <w:p w14:paraId="1AF9B74F">
      <w:pPr>
        <w:spacing w:line="600" w:lineRule="exact"/>
        <w:jc w:val="center"/>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（图7：财政拨款“三公”经费支出结构）</w:t>
      </w:r>
    </w:p>
    <w:p w14:paraId="57F0B814">
      <w:pPr>
        <w:spacing w:line="600" w:lineRule="exact"/>
        <w:ind w:firstLine="640"/>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b/>
          <w:bCs/>
          <w:kern w:val="0"/>
          <w:sz w:val="32"/>
          <w:szCs w:val="32"/>
          <w:lang w:val="en-US" w:eastAsia="zh-CN" w:bidi="ar"/>
        </w:rPr>
        <w:t>1.因公出国（境）经费支出0万元，完成预算0%。</w:t>
      </w:r>
      <w:r>
        <w:rPr>
          <w:rFonts w:hint="eastAsia" w:ascii="Times New Roman" w:hAnsi="Times New Roman" w:eastAsia="方正仿宋_GBK" w:cs="Times New Roman"/>
          <w:kern w:val="0"/>
          <w:sz w:val="32"/>
          <w:szCs w:val="32"/>
          <w:lang w:val="en-US" w:eastAsia="zh-CN" w:bidi="ar"/>
        </w:rPr>
        <w:t>全年安排因公出国（境）团组0次，出国（境）0人。主要原因是</w:t>
      </w:r>
      <w:r>
        <w:rPr>
          <w:rFonts w:hint="default" w:ascii="Times New Roman" w:hAnsi="Times New Roman" w:eastAsia="方正仿宋_GBK" w:cs="Times New Roman"/>
          <w:kern w:val="0"/>
          <w:sz w:val="32"/>
          <w:szCs w:val="32"/>
          <w:lang w:val="en-US" w:eastAsia="zh-CN" w:bidi="ar"/>
        </w:rPr>
        <w:t>本年无因公出国（境）经费支出。</w:t>
      </w:r>
    </w:p>
    <w:p w14:paraId="16A0F6D4">
      <w:pPr>
        <w:spacing w:line="600" w:lineRule="exact"/>
        <w:ind w:firstLine="640"/>
        <w:rPr>
          <w:rFonts w:hint="default" w:ascii="Times New Roman" w:hAnsi="Times New Roman" w:eastAsia="方正仿宋_GBK" w:cs="Times New Roman"/>
          <w:kern w:val="0"/>
          <w:sz w:val="32"/>
          <w:szCs w:val="32"/>
          <w:highlight w:val="none"/>
          <w:lang w:val="en-US" w:eastAsia="zh-CN" w:bidi="ar"/>
        </w:rPr>
      </w:pPr>
      <w:r>
        <w:rPr>
          <w:rFonts w:hint="eastAsia" w:ascii="Times New Roman" w:hAnsi="Times New Roman" w:eastAsia="方正仿宋_GBK" w:cs="Times New Roman"/>
          <w:b/>
          <w:bCs/>
          <w:kern w:val="0"/>
          <w:sz w:val="32"/>
          <w:szCs w:val="32"/>
          <w:lang w:val="en-US" w:eastAsia="zh-CN" w:bidi="ar"/>
        </w:rPr>
        <w:t>2.公务用车购置及运行维护费支出1.1万元，完成预算100%。</w:t>
      </w:r>
      <w:r>
        <w:rPr>
          <w:rFonts w:hint="eastAsia" w:ascii="Times New Roman" w:hAnsi="Times New Roman" w:eastAsia="方正仿宋_GBK" w:cs="Times New Roman"/>
          <w:kern w:val="0"/>
          <w:sz w:val="32"/>
          <w:szCs w:val="32"/>
          <w:lang w:val="en-US" w:eastAsia="zh-CN" w:bidi="ar"/>
        </w:rPr>
        <w:t>公务用车购置及运行维护费支出决算比上年度减少0.03万元，下降2.</w:t>
      </w:r>
      <w:r>
        <w:rPr>
          <w:rFonts w:hint="eastAsia" w:eastAsia="方正仿宋_GBK" w:cs="Times New Roman"/>
          <w:kern w:val="0"/>
          <w:sz w:val="32"/>
          <w:szCs w:val="32"/>
          <w:lang w:val="en-US" w:eastAsia="zh-CN" w:bidi="ar"/>
        </w:rPr>
        <w:t>7</w:t>
      </w:r>
      <w:r>
        <w:rPr>
          <w:rFonts w:hint="eastAsia" w:ascii="Times New Roman" w:hAnsi="Times New Roman" w:eastAsia="方正仿宋_GBK" w:cs="Times New Roman"/>
          <w:kern w:val="0"/>
          <w:sz w:val="32"/>
          <w:szCs w:val="32"/>
          <w:lang w:val="en-US" w:eastAsia="zh-CN" w:bidi="ar"/>
        </w:rPr>
        <w:t>%。</w:t>
      </w:r>
      <w:r>
        <w:rPr>
          <w:rFonts w:hint="eastAsia" w:ascii="Times New Roman" w:hAnsi="Times New Roman" w:eastAsia="方正仿宋_GBK" w:cs="Times New Roman"/>
          <w:kern w:val="0"/>
          <w:sz w:val="32"/>
          <w:szCs w:val="32"/>
          <w:highlight w:val="none"/>
          <w:lang w:val="en-US" w:eastAsia="zh-CN" w:bidi="ar"/>
        </w:rPr>
        <w:t>主要原因是公务用车</w:t>
      </w:r>
      <w:r>
        <w:rPr>
          <w:rFonts w:hint="eastAsia" w:eastAsia="方正仿宋_GBK" w:cs="Times New Roman"/>
          <w:kern w:val="0"/>
          <w:sz w:val="32"/>
          <w:szCs w:val="32"/>
          <w:highlight w:val="none"/>
          <w:lang w:val="en-US" w:eastAsia="zh-CN" w:bidi="ar"/>
        </w:rPr>
        <w:t>维修费用</w:t>
      </w:r>
      <w:r>
        <w:rPr>
          <w:rFonts w:hint="eastAsia" w:ascii="Times New Roman" w:hAnsi="Times New Roman" w:eastAsia="方正仿宋_GBK" w:cs="Times New Roman"/>
          <w:kern w:val="0"/>
          <w:sz w:val="32"/>
          <w:szCs w:val="32"/>
          <w:highlight w:val="none"/>
          <w:lang w:val="en-US" w:eastAsia="zh-CN" w:bidi="ar"/>
        </w:rPr>
        <w:t>减少。</w:t>
      </w:r>
    </w:p>
    <w:p w14:paraId="03B72505">
      <w:pPr>
        <w:spacing w:line="600" w:lineRule="exact"/>
        <w:ind w:firstLine="640"/>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其中：公务用车购置支出0万元。全年按规定更新购置公务用车0辆，其中：轿车0辆、金额0万元，越野车0辆、金额0万元，载客汽车0辆、金额0万元。截至2025年12月31日，单位共有公务用车1辆，其中：轿车1辆、越野车0辆、载客汽车0辆。</w:t>
      </w:r>
    </w:p>
    <w:p w14:paraId="5DA793FA">
      <w:pPr>
        <w:spacing w:line="600" w:lineRule="exact"/>
        <w:ind w:firstLine="640"/>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公务用车运行维护费支出1.1万元。主要用于</w:t>
      </w:r>
      <w:r>
        <w:rPr>
          <w:rFonts w:hint="default" w:ascii="Times New Roman" w:hAnsi="Times New Roman" w:eastAsia="方正仿宋_GBK" w:cs="Times New Roman"/>
          <w:kern w:val="0"/>
          <w:sz w:val="32"/>
          <w:szCs w:val="32"/>
          <w:lang w:val="en-US" w:eastAsia="zh-CN" w:bidi="ar"/>
        </w:rPr>
        <w:t>办公及单位正常运转及完成特定工作任务等所需的公务用车燃料费、维修费、过路过桥费、保险费等支出。</w:t>
      </w:r>
    </w:p>
    <w:p w14:paraId="4260492A">
      <w:pPr>
        <w:spacing w:line="600" w:lineRule="exact"/>
        <w:ind w:firstLine="640"/>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b/>
          <w:bCs/>
          <w:kern w:val="0"/>
          <w:sz w:val="32"/>
          <w:szCs w:val="32"/>
          <w:lang w:val="en-US" w:eastAsia="zh-CN" w:bidi="ar"/>
        </w:rPr>
        <w:t>3.公务接待费支出0万元，完成预算0%。</w:t>
      </w:r>
      <w:r>
        <w:rPr>
          <w:rFonts w:hint="eastAsia" w:ascii="Times New Roman" w:hAnsi="Times New Roman" w:eastAsia="方正仿宋_GBK" w:cs="Times New Roman"/>
          <w:kern w:val="0"/>
          <w:sz w:val="32"/>
          <w:szCs w:val="32"/>
          <w:lang w:val="en-US" w:eastAsia="zh-CN" w:bidi="ar"/>
        </w:rPr>
        <w:t>主要原因是</w:t>
      </w:r>
      <w:r>
        <w:rPr>
          <w:rFonts w:hint="default" w:ascii="Times New Roman" w:hAnsi="Times New Roman" w:eastAsia="方正仿宋_GBK" w:cs="Times New Roman"/>
          <w:kern w:val="0"/>
          <w:sz w:val="32"/>
          <w:szCs w:val="32"/>
          <w:lang w:val="en-US" w:eastAsia="zh-CN" w:bidi="ar"/>
        </w:rPr>
        <w:t>本年无公务接待费支出。</w:t>
      </w:r>
      <w:r>
        <w:rPr>
          <w:rFonts w:hint="eastAsia" w:ascii="Times New Roman" w:hAnsi="Times New Roman" w:eastAsia="方正仿宋_GBK" w:cs="Times New Roman"/>
          <w:kern w:val="0"/>
          <w:sz w:val="32"/>
          <w:szCs w:val="32"/>
          <w:lang w:val="en-US" w:eastAsia="zh-CN" w:bidi="ar"/>
        </w:rPr>
        <w:t>其中：</w:t>
      </w:r>
    </w:p>
    <w:p w14:paraId="09680CC3">
      <w:pPr>
        <w:spacing w:line="600" w:lineRule="exact"/>
        <w:ind w:firstLine="640"/>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国内公务接待支出0万元。国内公务接待0批次，0人次（不包括陪同人员），共计支出0万元，</w:t>
      </w:r>
      <w:r>
        <w:rPr>
          <w:rFonts w:hint="default" w:ascii="Times New Roman" w:hAnsi="Times New Roman" w:eastAsia="方正仿宋_GBK" w:cs="Times New Roman"/>
          <w:kern w:val="0"/>
          <w:sz w:val="32"/>
          <w:szCs w:val="32"/>
          <w:lang w:val="en-US" w:eastAsia="zh-CN" w:bidi="ar"/>
        </w:rPr>
        <w:t>本年无国内公务接待支出。</w:t>
      </w:r>
    </w:p>
    <w:p w14:paraId="167D42A7">
      <w:pPr>
        <w:spacing w:line="600" w:lineRule="exact"/>
        <w:ind w:firstLine="640"/>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外事接待支出0万元，外事接待0批次，0人次（不包括陪同人员），共计支出0万元。</w:t>
      </w:r>
      <w:bookmarkStart w:id="36" w:name="_Toc15396610"/>
      <w:bookmarkStart w:id="37" w:name="_Toc15377218"/>
    </w:p>
    <w:p w14:paraId="5CB39774">
      <w:pPr>
        <w:tabs>
          <w:tab w:val="right" w:pos="8306"/>
        </w:tabs>
        <w:spacing w:line="600" w:lineRule="exact"/>
        <w:ind w:firstLine="640"/>
        <w:outlineLvl w:val="1"/>
        <w:rPr>
          <w:rFonts w:hint="eastAsia" w:ascii="方正黑体_GBK" w:hAnsi="方正黑体_GBK" w:eastAsia="方正黑体_GBK" w:cs="方正黑体_GBK"/>
          <w:kern w:val="2"/>
          <w:sz w:val="32"/>
          <w:szCs w:val="32"/>
          <w:lang w:val="en-US" w:eastAsia="zh-CN" w:bidi="ar-SA"/>
        </w:rPr>
      </w:pPr>
      <w:r>
        <w:rPr>
          <w:rFonts w:hint="eastAsia" w:ascii="方正黑体_GBK" w:hAnsi="方正黑体_GBK" w:eastAsia="方正黑体_GBK" w:cs="方正黑体_GBK"/>
          <w:kern w:val="2"/>
          <w:sz w:val="32"/>
          <w:szCs w:val="32"/>
          <w:lang w:val="en-US" w:eastAsia="zh-CN" w:bidi="ar-SA"/>
        </w:rPr>
        <w:t>八、政府性基金预算支出决算情况说明</w:t>
      </w:r>
      <w:bookmarkEnd w:id="36"/>
      <w:bookmarkEnd w:id="37"/>
    </w:p>
    <w:p w14:paraId="0C97A63D">
      <w:pPr>
        <w:spacing w:line="600" w:lineRule="exact"/>
        <w:ind w:firstLine="640"/>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2025年度政府性基金预算财政拨款支出10.2万元，占本年支出合计的2%。与上年度相比，政府性基金预算财政拨款支出减少45.7万元，下降81.</w:t>
      </w:r>
      <w:r>
        <w:rPr>
          <w:rFonts w:hint="eastAsia" w:eastAsia="方正仿宋_GBK" w:cs="Times New Roman"/>
          <w:kern w:val="0"/>
          <w:sz w:val="32"/>
          <w:szCs w:val="32"/>
          <w:lang w:val="en-US" w:eastAsia="zh-CN" w:bidi="ar"/>
        </w:rPr>
        <w:t>8</w:t>
      </w:r>
      <w:r>
        <w:rPr>
          <w:rFonts w:hint="eastAsia" w:ascii="Times New Roman" w:hAnsi="Times New Roman" w:eastAsia="方正仿宋_GBK" w:cs="Times New Roman"/>
          <w:kern w:val="0"/>
          <w:sz w:val="32"/>
          <w:szCs w:val="32"/>
          <w:lang w:val="en-US" w:eastAsia="zh-CN" w:bidi="ar"/>
        </w:rPr>
        <w:t>%。主要变动原因是2025年项目经费支出减少。</w:t>
      </w:r>
    </w:p>
    <w:p w14:paraId="239CE82D">
      <w:pPr>
        <w:tabs>
          <w:tab w:val="right" w:pos="8306"/>
        </w:tabs>
        <w:spacing w:line="600" w:lineRule="exact"/>
        <w:ind w:firstLine="640"/>
        <w:outlineLvl w:val="1"/>
        <w:rPr>
          <w:rFonts w:hint="eastAsia" w:ascii="方正黑体_GBK" w:hAnsi="方正黑体_GBK" w:eastAsia="方正黑体_GBK" w:cs="方正黑体_GBK"/>
          <w:kern w:val="2"/>
          <w:sz w:val="32"/>
          <w:szCs w:val="32"/>
          <w:lang w:val="en-US" w:eastAsia="zh-CN" w:bidi="ar-SA"/>
        </w:rPr>
      </w:pPr>
      <w:bookmarkStart w:id="38" w:name="_Toc15377219"/>
      <w:bookmarkStart w:id="39" w:name="_Toc15396611"/>
      <w:r>
        <w:rPr>
          <w:rFonts w:hint="eastAsia" w:ascii="方正黑体_GBK" w:hAnsi="方正黑体_GBK" w:eastAsia="方正黑体_GBK" w:cs="方正黑体_GBK"/>
          <w:kern w:val="2"/>
          <w:sz w:val="32"/>
          <w:szCs w:val="32"/>
          <w:lang w:val="en-US" w:eastAsia="zh-CN" w:bidi="ar-SA"/>
        </w:rPr>
        <w:t>九、国有资本经营预算支出决算情况说明</w:t>
      </w:r>
      <w:bookmarkEnd w:id="38"/>
      <w:bookmarkEnd w:id="39"/>
    </w:p>
    <w:p w14:paraId="5F360098">
      <w:pPr>
        <w:spacing w:line="600" w:lineRule="exact"/>
        <w:ind w:firstLine="640"/>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2025年度国有资本经营预算财政拨款支出0万元</w:t>
      </w:r>
      <w:bookmarkStart w:id="40" w:name="_Toc15377221"/>
      <w:bookmarkStart w:id="41" w:name="_Toc15396612"/>
      <w:r>
        <w:rPr>
          <w:rFonts w:hint="eastAsia" w:ascii="Times New Roman" w:hAnsi="Times New Roman" w:eastAsia="方正仿宋_GBK" w:cs="Times New Roman"/>
          <w:kern w:val="0"/>
          <w:sz w:val="32"/>
          <w:szCs w:val="32"/>
          <w:lang w:val="en-US" w:eastAsia="zh-CN" w:bidi="ar"/>
        </w:rPr>
        <w:t>。</w:t>
      </w:r>
    </w:p>
    <w:p w14:paraId="68F2798D">
      <w:pPr>
        <w:tabs>
          <w:tab w:val="right" w:pos="8306"/>
        </w:tabs>
        <w:spacing w:line="600" w:lineRule="exact"/>
        <w:ind w:firstLine="640"/>
        <w:outlineLvl w:val="1"/>
        <w:rPr>
          <w:rFonts w:hint="eastAsia" w:ascii="方正黑体_GBK" w:hAnsi="方正黑体_GBK" w:eastAsia="方正黑体_GBK" w:cs="方正黑体_GBK"/>
          <w:kern w:val="2"/>
          <w:sz w:val="32"/>
          <w:szCs w:val="32"/>
          <w:lang w:val="en-US" w:eastAsia="zh-CN" w:bidi="ar-SA"/>
        </w:rPr>
      </w:pPr>
      <w:r>
        <w:rPr>
          <w:rFonts w:hint="eastAsia" w:ascii="方正黑体_GBK" w:hAnsi="方正黑体_GBK" w:eastAsia="方正黑体_GBK" w:cs="方正黑体_GBK"/>
          <w:kern w:val="2"/>
          <w:sz w:val="32"/>
          <w:szCs w:val="32"/>
          <w:lang w:val="en-US" w:eastAsia="zh-CN" w:bidi="ar-SA"/>
        </w:rPr>
        <w:t>十、其他重要事项的情况说明</w:t>
      </w:r>
      <w:bookmarkEnd w:id="40"/>
      <w:bookmarkEnd w:id="41"/>
    </w:p>
    <w:p w14:paraId="16498EED">
      <w:pPr>
        <w:spacing w:line="600" w:lineRule="exact"/>
        <w:ind w:firstLine="643" w:firstLineChars="200"/>
        <w:outlineLvl w:val="2"/>
        <w:rPr>
          <w:rFonts w:hint="eastAsia" w:ascii="方正楷体_GBK" w:hAnsi="方正楷体_GBK" w:eastAsia="方正楷体_GBK" w:cs="方正楷体_GBK"/>
          <w:b/>
          <w:bCs/>
          <w:kern w:val="0"/>
          <w:sz w:val="32"/>
          <w:szCs w:val="32"/>
          <w:lang w:val="en-US" w:eastAsia="zh-CN" w:bidi="ar"/>
        </w:rPr>
      </w:pPr>
      <w:bookmarkStart w:id="42" w:name="_Toc15377222"/>
      <w:r>
        <w:rPr>
          <w:rFonts w:hint="eastAsia" w:ascii="方正楷体_GBK" w:hAnsi="方正楷体_GBK" w:eastAsia="方正楷体_GBK" w:cs="方正楷体_GBK"/>
          <w:b/>
          <w:bCs/>
          <w:kern w:val="0"/>
          <w:sz w:val="32"/>
          <w:szCs w:val="32"/>
          <w:lang w:val="en-US" w:eastAsia="zh-CN" w:bidi="ar"/>
        </w:rPr>
        <w:t>（一）机关运行经费支出情况</w:t>
      </w:r>
      <w:bookmarkEnd w:id="42"/>
    </w:p>
    <w:p w14:paraId="7F1A69AD">
      <w:pPr>
        <w:spacing w:line="600" w:lineRule="exact"/>
        <w:ind w:firstLine="640"/>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2025年度，攀枝花市社会福利院无机关运行经费支出。</w:t>
      </w:r>
    </w:p>
    <w:p w14:paraId="5D3B3355">
      <w:pPr>
        <w:spacing w:line="600" w:lineRule="exact"/>
        <w:ind w:firstLine="643" w:firstLineChars="200"/>
        <w:outlineLvl w:val="2"/>
        <w:rPr>
          <w:rFonts w:hint="eastAsia" w:ascii="方正楷体_GBK" w:hAnsi="方正楷体_GBK" w:eastAsia="方正楷体_GBK" w:cs="方正楷体_GBK"/>
          <w:b/>
          <w:bCs/>
          <w:kern w:val="0"/>
          <w:sz w:val="32"/>
          <w:szCs w:val="32"/>
          <w:highlight w:val="none"/>
          <w:lang w:val="en-US" w:eastAsia="zh-CN" w:bidi="ar"/>
        </w:rPr>
      </w:pPr>
      <w:bookmarkStart w:id="43" w:name="_Toc15377223"/>
      <w:r>
        <w:rPr>
          <w:rFonts w:hint="eastAsia" w:ascii="方正楷体_GBK" w:hAnsi="方正楷体_GBK" w:eastAsia="方正楷体_GBK" w:cs="方正楷体_GBK"/>
          <w:b/>
          <w:bCs/>
          <w:kern w:val="0"/>
          <w:sz w:val="32"/>
          <w:szCs w:val="32"/>
          <w:highlight w:val="none"/>
          <w:lang w:val="en-US" w:eastAsia="zh-CN" w:bidi="ar"/>
        </w:rPr>
        <w:t>（二）政府采购支出情况</w:t>
      </w:r>
      <w:bookmarkEnd w:id="43"/>
    </w:p>
    <w:p w14:paraId="1FB99564">
      <w:pPr>
        <w:spacing w:line="600" w:lineRule="exact"/>
        <w:ind w:firstLine="640"/>
        <w:rPr>
          <w:rFonts w:hint="eastAsia" w:ascii="Times New Roman" w:hAnsi="Times New Roman" w:eastAsia="方正仿宋_GBK" w:cs="Times New Roman"/>
          <w:kern w:val="0"/>
          <w:sz w:val="32"/>
          <w:szCs w:val="32"/>
          <w:highlight w:val="none"/>
          <w:lang w:val="en-US" w:eastAsia="zh-CN" w:bidi="ar"/>
        </w:rPr>
      </w:pPr>
      <w:r>
        <w:rPr>
          <w:rFonts w:hint="eastAsia" w:ascii="Times New Roman" w:hAnsi="Times New Roman" w:eastAsia="方正仿宋_GBK" w:cs="Times New Roman"/>
          <w:kern w:val="0"/>
          <w:sz w:val="32"/>
          <w:szCs w:val="32"/>
          <w:highlight w:val="none"/>
          <w:lang w:val="en-US" w:eastAsia="zh-CN" w:bidi="ar"/>
        </w:rPr>
        <w:t>2025年度，攀枝花市社会福利院政府采购支出总额0.95万元，其中：政府采购货物支出0万元、政府采购工程支出0万元、政府采购服务支出0.95万元。主要用于公务车辆维修和保养服务、车辆加油服务。授予中小企业合同金额0.49万元，占政府采购支出总额的51.</w:t>
      </w:r>
      <w:r>
        <w:rPr>
          <w:rFonts w:hint="eastAsia" w:eastAsia="方正仿宋_GBK" w:cs="Times New Roman"/>
          <w:kern w:val="0"/>
          <w:sz w:val="32"/>
          <w:szCs w:val="32"/>
          <w:highlight w:val="none"/>
          <w:lang w:val="en-US" w:eastAsia="zh-CN" w:bidi="ar"/>
        </w:rPr>
        <w:t>6</w:t>
      </w:r>
      <w:r>
        <w:rPr>
          <w:rFonts w:hint="eastAsia" w:ascii="Times New Roman" w:hAnsi="Times New Roman" w:eastAsia="方正仿宋_GBK" w:cs="Times New Roman"/>
          <w:kern w:val="0"/>
          <w:sz w:val="32"/>
          <w:szCs w:val="32"/>
          <w:highlight w:val="none"/>
          <w:lang w:val="en-US" w:eastAsia="zh-CN" w:bidi="ar"/>
        </w:rPr>
        <w:t>%，其中：授予小微企业合同金额0.49万元，占政府采购支出总额的51.</w:t>
      </w:r>
      <w:r>
        <w:rPr>
          <w:rFonts w:hint="eastAsia" w:eastAsia="方正仿宋_GBK" w:cs="Times New Roman"/>
          <w:kern w:val="0"/>
          <w:sz w:val="32"/>
          <w:szCs w:val="32"/>
          <w:highlight w:val="none"/>
          <w:lang w:val="en-US" w:eastAsia="zh-CN" w:bidi="ar"/>
        </w:rPr>
        <w:t>6</w:t>
      </w:r>
      <w:r>
        <w:rPr>
          <w:rFonts w:hint="eastAsia" w:ascii="Times New Roman" w:hAnsi="Times New Roman" w:eastAsia="方正仿宋_GBK" w:cs="Times New Roman"/>
          <w:kern w:val="0"/>
          <w:sz w:val="32"/>
          <w:szCs w:val="32"/>
          <w:highlight w:val="none"/>
          <w:lang w:val="en-US" w:eastAsia="zh-CN" w:bidi="ar"/>
        </w:rPr>
        <w:t>%。</w:t>
      </w:r>
    </w:p>
    <w:p w14:paraId="14C0657E">
      <w:pPr>
        <w:spacing w:line="600" w:lineRule="exact"/>
        <w:ind w:firstLine="643" w:firstLineChars="200"/>
        <w:outlineLvl w:val="2"/>
        <w:rPr>
          <w:rFonts w:hint="eastAsia" w:ascii="方正楷体_GBK" w:hAnsi="方正楷体_GBK" w:eastAsia="方正楷体_GBK" w:cs="方正楷体_GBK"/>
          <w:b/>
          <w:bCs/>
          <w:kern w:val="0"/>
          <w:sz w:val="32"/>
          <w:szCs w:val="32"/>
          <w:lang w:val="en-US" w:eastAsia="zh-CN" w:bidi="ar"/>
        </w:rPr>
      </w:pPr>
      <w:bookmarkStart w:id="44" w:name="_Toc15377224"/>
      <w:r>
        <w:rPr>
          <w:rFonts w:hint="eastAsia" w:ascii="方正楷体_GBK" w:hAnsi="方正楷体_GBK" w:eastAsia="方正楷体_GBK" w:cs="方正楷体_GBK"/>
          <w:b/>
          <w:bCs/>
          <w:kern w:val="0"/>
          <w:sz w:val="32"/>
          <w:szCs w:val="32"/>
          <w:lang w:val="en-US" w:eastAsia="zh-CN" w:bidi="ar"/>
        </w:rPr>
        <w:t>（三）国有资产占有使用情况</w:t>
      </w:r>
      <w:bookmarkEnd w:id="44"/>
    </w:p>
    <w:p w14:paraId="5DC71C18">
      <w:pPr>
        <w:spacing w:line="600" w:lineRule="exact"/>
        <w:ind w:firstLine="640"/>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截至2025年12月31日，攀枝花市社会福利院共有车辆1辆，其中：主要负责人用车0辆、机要通信用车0辆、应急保障用车0辆、其他用车1辆，其他用车主要是用于</w:t>
      </w:r>
      <w:r>
        <w:rPr>
          <w:rFonts w:hint="default" w:ascii="Times New Roman" w:hAnsi="Times New Roman" w:eastAsia="方正仿宋_GBK" w:cs="Times New Roman"/>
          <w:kern w:val="0"/>
          <w:sz w:val="32"/>
          <w:szCs w:val="32"/>
          <w:lang w:val="en-US" w:eastAsia="zh-CN" w:bidi="ar"/>
        </w:rPr>
        <w:t>办公及单位正常运转及完成特定工作任务。</w:t>
      </w:r>
      <w:r>
        <w:rPr>
          <w:rFonts w:hint="eastAsia" w:ascii="Times New Roman" w:hAnsi="Times New Roman" w:eastAsia="方正仿宋_GBK" w:cs="Times New Roman"/>
          <w:kern w:val="0"/>
          <w:sz w:val="32"/>
          <w:szCs w:val="32"/>
          <w:lang w:val="en-US" w:eastAsia="zh-CN" w:bidi="ar"/>
        </w:rPr>
        <w:t>单价100万元（含）以上设备（不含车辆）0台（套）。</w:t>
      </w:r>
    </w:p>
    <w:p w14:paraId="29C450E2">
      <w:pPr>
        <w:spacing w:line="600" w:lineRule="exact"/>
        <w:ind w:firstLine="643" w:firstLineChars="200"/>
        <w:outlineLvl w:val="2"/>
        <w:rPr>
          <w:rFonts w:hint="eastAsia" w:ascii="方正楷体_GBK" w:hAnsi="方正楷体_GBK" w:eastAsia="方正楷体_GBK" w:cs="方正楷体_GBK"/>
          <w:b/>
          <w:bCs/>
          <w:kern w:val="0"/>
          <w:sz w:val="32"/>
          <w:szCs w:val="32"/>
          <w:lang w:val="en-US" w:eastAsia="zh-CN" w:bidi="ar"/>
        </w:rPr>
      </w:pPr>
      <w:r>
        <w:rPr>
          <w:rFonts w:hint="eastAsia" w:ascii="方正楷体_GBK" w:hAnsi="方正楷体_GBK" w:eastAsia="方正楷体_GBK" w:cs="方正楷体_GBK"/>
          <w:b/>
          <w:bCs/>
          <w:kern w:val="0"/>
          <w:sz w:val="32"/>
          <w:szCs w:val="32"/>
          <w:lang w:val="en-US" w:eastAsia="zh-CN" w:bidi="ar"/>
        </w:rPr>
        <w:t>（四）预算绩效管理情况</w:t>
      </w:r>
    </w:p>
    <w:p w14:paraId="3FF81445">
      <w:pPr>
        <w:spacing w:line="600" w:lineRule="exact"/>
        <w:ind w:firstLine="640"/>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根据预算绩效管理要求，攀枝花市社会福利院在2025年度，组织对</w:t>
      </w:r>
      <w:r>
        <w:rPr>
          <w:rFonts w:hint="default" w:ascii="Times New Roman" w:hAnsi="Times New Roman" w:eastAsia="方正仿宋_GBK" w:cs="Times New Roman"/>
          <w:kern w:val="0"/>
          <w:sz w:val="32"/>
          <w:szCs w:val="32"/>
          <w:lang w:val="en-US" w:eastAsia="zh-CN" w:bidi="ar"/>
        </w:rPr>
        <w:t>“城市特困人员支出”“戒毒代养人员支出”“自费代养人员支出”</w:t>
      </w:r>
      <w:r>
        <w:rPr>
          <w:rFonts w:hint="eastAsia" w:ascii="Times New Roman" w:hAnsi="Times New Roman" w:eastAsia="方正仿宋_GBK" w:cs="Times New Roman"/>
          <w:kern w:val="0"/>
          <w:sz w:val="32"/>
          <w:szCs w:val="32"/>
          <w:lang w:val="en-US" w:eastAsia="zh-CN" w:bidi="ar"/>
        </w:rPr>
        <w:t>等7个项目涉及金额117.12万元开展了事前绩效评估，对7个项目编制了绩效目标，预算执行过程中，选取7个项目开展绩效监控。</w:t>
      </w:r>
    </w:p>
    <w:p w14:paraId="4DEAC29E">
      <w:pPr>
        <w:spacing w:line="600" w:lineRule="exact"/>
        <w:ind w:firstLine="640"/>
        <w:rPr>
          <w:rFonts w:eastAsia="仿宋_GB2312" w:cs="仿宋_GB2312"/>
          <w:sz w:val="32"/>
          <w:szCs w:val="32"/>
        </w:rPr>
      </w:pPr>
    </w:p>
    <w:p w14:paraId="5C9B766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b w:val="0"/>
          <w:bCs w:val="0"/>
          <w:kern w:val="2"/>
          <w:sz w:val="44"/>
          <w:szCs w:val="44"/>
          <w:lang w:val="en-US" w:eastAsia="zh-CN" w:bidi="ar-SA"/>
        </w:rPr>
      </w:pPr>
      <w:bookmarkStart w:id="45" w:name="_Toc15396613"/>
      <w:bookmarkStart w:id="46" w:name="_Toc15377225"/>
    </w:p>
    <w:p w14:paraId="76D8E38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b w:val="0"/>
          <w:bCs w:val="0"/>
          <w:kern w:val="2"/>
          <w:sz w:val="44"/>
          <w:szCs w:val="44"/>
          <w:lang w:val="en-US" w:eastAsia="zh-CN" w:bidi="ar-SA"/>
        </w:rPr>
      </w:pPr>
    </w:p>
    <w:p w14:paraId="2F0B5151">
      <w:pPr>
        <w:pStyle w:val="6"/>
        <w:rPr>
          <w:rFonts w:hint="eastAsia" w:ascii="Times New Roman" w:hAnsi="Times New Roman" w:eastAsia="方正小标宋_GBK" w:cs="Times New Roman"/>
          <w:b w:val="0"/>
          <w:bCs w:val="0"/>
          <w:kern w:val="2"/>
          <w:sz w:val="44"/>
          <w:szCs w:val="44"/>
          <w:lang w:val="en-US" w:eastAsia="zh-CN" w:bidi="ar-SA"/>
        </w:rPr>
      </w:pPr>
    </w:p>
    <w:p w14:paraId="2F0B33AA">
      <w:pPr>
        <w:pStyle w:val="6"/>
        <w:rPr>
          <w:rFonts w:hint="eastAsia" w:ascii="Times New Roman" w:hAnsi="Times New Roman" w:eastAsia="方正小标宋_GBK" w:cs="Times New Roman"/>
          <w:b w:val="0"/>
          <w:bCs w:val="0"/>
          <w:kern w:val="2"/>
          <w:sz w:val="44"/>
          <w:szCs w:val="44"/>
          <w:lang w:val="en-US" w:eastAsia="zh-CN" w:bidi="ar-SA"/>
        </w:rPr>
      </w:pPr>
    </w:p>
    <w:p w14:paraId="1A867232">
      <w:pPr>
        <w:pStyle w:val="6"/>
        <w:rPr>
          <w:rFonts w:hint="eastAsia" w:ascii="Times New Roman" w:hAnsi="Times New Roman" w:eastAsia="方正小标宋_GBK" w:cs="Times New Roman"/>
          <w:b w:val="0"/>
          <w:bCs w:val="0"/>
          <w:kern w:val="2"/>
          <w:sz w:val="44"/>
          <w:szCs w:val="44"/>
          <w:lang w:val="en-US" w:eastAsia="zh-CN" w:bidi="ar-SA"/>
        </w:rPr>
      </w:pPr>
    </w:p>
    <w:p w14:paraId="76339C38">
      <w:pPr>
        <w:pStyle w:val="6"/>
        <w:rPr>
          <w:rFonts w:hint="eastAsia" w:ascii="Times New Roman" w:hAnsi="Times New Roman" w:eastAsia="方正小标宋_GBK" w:cs="Times New Roman"/>
          <w:b w:val="0"/>
          <w:bCs w:val="0"/>
          <w:kern w:val="2"/>
          <w:sz w:val="44"/>
          <w:szCs w:val="44"/>
          <w:lang w:val="en-US" w:eastAsia="zh-CN" w:bidi="ar-SA"/>
        </w:rPr>
      </w:pPr>
    </w:p>
    <w:p w14:paraId="41B2D1FC">
      <w:pPr>
        <w:pStyle w:val="6"/>
        <w:rPr>
          <w:rFonts w:hint="eastAsia" w:ascii="Times New Roman" w:hAnsi="Times New Roman" w:eastAsia="方正小标宋_GBK" w:cs="Times New Roman"/>
          <w:b w:val="0"/>
          <w:bCs w:val="0"/>
          <w:kern w:val="2"/>
          <w:sz w:val="44"/>
          <w:szCs w:val="44"/>
          <w:lang w:val="en-US" w:eastAsia="zh-CN" w:bidi="ar-SA"/>
        </w:rPr>
      </w:pPr>
    </w:p>
    <w:p w14:paraId="1774243C">
      <w:pPr>
        <w:pStyle w:val="6"/>
        <w:rPr>
          <w:rFonts w:hint="eastAsia" w:ascii="Times New Roman" w:hAnsi="Times New Roman" w:eastAsia="方正小标宋_GBK" w:cs="Times New Roman"/>
          <w:b w:val="0"/>
          <w:bCs w:val="0"/>
          <w:kern w:val="2"/>
          <w:sz w:val="44"/>
          <w:szCs w:val="44"/>
          <w:lang w:val="en-US" w:eastAsia="zh-CN" w:bidi="ar-SA"/>
        </w:rPr>
      </w:pPr>
    </w:p>
    <w:p w14:paraId="169BC796">
      <w:pPr>
        <w:pStyle w:val="6"/>
        <w:rPr>
          <w:rFonts w:hint="eastAsia" w:ascii="Times New Roman" w:hAnsi="Times New Roman" w:eastAsia="方正小标宋_GBK" w:cs="Times New Roman"/>
          <w:b w:val="0"/>
          <w:bCs w:val="0"/>
          <w:kern w:val="2"/>
          <w:sz w:val="44"/>
          <w:szCs w:val="44"/>
          <w:lang w:val="en-US" w:eastAsia="zh-CN" w:bidi="ar-SA"/>
        </w:rPr>
      </w:pPr>
    </w:p>
    <w:p w14:paraId="34FF0BD8">
      <w:pPr>
        <w:pStyle w:val="6"/>
        <w:rPr>
          <w:rFonts w:hint="eastAsia" w:ascii="Times New Roman" w:hAnsi="Times New Roman" w:eastAsia="方正小标宋_GBK" w:cs="Times New Roman"/>
          <w:b w:val="0"/>
          <w:bCs w:val="0"/>
          <w:kern w:val="2"/>
          <w:sz w:val="44"/>
          <w:szCs w:val="44"/>
          <w:lang w:val="en-US" w:eastAsia="zh-CN" w:bidi="ar-SA"/>
        </w:rPr>
      </w:pPr>
    </w:p>
    <w:p w14:paraId="473108C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b w:val="0"/>
          <w:bCs w:val="0"/>
          <w:kern w:val="2"/>
          <w:sz w:val="44"/>
          <w:szCs w:val="44"/>
          <w:lang w:val="en-US" w:eastAsia="zh-CN" w:bidi="ar-SA"/>
        </w:rPr>
      </w:pPr>
    </w:p>
    <w:p w14:paraId="36967BB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b w:val="0"/>
          <w:bCs w:val="0"/>
          <w:kern w:val="2"/>
          <w:sz w:val="44"/>
          <w:szCs w:val="44"/>
          <w:lang w:val="en-US" w:eastAsia="zh-CN" w:bidi="ar-SA"/>
        </w:rPr>
      </w:pPr>
    </w:p>
    <w:p w14:paraId="0DD06EC6">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Times New Roman" w:hAnsi="Times New Roman" w:eastAsia="方正小标宋_GBK" w:cs="Times New Roman"/>
          <w:b w:val="0"/>
          <w:bCs w:val="0"/>
          <w:kern w:val="2"/>
          <w:sz w:val="44"/>
          <w:szCs w:val="44"/>
          <w:lang w:val="en-US" w:eastAsia="zh-CN" w:bidi="ar-SA"/>
        </w:rPr>
      </w:pPr>
    </w:p>
    <w:p w14:paraId="5972E5E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b w:val="0"/>
          <w:bCs w:val="0"/>
          <w:kern w:val="2"/>
          <w:sz w:val="44"/>
          <w:szCs w:val="44"/>
          <w:lang w:val="en-US" w:eastAsia="zh-CN" w:bidi="ar-SA"/>
        </w:rPr>
      </w:pPr>
      <w:r>
        <w:rPr>
          <w:rFonts w:hint="eastAsia" w:ascii="Times New Roman" w:hAnsi="Times New Roman" w:eastAsia="方正小标宋_GBK" w:cs="Times New Roman"/>
          <w:b w:val="0"/>
          <w:bCs w:val="0"/>
          <w:kern w:val="2"/>
          <w:sz w:val="44"/>
          <w:szCs w:val="44"/>
          <w:lang w:val="en-US" w:eastAsia="zh-CN" w:bidi="ar-SA"/>
        </w:rPr>
        <w:t>第三部分  名词解释</w:t>
      </w:r>
      <w:bookmarkEnd w:id="45"/>
      <w:bookmarkEnd w:id="46"/>
    </w:p>
    <w:p w14:paraId="6CD77FC7">
      <w:pPr>
        <w:spacing w:line="600" w:lineRule="exact"/>
        <w:jc w:val="left"/>
        <w:rPr>
          <w:b/>
          <w:sz w:val="44"/>
          <w:szCs w:val="44"/>
        </w:rPr>
      </w:pPr>
    </w:p>
    <w:p w14:paraId="19AA87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1.财政拨款收入：指单位从同级财政部门取得的财政预算资金。</w:t>
      </w:r>
    </w:p>
    <w:p w14:paraId="7FAA344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kern w:val="0"/>
          <w:sz w:val="32"/>
          <w:szCs w:val="32"/>
          <w:lang w:val="en-US" w:eastAsia="zh-CN" w:bidi="ar"/>
        </w:rPr>
      </w:pPr>
      <w:r>
        <w:rPr>
          <w:rFonts w:hint="default" w:ascii="Times New Roman" w:hAnsi="Times New Roman" w:eastAsia="方正仿宋_GBK" w:cs="Times New Roman"/>
          <w:kern w:val="0"/>
          <w:sz w:val="32"/>
          <w:szCs w:val="32"/>
          <w:lang w:val="en-US" w:eastAsia="zh-CN" w:bidi="ar"/>
        </w:rPr>
        <w:t>2. 社会保障和就业</w:t>
      </w:r>
      <w:r>
        <w:rPr>
          <w:rFonts w:hint="eastAsia" w:ascii="Times New Roman" w:hAnsi="Times New Roman" w:eastAsia="方正仿宋_GBK" w:cs="Times New Roman"/>
          <w:kern w:val="0"/>
          <w:sz w:val="32"/>
          <w:szCs w:val="32"/>
          <w:lang w:val="en-US" w:eastAsia="zh-CN" w:bidi="ar"/>
        </w:rPr>
        <w:t>支出</w:t>
      </w:r>
      <w:r>
        <w:rPr>
          <w:rFonts w:hint="default" w:ascii="Times New Roman" w:hAnsi="Times New Roman" w:eastAsia="方正仿宋_GBK" w:cs="Times New Roman"/>
          <w:kern w:val="0"/>
          <w:sz w:val="32"/>
          <w:szCs w:val="32"/>
          <w:lang w:val="en-US" w:eastAsia="zh-CN" w:bidi="ar"/>
        </w:rPr>
        <w:t>（类）行政事业单位养老支出（款）事业单位离退休（项）：反映事业单位开支的离退休经费。</w:t>
      </w:r>
    </w:p>
    <w:p w14:paraId="1A924B8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kern w:val="0"/>
          <w:sz w:val="32"/>
          <w:szCs w:val="32"/>
          <w:lang w:val="en-US" w:eastAsia="zh-CN" w:bidi="ar"/>
        </w:rPr>
      </w:pPr>
      <w:r>
        <w:rPr>
          <w:rFonts w:hint="default" w:ascii="Times New Roman" w:hAnsi="Times New Roman" w:eastAsia="方正仿宋_GBK" w:cs="Times New Roman"/>
          <w:kern w:val="0"/>
          <w:sz w:val="32"/>
          <w:szCs w:val="32"/>
          <w:lang w:val="en-US" w:eastAsia="zh-CN" w:bidi="ar"/>
        </w:rPr>
        <w:t>3.社会保障和就业</w:t>
      </w:r>
      <w:r>
        <w:rPr>
          <w:rFonts w:hint="eastAsia" w:ascii="Times New Roman" w:hAnsi="Times New Roman" w:eastAsia="方正仿宋_GBK" w:cs="Times New Roman"/>
          <w:kern w:val="0"/>
          <w:sz w:val="32"/>
          <w:szCs w:val="32"/>
          <w:lang w:val="en-US" w:eastAsia="zh-CN" w:bidi="ar"/>
        </w:rPr>
        <w:t>支出</w:t>
      </w:r>
      <w:r>
        <w:rPr>
          <w:rFonts w:hint="default" w:ascii="Times New Roman" w:hAnsi="Times New Roman" w:eastAsia="方正仿宋_GBK" w:cs="Times New Roman"/>
          <w:kern w:val="0"/>
          <w:sz w:val="32"/>
          <w:szCs w:val="32"/>
          <w:lang w:val="en-US" w:eastAsia="zh-CN" w:bidi="ar"/>
        </w:rPr>
        <w:t>（类）行政事业单位养老支出（款）机关事业单位基本养老保险缴费支出（项）：反映机关事业单位实施养老保险制度由单位缴纳的基本</w:t>
      </w:r>
      <w:r>
        <w:rPr>
          <w:rFonts w:hint="eastAsia" w:eastAsia="方正仿宋_GBK" w:cs="Times New Roman"/>
          <w:kern w:val="0"/>
          <w:sz w:val="32"/>
          <w:szCs w:val="32"/>
          <w:lang w:val="en-US" w:eastAsia="zh-CN" w:bidi="ar"/>
        </w:rPr>
        <w:t>养老</w:t>
      </w:r>
      <w:r>
        <w:rPr>
          <w:rFonts w:hint="default" w:ascii="Times New Roman" w:hAnsi="Times New Roman" w:eastAsia="方正仿宋_GBK" w:cs="Times New Roman"/>
          <w:kern w:val="0"/>
          <w:sz w:val="32"/>
          <w:szCs w:val="32"/>
          <w:lang w:val="en-US" w:eastAsia="zh-CN" w:bidi="ar"/>
        </w:rPr>
        <w:t>保险费支出。</w:t>
      </w:r>
    </w:p>
    <w:p w14:paraId="55281D8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4.</w:t>
      </w:r>
      <w:r>
        <w:rPr>
          <w:rFonts w:hint="default" w:ascii="Times New Roman" w:hAnsi="Times New Roman" w:eastAsia="方正仿宋_GBK" w:cs="Times New Roman"/>
          <w:kern w:val="0"/>
          <w:sz w:val="32"/>
          <w:szCs w:val="32"/>
          <w:lang w:val="en-US" w:eastAsia="zh-CN" w:bidi="ar"/>
        </w:rPr>
        <w:t>社会保障和就业支出（类）行政事业单位养老支出（款）机关事业单位职业年金缴费支出（项）</w:t>
      </w:r>
      <w:r>
        <w:rPr>
          <w:rFonts w:hint="eastAsia" w:ascii="Times New Roman" w:hAnsi="Times New Roman" w:eastAsia="方正仿宋_GBK" w:cs="Times New Roman"/>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反映机关事业单位实施养老保险制度由单位</w:t>
      </w:r>
      <w:r>
        <w:rPr>
          <w:rFonts w:hint="eastAsia" w:ascii="Times New Roman" w:hAnsi="Times New Roman" w:eastAsia="方正仿宋_GBK" w:cs="Times New Roman"/>
          <w:kern w:val="0"/>
          <w:sz w:val="32"/>
          <w:szCs w:val="32"/>
          <w:lang w:val="en-US" w:eastAsia="zh-CN" w:bidi="ar"/>
        </w:rPr>
        <w:t>实际</w:t>
      </w:r>
      <w:r>
        <w:rPr>
          <w:rFonts w:hint="default" w:ascii="Times New Roman" w:hAnsi="Times New Roman" w:eastAsia="方正仿宋_GBK" w:cs="Times New Roman"/>
          <w:kern w:val="0"/>
          <w:sz w:val="32"/>
          <w:szCs w:val="32"/>
          <w:lang w:val="en-US" w:eastAsia="zh-CN" w:bidi="ar"/>
        </w:rPr>
        <w:t>缴纳的</w:t>
      </w:r>
      <w:r>
        <w:rPr>
          <w:rFonts w:hint="eastAsia" w:ascii="Times New Roman" w:hAnsi="Times New Roman" w:eastAsia="方正仿宋_GBK" w:cs="Times New Roman"/>
          <w:kern w:val="0"/>
          <w:sz w:val="32"/>
          <w:szCs w:val="32"/>
          <w:lang w:val="en-US" w:eastAsia="zh-CN" w:bidi="ar"/>
        </w:rPr>
        <w:t>职业年金</w:t>
      </w:r>
      <w:r>
        <w:rPr>
          <w:rFonts w:hint="default" w:ascii="Times New Roman" w:hAnsi="Times New Roman" w:eastAsia="方正仿宋_GBK" w:cs="Times New Roman"/>
          <w:kern w:val="0"/>
          <w:sz w:val="32"/>
          <w:szCs w:val="32"/>
          <w:lang w:val="en-US" w:eastAsia="zh-CN" w:bidi="ar"/>
        </w:rPr>
        <w:t>支出</w:t>
      </w:r>
      <w:r>
        <w:rPr>
          <w:rFonts w:hint="eastAsia" w:ascii="Times New Roman" w:hAnsi="Times New Roman" w:eastAsia="方正仿宋_GBK" w:cs="Times New Roman"/>
          <w:kern w:val="0"/>
          <w:sz w:val="32"/>
          <w:szCs w:val="32"/>
          <w:lang w:val="en-US" w:eastAsia="zh-CN" w:bidi="ar"/>
        </w:rPr>
        <w:t>（含职业年金补记支出）</w:t>
      </w:r>
      <w:r>
        <w:rPr>
          <w:rFonts w:hint="default" w:ascii="Times New Roman" w:hAnsi="Times New Roman" w:eastAsia="方正仿宋_GBK" w:cs="Times New Roman"/>
          <w:kern w:val="0"/>
          <w:sz w:val="32"/>
          <w:szCs w:val="32"/>
          <w:lang w:val="en-US" w:eastAsia="zh-CN" w:bidi="ar"/>
        </w:rPr>
        <w:t>。</w:t>
      </w:r>
    </w:p>
    <w:p w14:paraId="1947212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5</w:t>
      </w:r>
      <w:r>
        <w:rPr>
          <w:rFonts w:hint="default" w:ascii="Times New Roman" w:hAnsi="Times New Roman" w:eastAsia="方正仿宋_GBK" w:cs="Times New Roman"/>
          <w:kern w:val="0"/>
          <w:sz w:val="32"/>
          <w:szCs w:val="32"/>
          <w:lang w:val="en-US" w:eastAsia="zh-CN" w:bidi="ar"/>
        </w:rPr>
        <w:t>.社会保障和就业</w:t>
      </w:r>
      <w:r>
        <w:rPr>
          <w:rFonts w:hint="eastAsia" w:ascii="Times New Roman" w:hAnsi="Times New Roman" w:eastAsia="方正仿宋_GBK" w:cs="Times New Roman"/>
          <w:kern w:val="0"/>
          <w:sz w:val="32"/>
          <w:szCs w:val="32"/>
          <w:lang w:val="en-US" w:eastAsia="zh-CN" w:bidi="ar"/>
        </w:rPr>
        <w:t>支出</w:t>
      </w:r>
      <w:r>
        <w:rPr>
          <w:rFonts w:hint="default" w:ascii="Times New Roman" w:hAnsi="Times New Roman" w:eastAsia="方正仿宋_GBK" w:cs="Times New Roman"/>
          <w:kern w:val="0"/>
          <w:sz w:val="32"/>
          <w:szCs w:val="32"/>
          <w:lang w:val="en-US" w:eastAsia="zh-CN" w:bidi="ar"/>
        </w:rPr>
        <w:t>（类）社会福利（款）社会福利事业单位（项）：反映民政部门举办的社会福利事业单位的支出，以及对集体社会福利事业单位的补助费。</w:t>
      </w:r>
    </w:p>
    <w:p w14:paraId="72AD4FC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6</w:t>
      </w:r>
      <w:r>
        <w:rPr>
          <w:rFonts w:hint="default" w:ascii="Times New Roman" w:hAnsi="Times New Roman" w:eastAsia="方正仿宋_GBK" w:cs="Times New Roman"/>
          <w:kern w:val="0"/>
          <w:sz w:val="32"/>
          <w:szCs w:val="32"/>
          <w:lang w:val="en-US" w:eastAsia="zh-CN" w:bidi="ar"/>
        </w:rPr>
        <w:t>.社会保障和就业</w:t>
      </w:r>
      <w:r>
        <w:rPr>
          <w:rFonts w:hint="eastAsia" w:ascii="Times New Roman" w:hAnsi="Times New Roman" w:eastAsia="方正仿宋_GBK" w:cs="Times New Roman"/>
          <w:kern w:val="0"/>
          <w:sz w:val="32"/>
          <w:szCs w:val="32"/>
          <w:lang w:val="en-US" w:eastAsia="zh-CN" w:bidi="ar"/>
        </w:rPr>
        <w:t>支出</w:t>
      </w:r>
      <w:r>
        <w:rPr>
          <w:rFonts w:hint="default" w:ascii="Times New Roman" w:hAnsi="Times New Roman" w:eastAsia="方正仿宋_GBK" w:cs="Times New Roman"/>
          <w:kern w:val="0"/>
          <w:sz w:val="32"/>
          <w:szCs w:val="32"/>
          <w:lang w:val="en-US" w:eastAsia="zh-CN" w:bidi="ar"/>
        </w:rPr>
        <w:t>（类）社会福利（款）</w:t>
      </w:r>
      <w:r>
        <w:rPr>
          <w:rFonts w:hint="eastAsia" w:ascii="Times New Roman" w:hAnsi="Times New Roman" w:eastAsia="方正仿宋_GBK" w:cs="Times New Roman"/>
          <w:kern w:val="0"/>
          <w:sz w:val="32"/>
          <w:szCs w:val="32"/>
          <w:lang w:val="en-US" w:eastAsia="zh-CN" w:bidi="ar"/>
        </w:rPr>
        <w:t>养老服务</w:t>
      </w:r>
      <w:r>
        <w:rPr>
          <w:rFonts w:hint="default" w:ascii="Times New Roman" w:hAnsi="Times New Roman" w:eastAsia="方正仿宋_GBK" w:cs="Times New Roman"/>
          <w:kern w:val="0"/>
          <w:sz w:val="32"/>
          <w:szCs w:val="32"/>
          <w:lang w:val="en-US" w:eastAsia="zh-CN" w:bidi="ar"/>
        </w:rPr>
        <w:t>（项）</w:t>
      </w:r>
      <w:r>
        <w:rPr>
          <w:rFonts w:hint="eastAsia" w:ascii="Times New Roman" w:hAnsi="Times New Roman" w:eastAsia="方正仿宋_GBK" w:cs="Times New Roman"/>
          <w:kern w:val="0"/>
          <w:sz w:val="32"/>
          <w:szCs w:val="32"/>
          <w:lang w:val="en-US" w:eastAsia="zh-CN" w:bidi="ar"/>
        </w:rPr>
        <w:t>：反映财政在养老服务方面的补助支出，包括支持居家养老服务、社区养老服务和机构养老服务的支出，对养老服务机构的运营、建设补助支出等，不包括对</w:t>
      </w:r>
      <w:r>
        <w:rPr>
          <w:rFonts w:hint="default" w:ascii="Times New Roman" w:hAnsi="Times New Roman" w:eastAsia="方正仿宋_GBK" w:cs="Times New Roman"/>
          <w:kern w:val="0"/>
          <w:sz w:val="32"/>
          <w:szCs w:val="32"/>
          <w:lang w:val="en-US" w:eastAsia="zh-CN" w:bidi="ar"/>
        </w:rPr>
        <w:t>社会福利事业单位</w:t>
      </w:r>
      <w:r>
        <w:rPr>
          <w:rFonts w:hint="eastAsia" w:ascii="Times New Roman" w:hAnsi="Times New Roman" w:eastAsia="方正仿宋_GBK" w:cs="Times New Roman"/>
          <w:kern w:val="0"/>
          <w:sz w:val="32"/>
          <w:szCs w:val="32"/>
          <w:lang w:val="en-US" w:eastAsia="zh-CN" w:bidi="ar"/>
        </w:rPr>
        <w:t>的补助支出。</w:t>
      </w:r>
    </w:p>
    <w:p w14:paraId="4E1A001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7.</w:t>
      </w:r>
      <w:r>
        <w:rPr>
          <w:rFonts w:hint="default" w:ascii="Times New Roman" w:hAnsi="Times New Roman" w:eastAsia="方正仿宋_GBK" w:cs="Times New Roman"/>
          <w:kern w:val="0"/>
          <w:sz w:val="32"/>
          <w:szCs w:val="32"/>
          <w:lang w:val="en-US" w:eastAsia="zh-CN" w:bidi="ar"/>
        </w:rPr>
        <w:t>社会保障和就业</w:t>
      </w:r>
      <w:r>
        <w:rPr>
          <w:rFonts w:hint="eastAsia" w:ascii="Times New Roman" w:hAnsi="Times New Roman" w:eastAsia="方正仿宋_GBK" w:cs="Times New Roman"/>
          <w:kern w:val="0"/>
          <w:sz w:val="32"/>
          <w:szCs w:val="32"/>
          <w:lang w:val="en-US" w:eastAsia="zh-CN" w:bidi="ar"/>
        </w:rPr>
        <w:t>支出</w:t>
      </w:r>
      <w:r>
        <w:rPr>
          <w:rFonts w:hint="default" w:ascii="Times New Roman" w:hAnsi="Times New Roman" w:eastAsia="方正仿宋_GBK" w:cs="Times New Roman"/>
          <w:kern w:val="0"/>
          <w:sz w:val="32"/>
          <w:szCs w:val="32"/>
          <w:lang w:val="en-US" w:eastAsia="zh-CN" w:bidi="ar"/>
        </w:rPr>
        <w:t>（类）</w:t>
      </w:r>
      <w:r>
        <w:rPr>
          <w:rFonts w:hint="eastAsia" w:ascii="Times New Roman" w:hAnsi="Times New Roman" w:eastAsia="方正仿宋_GBK" w:cs="Times New Roman"/>
          <w:kern w:val="0"/>
          <w:sz w:val="32"/>
          <w:szCs w:val="32"/>
          <w:lang w:val="en-US" w:eastAsia="zh-CN" w:bidi="ar"/>
        </w:rPr>
        <w:t>特困人员救助供养（款） 城市特困人员救助供养支出（项）</w:t>
      </w:r>
      <w:r>
        <w:rPr>
          <w:rFonts w:hint="default" w:ascii="Times New Roman" w:hAnsi="Times New Roman" w:eastAsia="方正仿宋_GBK" w:cs="Times New Roman"/>
          <w:kern w:val="0"/>
          <w:sz w:val="32"/>
          <w:szCs w:val="32"/>
          <w:lang w:val="en-US" w:eastAsia="zh-CN" w:bidi="ar"/>
        </w:rPr>
        <w:t>：</w:t>
      </w:r>
      <w:r>
        <w:rPr>
          <w:rFonts w:hint="eastAsia" w:ascii="Times New Roman" w:hAnsi="Times New Roman" w:eastAsia="方正仿宋_GBK" w:cs="Times New Roman"/>
          <w:kern w:val="0"/>
          <w:sz w:val="32"/>
          <w:szCs w:val="32"/>
          <w:lang w:val="en-US" w:eastAsia="zh-CN" w:bidi="ar"/>
        </w:rPr>
        <w:t>反映城市特困人员救助供养支出。</w:t>
      </w:r>
    </w:p>
    <w:p w14:paraId="7D0EB45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8</w:t>
      </w:r>
      <w:r>
        <w:rPr>
          <w:rFonts w:hint="default" w:ascii="Times New Roman" w:hAnsi="Times New Roman" w:eastAsia="方正仿宋_GBK" w:cs="Times New Roman"/>
          <w:kern w:val="0"/>
          <w:sz w:val="32"/>
          <w:szCs w:val="32"/>
          <w:lang w:val="en-US" w:eastAsia="zh-CN" w:bidi="ar"/>
        </w:rPr>
        <w:t>.</w:t>
      </w:r>
      <w:r>
        <w:rPr>
          <w:rFonts w:hint="eastAsia" w:ascii="Times New Roman" w:hAnsi="Times New Roman" w:eastAsia="方正仿宋_GBK" w:cs="Times New Roman"/>
          <w:kern w:val="0"/>
          <w:sz w:val="32"/>
          <w:szCs w:val="32"/>
          <w:lang w:val="en-US" w:eastAsia="zh-CN" w:bidi="ar"/>
        </w:rPr>
        <w:t>卫生健康支出</w:t>
      </w:r>
      <w:r>
        <w:rPr>
          <w:rFonts w:hint="default" w:ascii="Times New Roman" w:hAnsi="Times New Roman" w:eastAsia="方正仿宋_GBK" w:cs="Times New Roman"/>
          <w:kern w:val="0"/>
          <w:sz w:val="32"/>
          <w:szCs w:val="32"/>
          <w:lang w:val="en-US" w:eastAsia="zh-CN" w:bidi="ar"/>
        </w:rPr>
        <w:t>（类）行政事业单位医疗（款） 事业单位医疗（项）</w:t>
      </w:r>
      <w:r>
        <w:rPr>
          <w:rFonts w:hint="eastAsia" w:ascii="Times New Roman" w:hAnsi="Times New Roman" w:eastAsia="方正仿宋_GBK" w:cs="Times New Roman"/>
          <w:kern w:val="0"/>
          <w:sz w:val="32"/>
          <w:szCs w:val="32"/>
          <w:lang w:val="en-US" w:eastAsia="zh-CN" w:bidi="ar"/>
        </w:rPr>
        <w:t>：反映财政部门安排的事业单位基本医疗保险缴费经费，未参加医疗保险的事业单位的公费医疗经费，按国家规定享受离休人员待遇医疗经费。</w:t>
      </w:r>
    </w:p>
    <w:p w14:paraId="4310C60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9.卫生健康支出</w:t>
      </w:r>
      <w:r>
        <w:rPr>
          <w:rFonts w:hint="default" w:ascii="Times New Roman" w:hAnsi="Times New Roman" w:eastAsia="方正仿宋_GBK" w:cs="Times New Roman"/>
          <w:kern w:val="0"/>
          <w:sz w:val="32"/>
          <w:szCs w:val="32"/>
          <w:lang w:val="en-US" w:eastAsia="zh-CN" w:bidi="ar"/>
        </w:rPr>
        <w:t xml:space="preserve">（类）行政事业单位医疗（款） </w:t>
      </w:r>
      <w:r>
        <w:rPr>
          <w:rFonts w:hint="eastAsia" w:ascii="Times New Roman" w:hAnsi="Times New Roman" w:eastAsia="方正仿宋_GBK" w:cs="Times New Roman"/>
          <w:kern w:val="0"/>
          <w:sz w:val="32"/>
          <w:szCs w:val="32"/>
          <w:lang w:val="en-US" w:eastAsia="zh-CN" w:bidi="ar"/>
        </w:rPr>
        <w:t>公务员医疗补助</w:t>
      </w:r>
      <w:r>
        <w:rPr>
          <w:rFonts w:hint="default" w:ascii="Times New Roman" w:hAnsi="Times New Roman" w:eastAsia="方正仿宋_GBK" w:cs="Times New Roman"/>
          <w:kern w:val="0"/>
          <w:sz w:val="32"/>
          <w:szCs w:val="32"/>
          <w:lang w:val="en-US" w:eastAsia="zh-CN" w:bidi="ar"/>
        </w:rPr>
        <w:t>（项）</w:t>
      </w:r>
      <w:r>
        <w:rPr>
          <w:rFonts w:hint="eastAsia" w:ascii="Times New Roman" w:hAnsi="Times New Roman" w:eastAsia="方正仿宋_GBK" w:cs="Times New Roman"/>
          <w:kern w:val="0"/>
          <w:sz w:val="32"/>
          <w:szCs w:val="32"/>
          <w:lang w:val="en-US" w:eastAsia="zh-CN" w:bidi="ar"/>
        </w:rPr>
        <w:t>：反映财政部门安排的公务员医疗补助经费。</w:t>
      </w:r>
    </w:p>
    <w:p w14:paraId="53B541E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10</w:t>
      </w:r>
      <w:r>
        <w:rPr>
          <w:rFonts w:hint="default" w:ascii="Times New Roman" w:hAnsi="Times New Roman" w:eastAsia="方正仿宋_GBK" w:cs="Times New Roman"/>
          <w:kern w:val="0"/>
          <w:sz w:val="32"/>
          <w:szCs w:val="32"/>
          <w:lang w:val="en-US" w:eastAsia="zh-CN" w:bidi="ar"/>
        </w:rPr>
        <w:t>.</w:t>
      </w:r>
      <w:r>
        <w:rPr>
          <w:rFonts w:hint="eastAsia" w:ascii="Times New Roman" w:hAnsi="Times New Roman" w:eastAsia="方正仿宋_GBK" w:cs="Times New Roman"/>
          <w:kern w:val="0"/>
          <w:sz w:val="32"/>
          <w:szCs w:val="32"/>
          <w:lang w:val="en-US" w:eastAsia="zh-CN" w:bidi="ar"/>
        </w:rPr>
        <w:t>卫生健康支出</w:t>
      </w:r>
      <w:r>
        <w:rPr>
          <w:rFonts w:hint="default" w:ascii="Times New Roman" w:hAnsi="Times New Roman" w:eastAsia="方正仿宋_GBK" w:cs="Times New Roman"/>
          <w:kern w:val="0"/>
          <w:sz w:val="32"/>
          <w:szCs w:val="32"/>
          <w:lang w:val="en-US" w:eastAsia="zh-CN" w:bidi="ar"/>
        </w:rPr>
        <w:t xml:space="preserve">（类）行政事业单位医疗（款） </w:t>
      </w:r>
      <w:r>
        <w:rPr>
          <w:rFonts w:hint="eastAsia" w:ascii="Times New Roman" w:hAnsi="Times New Roman" w:eastAsia="方正仿宋_GBK" w:cs="Times New Roman"/>
          <w:kern w:val="0"/>
          <w:sz w:val="32"/>
          <w:szCs w:val="32"/>
          <w:lang w:val="en-US" w:eastAsia="zh-CN" w:bidi="ar"/>
        </w:rPr>
        <w:t>其他行政</w:t>
      </w:r>
      <w:r>
        <w:rPr>
          <w:rFonts w:hint="default" w:ascii="Times New Roman" w:hAnsi="Times New Roman" w:eastAsia="方正仿宋_GBK" w:cs="Times New Roman"/>
          <w:kern w:val="0"/>
          <w:sz w:val="32"/>
          <w:szCs w:val="32"/>
          <w:lang w:val="en-US" w:eastAsia="zh-CN" w:bidi="ar"/>
        </w:rPr>
        <w:t>事业单位医疗</w:t>
      </w:r>
      <w:r>
        <w:rPr>
          <w:rFonts w:hint="eastAsia" w:ascii="Times New Roman" w:hAnsi="Times New Roman" w:eastAsia="方正仿宋_GBK" w:cs="Times New Roman"/>
          <w:kern w:val="0"/>
          <w:sz w:val="32"/>
          <w:szCs w:val="32"/>
          <w:lang w:val="en-US" w:eastAsia="zh-CN" w:bidi="ar"/>
        </w:rPr>
        <w:t>支出</w:t>
      </w:r>
      <w:r>
        <w:rPr>
          <w:rFonts w:hint="default" w:ascii="Times New Roman" w:hAnsi="Times New Roman" w:eastAsia="方正仿宋_GBK" w:cs="Times New Roman"/>
          <w:kern w:val="0"/>
          <w:sz w:val="32"/>
          <w:szCs w:val="32"/>
          <w:lang w:val="en-US" w:eastAsia="zh-CN" w:bidi="ar"/>
        </w:rPr>
        <w:t>（项）</w:t>
      </w:r>
      <w:r>
        <w:rPr>
          <w:rFonts w:hint="eastAsia" w:ascii="Times New Roman" w:hAnsi="Times New Roman" w:eastAsia="方正仿宋_GBK" w:cs="Times New Roman"/>
          <w:kern w:val="0"/>
          <w:sz w:val="32"/>
          <w:szCs w:val="32"/>
          <w:lang w:val="en-US" w:eastAsia="zh-CN" w:bidi="ar"/>
        </w:rPr>
        <w:t>：反映除上述项目以外的其他用于行政</w:t>
      </w:r>
      <w:r>
        <w:rPr>
          <w:rFonts w:hint="default" w:ascii="Times New Roman" w:hAnsi="Times New Roman" w:eastAsia="方正仿宋_GBK" w:cs="Times New Roman"/>
          <w:kern w:val="0"/>
          <w:sz w:val="32"/>
          <w:szCs w:val="32"/>
          <w:lang w:val="en-US" w:eastAsia="zh-CN" w:bidi="ar"/>
        </w:rPr>
        <w:t>事业单位医疗</w:t>
      </w:r>
      <w:r>
        <w:rPr>
          <w:rFonts w:hint="eastAsia" w:ascii="Times New Roman" w:hAnsi="Times New Roman" w:eastAsia="方正仿宋_GBK" w:cs="Times New Roman"/>
          <w:kern w:val="0"/>
          <w:sz w:val="32"/>
          <w:szCs w:val="32"/>
          <w:lang w:val="en-US" w:eastAsia="zh-CN" w:bidi="ar"/>
        </w:rPr>
        <w:t>方面的支出。</w:t>
      </w:r>
    </w:p>
    <w:p w14:paraId="22480E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11</w:t>
      </w:r>
      <w:r>
        <w:rPr>
          <w:rFonts w:hint="default" w:ascii="Times New Roman" w:hAnsi="Times New Roman" w:eastAsia="方正仿宋_GBK" w:cs="Times New Roman"/>
          <w:kern w:val="0"/>
          <w:sz w:val="32"/>
          <w:szCs w:val="32"/>
          <w:lang w:val="en-US" w:eastAsia="zh-CN" w:bidi="ar"/>
        </w:rPr>
        <w:t>.住房保障支出（类）住房改革支出（款）住房公积金（项）</w:t>
      </w:r>
      <w:r>
        <w:rPr>
          <w:rFonts w:hint="eastAsia" w:ascii="Times New Roman" w:hAnsi="Times New Roman" w:eastAsia="方正仿宋_GBK" w:cs="Times New Roman"/>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反映行政事业单位按人力资源和社</w:t>
      </w:r>
      <w:r>
        <w:rPr>
          <w:rFonts w:hint="eastAsia" w:ascii="Times New Roman" w:hAnsi="Times New Roman" w:eastAsia="方正仿宋_GBK" w:cs="Times New Roman"/>
          <w:kern w:val="0"/>
          <w:sz w:val="32"/>
          <w:szCs w:val="32"/>
          <w:lang w:val="en-US" w:eastAsia="zh-CN" w:bidi="ar"/>
        </w:rPr>
        <w:t>会</w:t>
      </w:r>
      <w:r>
        <w:rPr>
          <w:rFonts w:hint="default" w:ascii="Times New Roman" w:hAnsi="Times New Roman" w:eastAsia="方正仿宋_GBK" w:cs="Times New Roman"/>
          <w:kern w:val="0"/>
          <w:sz w:val="32"/>
          <w:szCs w:val="32"/>
          <w:lang w:val="en-US" w:eastAsia="zh-CN" w:bidi="ar"/>
        </w:rPr>
        <w:t>保障部、财政部规定的基本工资和津贴补贴以及规定比例为职工缴纳的住房公积金。</w:t>
      </w:r>
    </w:p>
    <w:p w14:paraId="6BA83EC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12.基本支出：指为保障机构正常运转、完成日常工作任务而发生的人员支出和公用支出。</w:t>
      </w:r>
    </w:p>
    <w:p w14:paraId="089F23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 xml:space="preserve">13.项目支出：指在基本支出之外为完成特定行政任务和事业发展目标所发生的支出。 </w:t>
      </w:r>
    </w:p>
    <w:p w14:paraId="04BDA3E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kern w:val="0"/>
          <w:sz w:val="32"/>
          <w:szCs w:val="32"/>
          <w:lang w:val="en-US" w:eastAsia="zh-CN" w:bidi="ar"/>
        </w:rPr>
      </w:pPr>
      <w:r>
        <w:rPr>
          <w:rFonts w:hint="eastAsia" w:ascii="Times New Roman" w:hAnsi="Times New Roman" w:eastAsia="方正仿宋_GBK" w:cs="Times New Roman"/>
          <w:kern w:val="0"/>
          <w:sz w:val="32"/>
          <w:szCs w:val="32"/>
          <w:lang w:val="en-US" w:eastAsia="zh-CN" w:bidi="ar"/>
        </w:rPr>
        <w:t>14.“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F8F1429">
      <w:pPr>
        <w:spacing w:line="600" w:lineRule="exact"/>
        <w:jc w:val="center"/>
        <w:rPr>
          <w:rStyle w:val="30"/>
          <w:rFonts w:eastAsia="黑体"/>
          <w:b w:val="0"/>
        </w:rPr>
      </w:pPr>
      <w:bookmarkStart w:id="47" w:name="_Toc15377226"/>
      <w:r>
        <w:rPr>
          <w:rFonts w:hint="eastAsia" w:ascii="Times New Roman" w:hAnsi="Times New Roman" w:eastAsia="方正仿宋_GBK" w:cs="Times New Roman"/>
          <w:kern w:val="0"/>
          <w:sz w:val="32"/>
          <w:szCs w:val="32"/>
          <w:lang w:val="en-US" w:eastAsia="zh-CN" w:bidi="ar"/>
        </w:rPr>
        <w:br w:type="page"/>
      </w:r>
      <w:bookmarkStart w:id="48" w:name="_Toc15396614"/>
      <w:r>
        <w:rPr>
          <w:rFonts w:hint="eastAsia" w:ascii="Times New Roman" w:hAnsi="Times New Roman" w:eastAsia="方正小标宋_GBK" w:cs="Times New Roman"/>
          <w:b w:val="0"/>
          <w:bCs w:val="0"/>
          <w:kern w:val="2"/>
          <w:sz w:val="44"/>
          <w:szCs w:val="44"/>
          <w:lang w:val="en-US" w:eastAsia="zh-CN" w:bidi="ar-SA"/>
        </w:rPr>
        <w:t>第四部分  附件</w:t>
      </w:r>
      <w:bookmarkEnd w:id="48"/>
    </w:p>
    <w:p w14:paraId="3071E50E">
      <w:pPr>
        <w:pStyle w:val="9"/>
        <w:spacing w:line="560" w:lineRule="exact"/>
        <w:ind w:left="0" w:leftChars="0" w:firstLine="0" w:firstLineChars="0"/>
        <w:rPr>
          <w:rFonts w:hint="eastAsia" w:ascii="Times New Roman" w:hAnsi="Times New Roman" w:eastAsia="方正仿宋_GBK" w:cs="Times New Roman"/>
          <w:kern w:val="0"/>
          <w:sz w:val="32"/>
          <w:szCs w:val="32"/>
          <w:lang w:val="en-US" w:eastAsia="zh-CN" w:bidi="ar"/>
        </w:rPr>
      </w:pPr>
    </w:p>
    <w:p w14:paraId="0A301FA8">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626" w:firstLineChars="200"/>
        <w:textAlignment w:val="auto"/>
        <w:rPr>
          <w:rFonts w:hint="eastAsia" w:ascii="Times New Roman" w:hAnsi="Times New Roman" w:eastAsia="方正仿宋_GBK" w:cs="Times New Roman"/>
          <w:w w:val="90"/>
          <w:kern w:val="0"/>
          <w:sz w:val="32"/>
          <w:szCs w:val="32"/>
          <w:lang w:val="en-US" w:eastAsia="zh-CN" w:bidi="ar"/>
        </w:rPr>
      </w:pPr>
      <w:r>
        <w:rPr>
          <w:rFonts w:hint="eastAsia" w:ascii="Times New Roman" w:eastAsia="方正仿宋_GBK" w:cs="Times New Roman"/>
          <w:w w:val="98"/>
          <w:kern w:val="0"/>
          <w:sz w:val="32"/>
          <w:szCs w:val="32"/>
          <w:lang w:val="en-US" w:eastAsia="zh-CN" w:bidi="ar"/>
        </w:rPr>
        <w:t>单位</w:t>
      </w:r>
      <w:r>
        <w:rPr>
          <w:rFonts w:hint="eastAsia" w:ascii="Times New Roman" w:hAnsi="Times New Roman" w:eastAsia="方正仿宋_GBK" w:cs="Times New Roman"/>
          <w:w w:val="98"/>
          <w:kern w:val="0"/>
          <w:sz w:val="32"/>
          <w:szCs w:val="32"/>
          <w:lang w:val="en-US" w:eastAsia="zh-CN" w:bidi="ar"/>
        </w:rPr>
        <w:t>预算项目支出绩效自评表（2025年度）见附件3。</w:t>
      </w:r>
    </w:p>
    <w:p w14:paraId="7B512B78">
      <w:pPr>
        <w:spacing w:line="572" w:lineRule="exact"/>
        <w:jc w:val="left"/>
        <w:outlineLvl w:val="0"/>
        <w:rPr>
          <w:rFonts w:hint="eastAsia" w:ascii="Times New Roman" w:hAnsi="Times New Roman" w:eastAsia="方正仿宋_GBK" w:cs="Times New Roman"/>
          <w:kern w:val="0"/>
          <w:sz w:val="32"/>
          <w:szCs w:val="32"/>
          <w:lang w:val="en-US" w:eastAsia="zh-CN" w:bidi="ar"/>
        </w:rPr>
      </w:pPr>
    </w:p>
    <w:p w14:paraId="7946765E">
      <w:pPr>
        <w:pStyle w:val="15"/>
      </w:pPr>
    </w:p>
    <w:p w14:paraId="57AD9455">
      <w:pPr>
        <w:pStyle w:val="9"/>
        <w:spacing w:line="560" w:lineRule="exact"/>
        <w:ind w:left="0" w:leftChars="0" w:firstLine="0" w:firstLineChars="0"/>
        <w:rPr>
          <w:rFonts w:ascii="Times New Roman"/>
          <w:sz w:val="32"/>
          <w:highlight w:val="yellow"/>
          <w:lang w:val="zh-CN"/>
        </w:rPr>
      </w:pPr>
    </w:p>
    <w:p w14:paraId="500F5328">
      <w:pPr>
        <w:pStyle w:val="7"/>
        <w:spacing w:before="93"/>
        <w:rPr>
          <w:rFonts w:ascii="Times New Roman" w:cs="宋体"/>
          <w:color w:val="FF0000"/>
          <w:sz w:val="32"/>
          <w:szCs w:val="32"/>
          <w:highlight w:val="yellow"/>
          <w:shd w:val="clear" w:color="auto" w:fill="FFFFFF"/>
          <w:lang w:val="zh-CN"/>
        </w:rPr>
      </w:pPr>
    </w:p>
    <w:p w14:paraId="69C05473">
      <w:pPr>
        <w:rPr>
          <w:rFonts w:eastAsia="仿宋_GB2312" w:cs="仿宋_GB2312"/>
          <w:kern w:val="0"/>
          <w:sz w:val="32"/>
          <w:szCs w:val="32"/>
        </w:rPr>
      </w:pPr>
      <w:r>
        <w:rPr>
          <w:rFonts w:hint="eastAsia" w:eastAsia="黑体" w:cs="黑体"/>
          <w:kern w:val="0"/>
          <w:sz w:val="32"/>
          <w:szCs w:val="32"/>
          <w:shd w:val="clear" w:color="auto" w:fill="FFFFFF"/>
          <w:lang w:val="zh-CN"/>
        </w:rPr>
        <w:br w:type="page"/>
      </w:r>
      <w:bookmarkStart w:id="49" w:name="_Toc15396618"/>
    </w:p>
    <w:p w14:paraId="1427BCB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b w:val="0"/>
          <w:bCs w:val="0"/>
          <w:kern w:val="2"/>
          <w:sz w:val="44"/>
          <w:szCs w:val="44"/>
          <w:lang w:val="en-US" w:eastAsia="zh-CN" w:bidi="ar-SA"/>
        </w:rPr>
      </w:pPr>
      <w:r>
        <w:rPr>
          <w:rFonts w:hint="eastAsia" w:ascii="Times New Roman" w:hAnsi="Times New Roman" w:eastAsia="方正小标宋_GBK" w:cs="Times New Roman"/>
          <w:b w:val="0"/>
          <w:bCs w:val="0"/>
          <w:kern w:val="2"/>
          <w:sz w:val="44"/>
          <w:szCs w:val="44"/>
          <w:lang w:val="en-US" w:eastAsia="zh-CN" w:bidi="ar-SA"/>
        </w:rPr>
        <w:t>第五部分 附表</w:t>
      </w:r>
      <w:bookmarkEnd w:id="47"/>
      <w:bookmarkEnd w:id="49"/>
      <w:bookmarkStart w:id="50" w:name="_Toc15396619"/>
    </w:p>
    <w:p w14:paraId="6ED93331">
      <w:pPr>
        <w:pStyle w:val="16"/>
        <w:adjustRightInd w:val="0"/>
        <w:snapToGrid w:val="0"/>
        <w:spacing w:line="560" w:lineRule="exact"/>
        <w:jc w:val="left"/>
        <w:rPr>
          <w:rFonts w:eastAsia="仿宋_GB2312" w:cs="仿宋_GB2312"/>
          <w:sz w:val="32"/>
          <w:szCs w:val="32"/>
        </w:rPr>
      </w:pPr>
    </w:p>
    <w:p w14:paraId="33EA4772">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26" w:firstLineChars="200"/>
        <w:jc w:val="left"/>
        <w:textAlignment w:val="auto"/>
        <w:rPr>
          <w:rFonts w:hint="eastAsia" w:ascii="Times New Roman" w:hAnsi="Times New Roman" w:eastAsia="方正仿宋_GBK" w:cs="Times New Roman"/>
          <w:w w:val="98"/>
          <w:kern w:val="0"/>
          <w:sz w:val="32"/>
          <w:szCs w:val="32"/>
          <w:lang w:val="en-US" w:eastAsia="zh-CN" w:bidi="ar"/>
        </w:rPr>
      </w:pPr>
      <w:r>
        <w:rPr>
          <w:rFonts w:hint="eastAsia" w:ascii="Times New Roman" w:hAnsi="Times New Roman" w:eastAsia="方正仿宋_GBK" w:cs="Times New Roman"/>
          <w:w w:val="98"/>
          <w:kern w:val="0"/>
          <w:sz w:val="32"/>
          <w:szCs w:val="32"/>
          <w:lang w:val="en-US" w:eastAsia="zh-CN" w:bidi="ar"/>
        </w:rPr>
        <w:t>一、收入支出决算总表</w:t>
      </w:r>
      <w:bookmarkEnd w:id="50"/>
    </w:p>
    <w:p w14:paraId="2B13FD22">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26" w:firstLineChars="200"/>
        <w:jc w:val="left"/>
        <w:textAlignment w:val="auto"/>
        <w:rPr>
          <w:rFonts w:hint="eastAsia" w:ascii="Times New Roman" w:hAnsi="Times New Roman" w:eastAsia="方正仿宋_GBK" w:cs="Times New Roman"/>
          <w:w w:val="98"/>
          <w:kern w:val="0"/>
          <w:sz w:val="32"/>
          <w:szCs w:val="32"/>
          <w:lang w:val="en-US" w:eastAsia="zh-CN" w:bidi="ar"/>
        </w:rPr>
      </w:pPr>
      <w:bookmarkStart w:id="51" w:name="_Toc15396620"/>
      <w:r>
        <w:rPr>
          <w:rFonts w:hint="eastAsia" w:ascii="Times New Roman" w:hAnsi="Times New Roman" w:eastAsia="方正仿宋_GBK" w:cs="Times New Roman"/>
          <w:w w:val="98"/>
          <w:kern w:val="0"/>
          <w:sz w:val="32"/>
          <w:szCs w:val="32"/>
          <w:lang w:val="en-US" w:eastAsia="zh-CN" w:bidi="ar"/>
        </w:rPr>
        <w:t>二、收入决算表</w:t>
      </w:r>
      <w:bookmarkEnd w:id="51"/>
    </w:p>
    <w:p w14:paraId="494CAFCD">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26" w:firstLineChars="200"/>
        <w:jc w:val="left"/>
        <w:textAlignment w:val="auto"/>
        <w:rPr>
          <w:rFonts w:hint="eastAsia" w:ascii="Times New Roman" w:hAnsi="Times New Roman" w:eastAsia="方正仿宋_GBK" w:cs="Times New Roman"/>
          <w:w w:val="98"/>
          <w:kern w:val="0"/>
          <w:sz w:val="32"/>
          <w:szCs w:val="32"/>
          <w:lang w:val="en-US" w:eastAsia="zh-CN" w:bidi="ar"/>
        </w:rPr>
      </w:pPr>
      <w:bookmarkStart w:id="52" w:name="_Toc15396621"/>
      <w:r>
        <w:rPr>
          <w:rFonts w:hint="eastAsia" w:ascii="Times New Roman" w:hAnsi="Times New Roman" w:eastAsia="方正仿宋_GBK" w:cs="Times New Roman"/>
          <w:w w:val="98"/>
          <w:kern w:val="0"/>
          <w:sz w:val="32"/>
          <w:szCs w:val="32"/>
          <w:lang w:val="en-US" w:eastAsia="zh-CN" w:bidi="ar"/>
        </w:rPr>
        <w:t>三、支出决算表</w:t>
      </w:r>
      <w:bookmarkEnd w:id="52"/>
    </w:p>
    <w:p w14:paraId="6003C02E">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26" w:firstLineChars="200"/>
        <w:jc w:val="left"/>
        <w:textAlignment w:val="auto"/>
        <w:rPr>
          <w:rFonts w:hint="eastAsia" w:ascii="Times New Roman" w:hAnsi="Times New Roman" w:eastAsia="方正仿宋_GBK" w:cs="Times New Roman"/>
          <w:w w:val="98"/>
          <w:kern w:val="0"/>
          <w:sz w:val="32"/>
          <w:szCs w:val="32"/>
          <w:lang w:val="en-US" w:eastAsia="zh-CN" w:bidi="ar"/>
        </w:rPr>
      </w:pPr>
      <w:bookmarkStart w:id="53" w:name="_Toc15396622"/>
      <w:r>
        <w:rPr>
          <w:rFonts w:hint="eastAsia" w:ascii="Times New Roman" w:hAnsi="Times New Roman" w:eastAsia="方正仿宋_GBK" w:cs="Times New Roman"/>
          <w:w w:val="98"/>
          <w:kern w:val="0"/>
          <w:sz w:val="32"/>
          <w:szCs w:val="32"/>
          <w:lang w:val="en-US" w:eastAsia="zh-CN" w:bidi="ar"/>
        </w:rPr>
        <w:t>四、财政拨款收入支出决算总表</w:t>
      </w:r>
      <w:bookmarkEnd w:id="53"/>
    </w:p>
    <w:p w14:paraId="416F1D49">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26" w:firstLineChars="200"/>
        <w:jc w:val="left"/>
        <w:textAlignment w:val="auto"/>
        <w:rPr>
          <w:rFonts w:hint="eastAsia" w:ascii="Times New Roman" w:hAnsi="Times New Roman" w:eastAsia="方正仿宋_GBK" w:cs="Times New Roman"/>
          <w:w w:val="98"/>
          <w:kern w:val="0"/>
          <w:sz w:val="32"/>
          <w:szCs w:val="32"/>
          <w:lang w:val="en-US" w:eastAsia="zh-CN" w:bidi="ar"/>
        </w:rPr>
      </w:pPr>
      <w:bookmarkStart w:id="54" w:name="_Toc15396623"/>
      <w:r>
        <w:rPr>
          <w:rFonts w:hint="eastAsia" w:ascii="Times New Roman" w:hAnsi="Times New Roman" w:eastAsia="方正仿宋_GBK" w:cs="Times New Roman"/>
          <w:w w:val="98"/>
          <w:kern w:val="0"/>
          <w:sz w:val="32"/>
          <w:szCs w:val="32"/>
          <w:lang w:val="en-US" w:eastAsia="zh-CN" w:bidi="ar"/>
        </w:rPr>
        <w:t>五、财政拨款支出决算明细表</w:t>
      </w:r>
      <w:bookmarkEnd w:id="54"/>
      <w:bookmarkStart w:id="55" w:name="_Toc15396624"/>
    </w:p>
    <w:p w14:paraId="30E3FADE">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26" w:firstLineChars="200"/>
        <w:jc w:val="left"/>
        <w:textAlignment w:val="auto"/>
        <w:rPr>
          <w:rFonts w:hint="eastAsia" w:ascii="Times New Roman" w:hAnsi="Times New Roman" w:eastAsia="方正仿宋_GBK" w:cs="Times New Roman"/>
          <w:w w:val="98"/>
          <w:kern w:val="0"/>
          <w:sz w:val="32"/>
          <w:szCs w:val="32"/>
          <w:lang w:val="en-US" w:eastAsia="zh-CN" w:bidi="ar"/>
        </w:rPr>
      </w:pPr>
      <w:r>
        <w:rPr>
          <w:rFonts w:hint="eastAsia" w:ascii="Times New Roman" w:hAnsi="Times New Roman" w:eastAsia="方正仿宋_GBK" w:cs="Times New Roman"/>
          <w:w w:val="98"/>
          <w:kern w:val="0"/>
          <w:sz w:val="32"/>
          <w:szCs w:val="32"/>
          <w:lang w:val="en-US" w:eastAsia="zh-CN" w:bidi="ar"/>
        </w:rPr>
        <w:t>六、一般公共预算财政拨款支出决算表</w:t>
      </w:r>
      <w:bookmarkEnd w:id="55"/>
    </w:p>
    <w:p w14:paraId="60965F42">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26" w:firstLineChars="200"/>
        <w:jc w:val="left"/>
        <w:textAlignment w:val="auto"/>
        <w:rPr>
          <w:rFonts w:hint="eastAsia" w:ascii="Times New Roman" w:hAnsi="Times New Roman" w:eastAsia="方正仿宋_GBK" w:cs="Times New Roman"/>
          <w:w w:val="98"/>
          <w:kern w:val="0"/>
          <w:sz w:val="32"/>
          <w:szCs w:val="32"/>
          <w:lang w:val="en-US" w:eastAsia="zh-CN" w:bidi="ar"/>
        </w:rPr>
      </w:pPr>
      <w:bookmarkStart w:id="56" w:name="_Toc15396625"/>
      <w:r>
        <w:rPr>
          <w:rFonts w:hint="eastAsia" w:ascii="Times New Roman" w:hAnsi="Times New Roman" w:eastAsia="方正仿宋_GBK" w:cs="Times New Roman"/>
          <w:w w:val="98"/>
          <w:kern w:val="0"/>
          <w:sz w:val="32"/>
          <w:szCs w:val="32"/>
          <w:lang w:val="en-US" w:eastAsia="zh-CN" w:bidi="ar"/>
        </w:rPr>
        <w:t>七、一般公共预算财政拨款支出决算明细表</w:t>
      </w:r>
      <w:bookmarkEnd w:id="56"/>
    </w:p>
    <w:p w14:paraId="6E58604D">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26" w:firstLineChars="200"/>
        <w:jc w:val="left"/>
        <w:textAlignment w:val="auto"/>
        <w:rPr>
          <w:rFonts w:hint="eastAsia" w:ascii="Times New Roman" w:hAnsi="Times New Roman" w:eastAsia="方正仿宋_GBK" w:cs="Times New Roman"/>
          <w:w w:val="98"/>
          <w:kern w:val="0"/>
          <w:sz w:val="32"/>
          <w:szCs w:val="32"/>
          <w:lang w:val="en-US" w:eastAsia="zh-CN" w:bidi="ar"/>
        </w:rPr>
      </w:pPr>
      <w:bookmarkStart w:id="57" w:name="_Toc15396626"/>
      <w:r>
        <w:rPr>
          <w:rFonts w:hint="eastAsia" w:ascii="Times New Roman" w:hAnsi="Times New Roman" w:eastAsia="方正仿宋_GBK" w:cs="Times New Roman"/>
          <w:w w:val="98"/>
          <w:kern w:val="0"/>
          <w:sz w:val="32"/>
          <w:szCs w:val="32"/>
          <w:lang w:val="en-US" w:eastAsia="zh-CN" w:bidi="ar"/>
        </w:rPr>
        <w:t>八、一般公共预算财政拨款基本支出决算表</w:t>
      </w:r>
      <w:bookmarkEnd w:id="57"/>
    </w:p>
    <w:p w14:paraId="4B2E484A">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26" w:firstLineChars="200"/>
        <w:jc w:val="left"/>
        <w:textAlignment w:val="auto"/>
        <w:rPr>
          <w:rFonts w:hint="eastAsia" w:ascii="Times New Roman" w:hAnsi="Times New Roman" w:eastAsia="方正仿宋_GBK" w:cs="Times New Roman"/>
          <w:w w:val="98"/>
          <w:kern w:val="0"/>
          <w:sz w:val="32"/>
          <w:szCs w:val="32"/>
          <w:lang w:val="en-US" w:eastAsia="zh-CN" w:bidi="ar"/>
        </w:rPr>
      </w:pPr>
      <w:bookmarkStart w:id="58" w:name="_Toc15396627"/>
      <w:r>
        <w:rPr>
          <w:rFonts w:hint="eastAsia" w:ascii="Times New Roman" w:hAnsi="Times New Roman" w:eastAsia="方正仿宋_GBK" w:cs="Times New Roman"/>
          <w:w w:val="98"/>
          <w:kern w:val="0"/>
          <w:sz w:val="32"/>
          <w:szCs w:val="32"/>
          <w:lang w:val="en-US" w:eastAsia="zh-CN" w:bidi="ar"/>
        </w:rPr>
        <w:t>九、一般公共预算财政拨款项目支出决算表</w:t>
      </w:r>
      <w:bookmarkEnd w:id="58"/>
    </w:p>
    <w:p w14:paraId="0D90A502">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26" w:firstLineChars="200"/>
        <w:jc w:val="left"/>
        <w:textAlignment w:val="auto"/>
        <w:rPr>
          <w:rFonts w:hint="eastAsia" w:ascii="Times New Roman" w:hAnsi="Times New Roman" w:eastAsia="方正仿宋_GBK" w:cs="Times New Roman"/>
          <w:w w:val="98"/>
          <w:kern w:val="0"/>
          <w:sz w:val="32"/>
          <w:szCs w:val="32"/>
          <w:lang w:val="en-US" w:eastAsia="zh-CN" w:bidi="ar"/>
        </w:rPr>
      </w:pPr>
      <w:bookmarkStart w:id="59" w:name="_Toc15396628"/>
      <w:r>
        <w:rPr>
          <w:rFonts w:hint="eastAsia" w:ascii="Times New Roman" w:hAnsi="Times New Roman" w:eastAsia="方正仿宋_GBK" w:cs="Times New Roman"/>
          <w:w w:val="98"/>
          <w:kern w:val="0"/>
          <w:sz w:val="32"/>
          <w:szCs w:val="32"/>
          <w:lang w:val="en-US" w:eastAsia="zh-CN" w:bidi="ar"/>
        </w:rPr>
        <w:t>十、</w:t>
      </w:r>
      <w:bookmarkEnd w:id="59"/>
      <w:r>
        <w:rPr>
          <w:rFonts w:hint="eastAsia" w:ascii="Times New Roman" w:hAnsi="Times New Roman" w:eastAsia="方正仿宋_GBK" w:cs="Times New Roman"/>
          <w:w w:val="98"/>
          <w:kern w:val="0"/>
          <w:sz w:val="32"/>
          <w:szCs w:val="32"/>
          <w:lang w:val="en-US" w:eastAsia="zh-CN" w:bidi="ar"/>
        </w:rPr>
        <w:t>政府性基金预算财政拨款收入支出决算表</w:t>
      </w:r>
    </w:p>
    <w:p w14:paraId="6F947B51">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26" w:firstLineChars="200"/>
        <w:jc w:val="left"/>
        <w:textAlignment w:val="auto"/>
        <w:rPr>
          <w:rFonts w:hint="eastAsia" w:ascii="Times New Roman" w:hAnsi="Times New Roman" w:eastAsia="方正仿宋_GBK" w:cs="Times New Roman"/>
          <w:w w:val="98"/>
          <w:kern w:val="0"/>
          <w:sz w:val="32"/>
          <w:szCs w:val="32"/>
          <w:lang w:val="en-US" w:eastAsia="zh-CN" w:bidi="ar"/>
        </w:rPr>
      </w:pPr>
      <w:bookmarkStart w:id="60" w:name="_Toc15396629"/>
      <w:r>
        <w:rPr>
          <w:rFonts w:hint="eastAsia" w:ascii="Times New Roman" w:hAnsi="Times New Roman" w:eastAsia="方正仿宋_GBK" w:cs="Times New Roman"/>
          <w:w w:val="98"/>
          <w:kern w:val="0"/>
          <w:sz w:val="32"/>
          <w:szCs w:val="32"/>
          <w:lang w:val="en-US" w:eastAsia="zh-CN" w:bidi="ar"/>
        </w:rPr>
        <w:t>十一、</w:t>
      </w:r>
      <w:bookmarkEnd w:id="60"/>
      <w:r>
        <w:rPr>
          <w:rFonts w:hint="eastAsia" w:ascii="Times New Roman" w:hAnsi="Times New Roman" w:eastAsia="方正仿宋_GBK" w:cs="Times New Roman"/>
          <w:w w:val="98"/>
          <w:kern w:val="0"/>
          <w:sz w:val="32"/>
          <w:szCs w:val="32"/>
          <w:lang w:val="en-US" w:eastAsia="zh-CN" w:bidi="ar"/>
        </w:rPr>
        <w:t>国有资本经营预算财政拨款收入支出决算表</w:t>
      </w:r>
    </w:p>
    <w:p w14:paraId="4AC1B9EF">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26" w:firstLineChars="200"/>
        <w:jc w:val="left"/>
        <w:textAlignment w:val="auto"/>
        <w:rPr>
          <w:rFonts w:hint="eastAsia" w:ascii="Times New Roman" w:hAnsi="Times New Roman" w:eastAsia="方正仿宋_GBK" w:cs="Times New Roman"/>
          <w:w w:val="98"/>
          <w:kern w:val="0"/>
          <w:sz w:val="32"/>
          <w:szCs w:val="32"/>
          <w:lang w:val="en-US" w:eastAsia="zh-CN" w:bidi="ar"/>
        </w:rPr>
      </w:pPr>
      <w:bookmarkStart w:id="61" w:name="_Toc15396630"/>
      <w:r>
        <w:rPr>
          <w:rFonts w:hint="eastAsia" w:ascii="Times New Roman" w:hAnsi="Times New Roman" w:eastAsia="方正仿宋_GBK" w:cs="Times New Roman"/>
          <w:w w:val="98"/>
          <w:kern w:val="0"/>
          <w:sz w:val="32"/>
          <w:szCs w:val="32"/>
          <w:lang w:val="en-US" w:eastAsia="zh-CN" w:bidi="ar"/>
        </w:rPr>
        <w:t>十二、</w:t>
      </w:r>
      <w:bookmarkEnd w:id="61"/>
      <w:r>
        <w:rPr>
          <w:rFonts w:hint="eastAsia" w:ascii="Times New Roman" w:hAnsi="Times New Roman" w:eastAsia="方正仿宋_GBK" w:cs="Times New Roman"/>
          <w:w w:val="98"/>
          <w:kern w:val="0"/>
          <w:sz w:val="32"/>
          <w:szCs w:val="32"/>
          <w:lang w:val="en-US" w:eastAsia="zh-CN" w:bidi="ar"/>
        </w:rPr>
        <w:t>国有资本经营预算财政拨款支出决算表</w:t>
      </w:r>
    </w:p>
    <w:p w14:paraId="24DF31CA">
      <w:pPr>
        <w:pStyle w:val="16"/>
        <w:keepNext w:val="0"/>
        <w:keepLines w:val="0"/>
        <w:pageBreakBefore w:val="0"/>
        <w:widowControl w:val="0"/>
        <w:kinsoku/>
        <w:wordWrap/>
        <w:overflowPunct/>
        <w:topLinePunct w:val="0"/>
        <w:autoSpaceDE/>
        <w:autoSpaceDN/>
        <w:bidi w:val="0"/>
        <w:adjustRightInd w:val="0"/>
        <w:snapToGrid w:val="0"/>
        <w:spacing w:line="600" w:lineRule="exact"/>
        <w:ind w:left="0" w:leftChars="0" w:firstLine="626" w:firstLineChars="200"/>
        <w:jc w:val="left"/>
        <w:textAlignment w:val="auto"/>
        <w:rPr>
          <w:rFonts w:hint="eastAsia" w:ascii="Times New Roman" w:hAnsi="Times New Roman" w:eastAsia="方正仿宋_GBK" w:cs="Times New Roman"/>
          <w:w w:val="98"/>
          <w:kern w:val="0"/>
          <w:sz w:val="32"/>
          <w:szCs w:val="32"/>
          <w:lang w:val="en-US" w:eastAsia="zh-CN" w:bidi="ar"/>
        </w:rPr>
      </w:pPr>
      <w:bookmarkStart w:id="62" w:name="_Toc15396631"/>
      <w:r>
        <w:rPr>
          <w:rFonts w:hint="eastAsia" w:ascii="Times New Roman" w:hAnsi="Times New Roman" w:eastAsia="方正仿宋_GBK" w:cs="Times New Roman"/>
          <w:w w:val="98"/>
          <w:kern w:val="0"/>
          <w:sz w:val="32"/>
          <w:szCs w:val="32"/>
          <w:lang w:val="en-US" w:eastAsia="zh-CN" w:bidi="ar"/>
        </w:rPr>
        <w:t>十三、</w:t>
      </w:r>
      <w:bookmarkEnd w:id="62"/>
      <w:r>
        <w:rPr>
          <w:rFonts w:hint="eastAsia" w:ascii="Times New Roman" w:hAnsi="Times New Roman" w:eastAsia="方正仿宋_GBK" w:cs="Times New Roman"/>
          <w:w w:val="98"/>
          <w:kern w:val="0"/>
          <w:sz w:val="32"/>
          <w:szCs w:val="32"/>
          <w:lang w:val="en-US" w:eastAsia="zh-CN" w:bidi="ar"/>
        </w:rPr>
        <w:t>财政拨款“三公”经费支出决算表</w:t>
      </w:r>
    </w:p>
    <w:p w14:paraId="3F2A9FCB"/>
    <w:sectPr>
      <w:footerReference r:id="rId7"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仿宋简体">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AAE4A">
    <w:pPr>
      <w:pStyle w:val="12"/>
      <w:jc w:val="center"/>
    </w:pPr>
  </w:p>
  <w:p w14:paraId="2F39D943">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EE8DB">
    <w:pPr>
      <w:pStyle w:val="1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02B20F">
                          <w:pPr>
                            <w:pStyle w:val="1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4402B20F">
                    <w:pPr>
                      <w:pStyle w:val="1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p w14:paraId="745DBD29">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9BA8F">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BAB416">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CBAB416">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1E05">
    <w:pPr>
      <w:pStyle w:val="12"/>
      <w:jc w:val="center"/>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DD7C17">
                          <w:pPr>
                            <w:pStyle w:val="1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33DD7C17">
                    <w:pPr>
                      <w:pStyle w:val="1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p w14:paraId="35B71911">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3682D">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24552"/>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36492A"/>
    <w:rsid w:val="015975B8"/>
    <w:rsid w:val="02317B1B"/>
    <w:rsid w:val="026275A0"/>
    <w:rsid w:val="02E62FD5"/>
    <w:rsid w:val="02FEBE30"/>
    <w:rsid w:val="03877D74"/>
    <w:rsid w:val="03A90743"/>
    <w:rsid w:val="04F27347"/>
    <w:rsid w:val="061E35DE"/>
    <w:rsid w:val="066E0107"/>
    <w:rsid w:val="07996F6E"/>
    <w:rsid w:val="07DFD8BA"/>
    <w:rsid w:val="08167D33"/>
    <w:rsid w:val="08C72F61"/>
    <w:rsid w:val="08DB07E4"/>
    <w:rsid w:val="09867E8F"/>
    <w:rsid w:val="09D91889"/>
    <w:rsid w:val="0A2032A3"/>
    <w:rsid w:val="0C6C4794"/>
    <w:rsid w:val="0CA8290A"/>
    <w:rsid w:val="0D35B1ED"/>
    <w:rsid w:val="0DE07E2B"/>
    <w:rsid w:val="0E3B2AF7"/>
    <w:rsid w:val="0F98263C"/>
    <w:rsid w:val="101860EC"/>
    <w:rsid w:val="10C055FF"/>
    <w:rsid w:val="11772AA4"/>
    <w:rsid w:val="118107EC"/>
    <w:rsid w:val="12240A51"/>
    <w:rsid w:val="122C2897"/>
    <w:rsid w:val="12B10F0A"/>
    <w:rsid w:val="12DA1AE3"/>
    <w:rsid w:val="13D50BC4"/>
    <w:rsid w:val="14022904"/>
    <w:rsid w:val="152F2A07"/>
    <w:rsid w:val="165E0673"/>
    <w:rsid w:val="169311EC"/>
    <w:rsid w:val="16BB723D"/>
    <w:rsid w:val="17C52D61"/>
    <w:rsid w:val="186504BB"/>
    <w:rsid w:val="18AF7445"/>
    <w:rsid w:val="1938089F"/>
    <w:rsid w:val="19A445FC"/>
    <w:rsid w:val="1AF87D87"/>
    <w:rsid w:val="1B37265E"/>
    <w:rsid w:val="1B7D550C"/>
    <w:rsid w:val="1BE8440E"/>
    <w:rsid w:val="1CF904C9"/>
    <w:rsid w:val="1D155CEE"/>
    <w:rsid w:val="1D2547F1"/>
    <w:rsid w:val="1DA13929"/>
    <w:rsid w:val="1DD26ABA"/>
    <w:rsid w:val="1E2F1E0C"/>
    <w:rsid w:val="1E523E8D"/>
    <w:rsid w:val="1E740ACF"/>
    <w:rsid w:val="1F6C085F"/>
    <w:rsid w:val="1FF35744"/>
    <w:rsid w:val="1FF6BC77"/>
    <w:rsid w:val="1FFC578E"/>
    <w:rsid w:val="21962A9E"/>
    <w:rsid w:val="21AE7C77"/>
    <w:rsid w:val="22BC3C41"/>
    <w:rsid w:val="232B2612"/>
    <w:rsid w:val="23860B96"/>
    <w:rsid w:val="240371BF"/>
    <w:rsid w:val="246A53BC"/>
    <w:rsid w:val="25E852CC"/>
    <w:rsid w:val="260F557C"/>
    <w:rsid w:val="27553181"/>
    <w:rsid w:val="27716887"/>
    <w:rsid w:val="27745AB4"/>
    <w:rsid w:val="281408E2"/>
    <w:rsid w:val="28947DC5"/>
    <w:rsid w:val="297950FF"/>
    <w:rsid w:val="29BE48F3"/>
    <w:rsid w:val="29D6619B"/>
    <w:rsid w:val="29FD04D3"/>
    <w:rsid w:val="2A1A5CBC"/>
    <w:rsid w:val="2A2F031A"/>
    <w:rsid w:val="2B606BB6"/>
    <w:rsid w:val="2B901273"/>
    <w:rsid w:val="2BA71868"/>
    <w:rsid w:val="2BFF7BC6"/>
    <w:rsid w:val="2C2663CA"/>
    <w:rsid w:val="2C8A61B5"/>
    <w:rsid w:val="2CDF4B0F"/>
    <w:rsid w:val="2D2E01CF"/>
    <w:rsid w:val="2DF04E50"/>
    <w:rsid w:val="2E9545B0"/>
    <w:rsid w:val="2F040D46"/>
    <w:rsid w:val="2F2A5E74"/>
    <w:rsid w:val="2F726C5C"/>
    <w:rsid w:val="2FAE5751"/>
    <w:rsid w:val="2FB1A395"/>
    <w:rsid w:val="2FD9A7D8"/>
    <w:rsid w:val="30855986"/>
    <w:rsid w:val="31633FC8"/>
    <w:rsid w:val="319C204D"/>
    <w:rsid w:val="319F7F4E"/>
    <w:rsid w:val="321B2544"/>
    <w:rsid w:val="32690A61"/>
    <w:rsid w:val="3304709D"/>
    <w:rsid w:val="33A51F6D"/>
    <w:rsid w:val="34281836"/>
    <w:rsid w:val="349404B4"/>
    <w:rsid w:val="349D6851"/>
    <w:rsid w:val="34C15E73"/>
    <w:rsid w:val="35BA6CAF"/>
    <w:rsid w:val="35D0204C"/>
    <w:rsid w:val="360B383D"/>
    <w:rsid w:val="364D14C1"/>
    <w:rsid w:val="36AA5135"/>
    <w:rsid w:val="36BE0DA7"/>
    <w:rsid w:val="376B6AA6"/>
    <w:rsid w:val="376D39B2"/>
    <w:rsid w:val="37E16F03"/>
    <w:rsid w:val="37F53A3B"/>
    <w:rsid w:val="389B6C89"/>
    <w:rsid w:val="38D469F0"/>
    <w:rsid w:val="390A02C0"/>
    <w:rsid w:val="39462149"/>
    <w:rsid w:val="39627CCD"/>
    <w:rsid w:val="397BAF1F"/>
    <w:rsid w:val="3A767808"/>
    <w:rsid w:val="3AB79AF3"/>
    <w:rsid w:val="3AC30F2B"/>
    <w:rsid w:val="3B7EF35A"/>
    <w:rsid w:val="3B9FDB6C"/>
    <w:rsid w:val="3BEB26F7"/>
    <w:rsid w:val="3BF5BC2F"/>
    <w:rsid w:val="3C5C50CF"/>
    <w:rsid w:val="3CEBA265"/>
    <w:rsid w:val="3D98207C"/>
    <w:rsid w:val="3D9B0D99"/>
    <w:rsid w:val="3DEE7CF3"/>
    <w:rsid w:val="3DF02244"/>
    <w:rsid w:val="3E612F34"/>
    <w:rsid w:val="3E78745D"/>
    <w:rsid w:val="3E933134"/>
    <w:rsid w:val="3F830C89"/>
    <w:rsid w:val="3FF4CAE0"/>
    <w:rsid w:val="3FF7B227"/>
    <w:rsid w:val="40A67324"/>
    <w:rsid w:val="40AA6346"/>
    <w:rsid w:val="40E54C45"/>
    <w:rsid w:val="424271E8"/>
    <w:rsid w:val="428533D4"/>
    <w:rsid w:val="43385920"/>
    <w:rsid w:val="43A407DF"/>
    <w:rsid w:val="44407D6F"/>
    <w:rsid w:val="44515BEA"/>
    <w:rsid w:val="44D35F39"/>
    <w:rsid w:val="44E268DA"/>
    <w:rsid w:val="453F7E5B"/>
    <w:rsid w:val="45C86472"/>
    <w:rsid w:val="4607616F"/>
    <w:rsid w:val="462521AF"/>
    <w:rsid w:val="486A6C7A"/>
    <w:rsid w:val="49176D9B"/>
    <w:rsid w:val="49B36FEE"/>
    <w:rsid w:val="4A627F82"/>
    <w:rsid w:val="4A810B42"/>
    <w:rsid w:val="4B0E749A"/>
    <w:rsid w:val="4B4F25DA"/>
    <w:rsid w:val="4BDA0CFB"/>
    <w:rsid w:val="4BE068DB"/>
    <w:rsid w:val="4BEA19CD"/>
    <w:rsid w:val="4D3C0CCC"/>
    <w:rsid w:val="4D577224"/>
    <w:rsid w:val="4DBF1CEB"/>
    <w:rsid w:val="4DE16E25"/>
    <w:rsid w:val="4EAB630A"/>
    <w:rsid w:val="4ECE2238"/>
    <w:rsid w:val="4F833267"/>
    <w:rsid w:val="4F8B7C73"/>
    <w:rsid w:val="4FAB1220"/>
    <w:rsid w:val="4FB56C3C"/>
    <w:rsid w:val="4FE9BD67"/>
    <w:rsid w:val="4FFB052F"/>
    <w:rsid w:val="500E459E"/>
    <w:rsid w:val="50195852"/>
    <w:rsid w:val="503A37A7"/>
    <w:rsid w:val="524D7600"/>
    <w:rsid w:val="53083A92"/>
    <w:rsid w:val="536B7291"/>
    <w:rsid w:val="537E6D0A"/>
    <w:rsid w:val="53AF27A2"/>
    <w:rsid w:val="53F74C96"/>
    <w:rsid w:val="552931BD"/>
    <w:rsid w:val="567D1D43"/>
    <w:rsid w:val="56E47B74"/>
    <w:rsid w:val="577056E8"/>
    <w:rsid w:val="57BD3DD4"/>
    <w:rsid w:val="58831052"/>
    <w:rsid w:val="58F31C0A"/>
    <w:rsid w:val="5AF92295"/>
    <w:rsid w:val="5B1C1E02"/>
    <w:rsid w:val="5BDD79E6"/>
    <w:rsid w:val="5BF561CA"/>
    <w:rsid w:val="5BFF5DFC"/>
    <w:rsid w:val="5C1445C4"/>
    <w:rsid w:val="5CD71FC4"/>
    <w:rsid w:val="5CD930E1"/>
    <w:rsid w:val="5D1F11B5"/>
    <w:rsid w:val="5D8E19D7"/>
    <w:rsid w:val="5DAE1B18"/>
    <w:rsid w:val="5DE7D9E5"/>
    <w:rsid w:val="5EC36BE1"/>
    <w:rsid w:val="5ECEC941"/>
    <w:rsid w:val="5F493CB7"/>
    <w:rsid w:val="5FBF9FF3"/>
    <w:rsid w:val="5FCD4E2C"/>
    <w:rsid w:val="5FD15F49"/>
    <w:rsid w:val="5FEF394A"/>
    <w:rsid w:val="5FF67715"/>
    <w:rsid w:val="60967909"/>
    <w:rsid w:val="60AC5E39"/>
    <w:rsid w:val="620D42AB"/>
    <w:rsid w:val="62BF3928"/>
    <w:rsid w:val="634B514E"/>
    <w:rsid w:val="640404E2"/>
    <w:rsid w:val="6410410C"/>
    <w:rsid w:val="647F5392"/>
    <w:rsid w:val="64CA2D32"/>
    <w:rsid w:val="64E81CE8"/>
    <w:rsid w:val="66352A49"/>
    <w:rsid w:val="664B1D71"/>
    <w:rsid w:val="664B3067"/>
    <w:rsid w:val="66CB62AD"/>
    <w:rsid w:val="66CC2D91"/>
    <w:rsid w:val="673B1B2B"/>
    <w:rsid w:val="67AA3209"/>
    <w:rsid w:val="681C4F0D"/>
    <w:rsid w:val="69046D0F"/>
    <w:rsid w:val="69557B50"/>
    <w:rsid w:val="696E7976"/>
    <w:rsid w:val="698D0931"/>
    <w:rsid w:val="69C53AC8"/>
    <w:rsid w:val="6A587E3E"/>
    <w:rsid w:val="6A993CED"/>
    <w:rsid w:val="6B053271"/>
    <w:rsid w:val="6B812D5E"/>
    <w:rsid w:val="6BCE6674"/>
    <w:rsid w:val="6C4A05C8"/>
    <w:rsid w:val="6C4B4758"/>
    <w:rsid w:val="6C8742B8"/>
    <w:rsid w:val="6C8A170F"/>
    <w:rsid w:val="6CB54609"/>
    <w:rsid w:val="6CE4761D"/>
    <w:rsid w:val="6DBF5E93"/>
    <w:rsid w:val="6DFF077E"/>
    <w:rsid w:val="6E7E3605"/>
    <w:rsid w:val="6E7FDCC7"/>
    <w:rsid w:val="6ED6A62E"/>
    <w:rsid w:val="6ED724BE"/>
    <w:rsid w:val="6EE00B15"/>
    <w:rsid w:val="6F544B20"/>
    <w:rsid w:val="6F6FB3EB"/>
    <w:rsid w:val="6F784160"/>
    <w:rsid w:val="6F8731EA"/>
    <w:rsid w:val="6FCE6052"/>
    <w:rsid w:val="6FD57C00"/>
    <w:rsid w:val="6FEFFFD8"/>
    <w:rsid w:val="6FF5CC65"/>
    <w:rsid w:val="6FFB47EC"/>
    <w:rsid w:val="6FFF034A"/>
    <w:rsid w:val="703675A1"/>
    <w:rsid w:val="70496804"/>
    <w:rsid w:val="71202899"/>
    <w:rsid w:val="712A28F1"/>
    <w:rsid w:val="715C0E4B"/>
    <w:rsid w:val="72233669"/>
    <w:rsid w:val="72734D90"/>
    <w:rsid w:val="7332FE48"/>
    <w:rsid w:val="73AB61DA"/>
    <w:rsid w:val="73AD73D5"/>
    <w:rsid w:val="73B6EB34"/>
    <w:rsid w:val="73BF4B55"/>
    <w:rsid w:val="73FA497D"/>
    <w:rsid w:val="744731E5"/>
    <w:rsid w:val="74527205"/>
    <w:rsid w:val="74BBD01D"/>
    <w:rsid w:val="74ED5379"/>
    <w:rsid w:val="74FC2395"/>
    <w:rsid w:val="75585F01"/>
    <w:rsid w:val="758F378B"/>
    <w:rsid w:val="75DEEEC2"/>
    <w:rsid w:val="76E3355F"/>
    <w:rsid w:val="76FF5125"/>
    <w:rsid w:val="77670B72"/>
    <w:rsid w:val="776F6FFA"/>
    <w:rsid w:val="778769C8"/>
    <w:rsid w:val="77C07823"/>
    <w:rsid w:val="77DC22F5"/>
    <w:rsid w:val="79086DAD"/>
    <w:rsid w:val="79974F09"/>
    <w:rsid w:val="79D7FD79"/>
    <w:rsid w:val="79EE5BA4"/>
    <w:rsid w:val="7A0C674C"/>
    <w:rsid w:val="7A894339"/>
    <w:rsid w:val="7AFF7572"/>
    <w:rsid w:val="7B6C7DFB"/>
    <w:rsid w:val="7B971768"/>
    <w:rsid w:val="7BBFBED0"/>
    <w:rsid w:val="7BC3E394"/>
    <w:rsid w:val="7C1F3737"/>
    <w:rsid w:val="7CBFC87B"/>
    <w:rsid w:val="7CFE0F48"/>
    <w:rsid w:val="7D7EC23E"/>
    <w:rsid w:val="7D916348"/>
    <w:rsid w:val="7E8ADEBF"/>
    <w:rsid w:val="7EAA17B2"/>
    <w:rsid w:val="7EEF11D3"/>
    <w:rsid w:val="7F0971A6"/>
    <w:rsid w:val="7F3F679B"/>
    <w:rsid w:val="7F4FC4EF"/>
    <w:rsid w:val="7F5E4D54"/>
    <w:rsid w:val="7F6E0135"/>
    <w:rsid w:val="7FA30C79"/>
    <w:rsid w:val="7FAF8ABF"/>
    <w:rsid w:val="7FB36445"/>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6">
    <w:name w:val="Body Text 3"/>
    <w:qFormat/>
    <w:uiPriority w:val="0"/>
    <w:pPr>
      <w:widowControl w:val="0"/>
      <w:spacing w:before="100" w:beforeAutospacing="1"/>
      <w:jc w:val="both"/>
    </w:pPr>
    <w:rPr>
      <w:rFonts w:ascii="Times New Roman" w:hAnsi="Times New Roman" w:eastAsia="宋体" w:cs="Times New Roman"/>
      <w:kern w:val="2"/>
      <w:sz w:val="16"/>
      <w:szCs w:val="16"/>
      <w:lang w:val="en-US" w:eastAsia="zh-CN" w:bidi="ar-SA"/>
    </w:rPr>
  </w:style>
  <w:style w:type="paragraph" w:styleId="7">
    <w:name w:val="Body Text"/>
    <w:basedOn w:val="1"/>
    <w:link w:val="28"/>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200" w:leftChars="200"/>
    </w:pPr>
    <w:rPr>
      <w:rFonts w:ascii="仿宋_GB2312"/>
      <w:szCs w:val="32"/>
    </w:rPr>
  </w:style>
  <w:style w:type="paragraph" w:styleId="9">
    <w:name w:val="Body Text First Indent 2"/>
    <w:basedOn w:val="8"/>
    <w:link w:val="37"/>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rPr>
      <w:sz w:val="24"/>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3"/>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2"/>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7"/>
    <w:qFormat/>
    <w:locked/>
    <w:uiPriority w:val="99"/>
    <w:rPr>
      <w:rFonts w:ascii="仿宋_GB2312" w:hAnsi="Times New Roman" w:eastAsia="仿宋_GB2312"/>
      <w:sz w:val="24"/>
    </w:rPr>
  </w:style>
  <w:style w:type="paragraph" w:styleId="29">
    <w:name w:val="List Paragraph"/>
    <w:basedOn w:val="1"/>
    <w:qFormat/>
    <w:uiPriority w:val="34"/>
    <w:pPr>
      <w:ind w:firstLine="420" w:firstLineChars="200"/>
    </w:pPr>
  </w:style>
  <w:style w:type="character" w:customStyle="1" w:styleId="30">
    <w:name w:val="标题 1 Char"/>
    <w:basedOn w:val="19"/>
    <w:link w:val="3"/>
    <w:qFormat/>
    <w:uiPriority w:val="9"/>
    <w:rPr>
      <w:rFonts w:ascii="Times New Roman" w:hAnsi="Times New Roman"/>
      <w:b/>
      <w:bCs/>
      <w:kern w:val="44"/>
      <w:sz w:val="44"/>
      <w:szCs w:val="44"/>
    </w:rPr>
  </w:style>
  <w:style w:type="character" w:customStyle="1" w:styleId="31">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9"/>
    <w:link w:val="11"/>
    <w:semiHidden/>
    <w:qFormat/>
    <w:uiPriority w:val="99"/>
    <w:rPr>
      <w:rFonts w:ascii="Times New Roman" w:hAnsi="Times New Roman"/>
      <w:kern w:val="2"/>
      <w:sz w:val="18"/>
      <w:szCs w:val="18"/>
    </w:rPr>
  </w:style>
  <w:style w:type="character" w:customStyle="1" w:styleId="34">
    <w:name w:val="标题 3 Char"/>
    <w:basedOn w:val="19"/>
    <w:link w:val="5"/>
    <w:qFormat/>
    <w:uiPriority w:val="9"/>
    <w:rPr>
      <w:rFonts w:ascii="Times New Roman" w:hAnsi="Times New Roman"/>
      <w:b/>
      <w:bCs/>
      <w:kern w:val="2"/>
      <w:sz w:val="32"/>
      <w:szCs w:val="32"/>
    </w:rPr>
  </w:style>
  <w:style w:type="paragraph" w:customStyle="1" w:styleId="35">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character" w:customStyle="1" w:styleId="37">
    <w:name w:val="正文首行缩进 2 Char"/>
    <w:basedOn w:val="19"/>
    <w:link w:val="9"/>
    <w:qFormat/>
    <w:uiPriority w:val="99"/>
    <w:rPr>
      <w:rFonts w:ascii="仿宋_GB2312"/>
      <w:kern w:val="2"/>
      <w:sz w:val="21"/>
      <w:szCs w:val="32"/>
    </w:rPr>
  </w:style>
  <w:style w:type="paragraph" w:customStyle="1" w:styleId="38">
    <w:name w:val="常用样式（方正仿宋简）"/>
    <w:basedOn w:val="1"/>
    <w:qFormat/>
    <w:uiPriority w:val="0"/>
    <w:pPr>
      <w:spacing w:line="560" w:lineRule="exact"/>
      <w:ind w:firstLine="640" w:firstLineChars="200"/>
    </w:pPr>
    <w:rPr>
      <w:rFonts w:eastAsia="方正仿宋简体"/>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4617</Words>
  <Characters>6082</Characters>
  <Lines>63</Lines>
  <Paragraphs>17</Paragraphs>
  <TotalTime>164</TotalTime>
  <ScaleCrop>false</ScaleCrop>
  <LinksUpToDate>false</LinksUpToDate>
  <CharactersWithSpaces>6111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2026-08-27T00:27:00Z</cp:lastPrinted>
  <dcterms:modified xsi:type="dcterms:W3CDTF">2026-09-14T09:37:37Z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eyJoZGlkIjoiOWY2ZDliODJkYTYxYWUyNTY0NjYxMjQ5YTEwOGU4N2QiLCJ1c2VySWQiOiI1NTIxNjQ2OTkifQ==</vt:lpwstr>
  </property>
</Properties>
</file>