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A71F7E">
      <w:pPr>
        <w:pStyle w:val="5"/>
        <w:suppressAutoHyphens/>
        <w:spacing w:before="0" w:after="0" w:line="0" w:lineRule="atLeast"/>
        <w:jc w:val="center"/>
        <w:rPr>
          <w:rFonts w:hint="eastAsia" w:ascii="Times New Roman" w:hAnsi="Times New Roman" w:eastAsia="方正小标宋_GBK" w:cs="Times New Roman"/>
          <w:b/>
          <w:sz w:val="44"/>
          <w:szCs w:val="44"/>
          <w:lang w:val="en-US" w:eastAsia="zh-CN"/>
        </w:rPr>
      </w:pPr>
      <w:bookmarkStart w:id="0" w:name="_Toc1250"/>
    </w:p>
    <w:p w14:paraId="55B9E912">
      <w:pPr>
        <w:pStyle w:val="5"/>
        <w:suppressAutoHyphens/>
        <w:spacing w:before="0" w:after="0" w:line="0" w:lineRule="atLeast"/>
        <w:jc w:val="center"/>
        <w:rPr>
          <w:rFonts w:hint="eastAsia" w:ascii="Times New Roman" w:hAnsi="Times New Roman" w:eastAsia="方正小标宋_GBK" w:cs="Times New Roman"/>
          <w:b/>
          <w:sz w:val="44"/>
          <w:szCs w:val="44"/>
          <w:lang w:val="en-US" w:eastAsia="zh-CN"/>
        </w:rPr>
      </w:pPr>
    </w:p>
    <w:p w14:paraId="0BA19446">
      <w:pPr>
        <w:pStyle w:val="5"/>
        <w:suppressAutoHyphens/>
        <w:spacing w:before="0" w:after="0" w:line="0" w:lineRule="atLeast"/>
        <w:jc w:val="center"/>
        <w:rPr>
          <w:rFonts w:hint="eastAsia" w:ascii="Times New Roman" w:hAnsi="Times New Roman" w:eastAsia="方正小标宋_GBK" w:cs="Times New Roman"/>
          <w:b/>
          <w:sz w:val="44"/>
          <w:szCs w:val="44"/>
          <w:lang w:val="en-US" w:eastAsia="zh-CN"/>
        </w:rPr>
      </w:pPr>
    </w:p>
    <w:p w14:paraId="1ACE128B">
      <w:pPr>
        <w:pStyle w:val="5"/>
        <w:suppressAutoHyphens/>
        <w:spacing w:before="0" w:after="0" w:line="0" w:lineRule="atLeast"/>
        <w:jc w:val="center"/>
        <w:rPr>
          <w:rFonts w:hint="eastAsia" w:ascii="Times New Roman" w:hAnsi="Times New Roman" w:eastAsia="方正小标宋_GBK" w:cs="Times New Roman"/>
          <w:b/>
          <w:sz w:val="44"/>
          <w:szCs w:val="44"/>
          <w:lang w:val="en-US" w:eastAsia="zh-CN"/>
        </w:rPr>
      </w:pPr>
    </w:p>
    <w:p w14:paraId="25E96D71">
      <w:pPr>
        <w:pStyle w:val="5"/>
        <w:suppressAutoHyphens/>
        <w:spacing w:before="0" w:after="0" w:line="0" w:lineRule="atLeast"/>
        <w:jc w:val="center"/>
        <w:rPr>
          <w:rFonts w:hint="eastAsia" w:ascii="Times New Roman" w:hAnsi="Times New Roman" w:eastAsia="方正小标宋_GBK" w:cs="Times New Roman"/>
          <w:b/>
          <w:sz w:val="44"/>
          <w:szCs w:val="44"/>
          <w:lang w:val="en-US" w:eastAsia="zh-CN"/>
        </w:rPr>
      </w:pPr>
    </w:p>
    <w:p w14:paraId="2A5A4DB8">
      <w:pPr>
        <w:pStyle w:val="5"/>
        <w:keepNext w:val="0"/>
        <w:keepLines w:val="0"/>
        <w:pageBreakBefore w:val="0"/>
        <w:widowControl w:val="0"/>
        <w:kinsoku/>
        <w:wordWrap/>
        <w:overflowPunct/>
        <w:topLinePunct w:val="0"/>
        <w:autoSpaceDE/>
        <w:autoSpaceDN/>
        <w:bidi w:val="0"/>
        <w:adjustRightInd/>
        <w:snapToGrid/>
        <w:spacing w:beforeLines="0" w:line="700" w:lineRule="exact"/>
        <w:jc w:val="center"/>
        <w:textAlignment w:val="auto"/>
        <w:rPr>
          <w:rFonts w:hint="eastAsia" w:ascii="方正小标宋_GBK" w:hAnsi="方正小标宋_GBK" w:eastAsia="方正小标宋_GBK" w:cs="方正小标宋_GBK"/>
          <w:b/>
          <w:bCs/>
          <w:kern w:val="2"/>
          <w:sz w:val="44"/>
          <w:szCs w:val="44"/>
          <w:lang w:val="en-US" w:eastAsia="zh-CN"/>
        </w:rPr>
      </w:pPr>
      <w:r>
        <w:rPr>
          <w:rFonts w:hint="eastAsia" w:ascii="方正小标宋_GBK" w:hAnsi="方正小标宋_GBK" w:eastAsia="方正小标宋_GBK" w:cs="方正小标宋_GBK"/>
          <w:b/>
          <w:bCs/>
          <w:kern w:val="2"/>
          <w:sz w:val="44"/>
          <w:szCs w:val="44"/>
          <w:lang w:val="en-US" w:eastAsia="zh-CN"/>
        </w:rPr>
        <w:t>攀枝花市救助站</w:t>
      </w:r>
      <w:bookmarkEnd w:id="0"/>
      <w:bookmarkStart w:id="1" w:name="_Toc6206"/>
    </w:p>
    <w:p w14:paraId="138844AD">
      <w:pPr>
        <w:pStyle w:val="5"/>
        <w:keepNext w:val="0"/>
        <w:keepLines w:val="0"/>
        <w:pageBreakBefore w:val="0"/>
        <w:widowControl w:val="0"/>
        <w:kinsoku/>
        <w:wordWrap/>
        <w:overflowPunct/>
        <w:topLinePunct w:val="0"/>
        <w:autoSpaceDE/>
        <w:autoSpaceDN/>
        <w:bidi w:val="0"/>
        <w:adjustRightInd/>
        <w:snapToGrid/>
        <w:spacing w:beforeLines="0" w:line="700" w:lineRule="exact"/>
        <w:jc w:val="center"/>
        <w:textAlignment w:val="auto"/>
        <w:rPr>
          <w:rFonts w:hint="eastAsia" w:ascii="方正小标宋_GBK" w:hAnsi="方正小标宋_GBK" w:eastAsia="方正小标宋_GBK" w:cs="方正小标宋_GBK"/>
          <w:b/>
          <w:bCs/>
          <w:kern w:val="2"/>
          <w:sz w:val="44"/>
          <w:szCs w:val="44"/>
          <w:lang w:val="en-US" w:eastAsia="zh-CN"/>
        </w:rPr>
        <w:sectPr>
          <w:headerReference r:id="rId3" w:type="default"/>
          <w:footerReference r:id="rId4" w:type="default"/>
          <w:pgSz w:w="11906" w:h="16838"/>
          <w:pgMar w:top="2098" w:right="1474" w:bottom="1984" w:left="1587" w:header="907" w:footer="1644" w:gutter="0"/>
          <w:pgNumType w:fmt="numberInDash" w:start="1"/>
          <w:cols w:space="720" w:num="1"/>
          <w:rtlGutter w:val="0"/>
          <w:docGrid w:type="linesAndChars" w:linePitch="579" w:charSpace="26663"/>
        </w:sectPr>
      </w:pPr>
      <w:r>
        <w:rPr>
          <w:rFonts w:hint="eastAsia" w:ascii="方正小标宋_GBK" w:hAnsi="方正小标宋_GBK" w:eastAsia="方正小标宋_GBK" w:cs="方正小标宋_GBK"/>
          <w:b/>
          <w:bCs/>
          <w:kern w:val="2"/>
          <w:sz w:val="44"/>
          <w:szCs w:val="44"/>
          <w:lang w:val="en-US" w:eastAsia="zh-CN"/>
        </w:rPr>
        <w:t>2025年度单位决算</w:t>
      </w:r>
      <w:bookmarkEnd w:id="1"/>
      <w:r>
        <w:rPr>
          <w:rFonts w:hint="eastAsia" w:ascii="方正小标宋_GBK" w:hAnsi="方正小标宋_GBK" w:eastAsia="方正小标宋_GBK" w:cs="方正小标宋_GBK"/>
          <w:b/>
          <w:bCs/>
          <w:kern w:val="2"/>
          <w:sz w:val="44"/>
          <w:szCs w:val="44"/>
          <w:lang w:val="en-US" w:eastAsia="zh-CN"/>
        </w:rPr>
        <w:t>公开编制说明</w:t>
      </w:r>
    </w:p>
    <w:p w14:paraId="5B9836E0">
      <w:pPr>
        <w:widowControl/>
        <w:suppressAutoHyphens/>
        <w:jc w:val="center"/>
        <w:rPr>
          <w:rFonts w:hint="default" w:eastAsia="方正小标宋_GBK"/>
          <w:b/>
          <w:bCs/>
          <w:sz w:val="44"/>
          <w:szCs w:val="44"/>
          <w:lang w:val="en-US" w:eastAsia="zh-CN" w:bidi="ar-SA"/>
        </w:rPr>
      </w:pPr>
      <w:r>
        <w:rPr>
          <w:rFonts w:hint="eastAsia" w:eastAsia="方正小标宋_GBK"/>
          <w:b/>
          <w:bCs/>
          <w:sz w:val="44"/>
          <w:szCs w:val="44"/>
          <w:lang w:val="en-US" w:eastAsia="zh-CN" w:bidi="ar-SA"/>
        </w:rPr>
        <w:t>目    录</w:t>
      </w:r>
    </w:p>
    <w:p w14:paraId="681348DC">
      <w:pPr>
        <w:pStyle w:val="12"/>
        <w:adjustRightInd w:val="0"/>
        <w:snapToGrid w:val="0"/>
        <w:spacing w:before="0" w:line="600" w:lineRule="exact"/>
        <w:jc w:val="center"/>
        <w:rPr>
          <w:rFonts w:hint="default" w:ascii="Times New Roman" w:hAnsi="Times New Roman" w:eastAsia="方正仿宋简体"/>
          <w:kern w:val="2"/>
          <w:sz w:val="32"/>
          <w:szCs w:val="32"/>
          <w:lang w:val="en-US" w:eastAsia="zh-CN" w:bidi="ar-SA"/>
        </w:rPr>
      </w:pPr>
      <w:r>
        <w:rPr>
          <w:rFonts w:hint="eastAsia" w:ascii="Times New Roman" w:hAnsi="Times New Roman" w:eastAsia="方正仿宋简体"/>
          <w:kern w:val="2"/>
          <w:sz w:val="32"/>
          <w:szCs w:val="32"/>
          <w:lang w:val="en-US" w:eastAsia="zh-CN" w:bidi="ar-SA"/>
        </w:rPr>
        <w:t>公开时间：2026年9月14</w:t>
      </w:r>
      <w:bookmarkStart w:id="95" w:name="_GoBack"/>
      <w:bookmarkEnd w:id="95"/>
      <w:r>
        <w:rPr>
          <w:rFonts w:hint="eastAsia" w:ascii="Times New Roman" w:hAnsi="Times New Roman" w:eastAsia="方正仿宋简体"/>
          <w:kern w:val="2"/>
          <w:sz w:val="32"/>
          <w:szCs w:val="32"/>
          <w:lang w:val="en-US" w:eastAsia="zh-CN" w:bidi="ar-SA"/>
        </w:rPr>
        <w:t>日</w:t>
      </w:r>
    </w:p>
    <w:p w14:paraId="6A6F2C93"/>
    <w:p w14:paraId="44C5012B">
      <w:pPr>
        <w:pStyle w:val="14"/>
        <w:tabs>
          <w:tab w:val="right" w:leader="dot" w:pos="8845"/>
          <w:tab w:val="clear" w:pos="8296"/>
        </w:tabs>
        <w:rPr>
          <w:rFonts w:eastAsia="仿宋_GB2312"/>
          <w:sz w:val="32"/>
        </w:rPr>
      </w:pPr>
      <w:r>
        <w:rPr>
          <w:rFonts w:hint="eastAsia" w:ascii="Times New Roman" w:hAnsi="Times New Roman" w:eastAsia="黑体" w:cs="Times New Roman"/>
          <w:kern w:val="2"/>
          <w:sz w:val="32"/>
          <w:szCs w:val="32"/>
          <w:lang w:val="en-US" w:eastAsia="zh-CN" w:bidi="ar-SA"/>
        </w:rPr>
        <w:t>第一部分 单位概况</w:t>
      </w:r>
      <w:r>
        <w:rPr>
          <w:rFonts w:eastAsia="仿宋_GB2312"/>
          <w:sz w:val="32"/>
        </w:rPr>
        <w:tab/>
      </w:r>
      <w:r>
        <w:rPr>
          <w:rFonts w:hint="eastAsia" w:eastAsia="仿宋_GB2312"/>
          <w:sz w:val="32"/>
          <w:lang w:val="en-US" w:eastAsia="zh-CN"/>
        </w:rPr>
        <w:t>1</w:t>
      </w:r>
    </w:p>
    <w:p w14:paraId="77C9FE3C">
      <w:pPr>
        <w:pStyle w:val="14"/>
        <w:tabs>
          <w:tab w:val="right" w:leader="dot" w:pos="8845"/>
          <w:tab w:val="clear" w:pos="8296"/>
        </w:tabs>
        <w:rPr>
          <w:rFonts w:ascii="Times New Roman" w:hAnsi="Times New Roman" w:eastAsia="仿宋_GB2312" w:cs="Times New Roman"/>
          <w:sz w:val="32"/>
        </w:rPr>
      </w:pPr>
      <w:r>
        <w:rPr>
          <w:rFonts w:hint="default" w:ascii="Times New Roman" w:hAnsi="Times New Roman" w:eastAsia="方正仿宋简体" w:cs="Times New Roman"/>
          <w:kern w:val="2"/>
          <w:sz w:val="32"/>
          <w:szCs w:val="32"/>
          <w:lang w:val="en-US" w:eastAsia="zh-CN" w:bidi="ar-SA"/>
        </w:rPr>
        <w:t>一、</w:t>
      </w:r>
      <w:r>
        <w:rPr>
          <w:rFonts w:hint="eastAsia" w:ascii="Times New Roman" w:hAnsi="Times New Roman" w:eastAsia="方正仿宋简体" w:cs="Times New Roman"/>
          <w:kern w:val="2"/>
          <w:sz w:val="32"/>
          <w:szCs w:val="32"/>
          <w:lang w:val="en-US" w:eastAsia="zh-CN" w:bidi="ar-SA"/>
        </w:rPr>
        <w:t>单位职责</w:t>
      </w:r>
      <w:r>
        <w:rPr>
          <w:rFonts w:eastAsia="仿宋_GB2312"/>
          <w:sz w:val="32"/>
        </w:rPr>
        <w:tab/>
      </w:r>
      <w:r>
        <w:rPr>
          <w:rFonts w:hint="eastAsia" w:eastAsia="仿宋_GB2312"/>
          <w:sz w:val="32"/>
          <w:lang w:val="en-US" w:eastAsia="zh-CN"/>
        </w:rPr>
        <w:t>1</w:t>
      </w:r>
    </w:p>
    <w:p w14:paraId="7FAE7C3A">
      <w:pPr>
        <w:pStyle w:val="14"/>
        <w:tabs>
          <w:tab w:val="right" w:leader="dot" w:pos="8845"/>
          <w:tab w:val="clear" w:pos="8296"/>
        </w:tabs>
        <w:rPr>
          <w:rFonts w:hint="default" w:ascii="Times New Roman" w:hAnsi="Times New Roman" w:eastAsia="仿宋_GB2312" w:cs="Times New Roman"/>
          <w:sz w:val="32"/>
        </w:rPr>
      </w:pPr>
      <w:r>
        <w:rPr>
          <w:rFonts w:hint="default" w:ascii="Times New Roman" w:hAnsi="Times New Roman" w:eastAsia="仿宋_GB2312" w:cs="Times New Roman"/>
          <w:sz w:val="32"/>
        </w:rPr>
        <w:fldChar w:fldCharType="begin"/>
      </w:r>
      <w:r>
        <w:rPr>
          <w:rFonts w:hint="default" w:ascii="Times New Roman" w:hAnsi="Times New Roman" w:eastAsia="仿宋_GB2312" w:cs="Times New Roman"/>
          <w:sz w:val="32"/>
        </w:rPr>
        <w:instrText xml:space="preserve"> HYPERLINK \l _Toc6801 </w:instrText>
      </w:r>
      <w:r>
        <w:rPr>
          <w:rFonts w:hint="default" w:ascii="Times New Roman" w:hAnsi="Times New Roman" w:eastAsia="仿宋_GB2312" w:cs="Times New Roman"/>
          <w:sz w:val="32"/>
        </w:rPr>
        <w:fldChar w:fldCharType="separate"/>
      </w:r>
      <w:r>
        <w:rPr>
          <w:rFonts w:hint="default" w:ascii="Times New Roman" w:hAnsi="Times New Roman" w:eastAsia="方正仿宋简体" w:cs="Times New Roman"/>
          <w:kern w:val="2"/>
          <w:sz w:val="32"/>
          <w:szCs w:val="32"/>
          <w:lang w:val="en-US" w:eastAsia="zh-CN" w:bidi="ar-SA"/>
        </w:rPr>
        <w:t>二、机构设置</w:t>
      </w:r>
      <w:r>
        <w:rPr>
          <w:rFonts w:hint="default" w:ascii="Times New Roman" w:hAnsi="Times New Roman" w:eastAsia="仿宋_GB2312" w:cs="Times New Roman"/>
          <w:sz w:val="32"/>
        </w:rPr>
        <w:tab/>
      </w:r>
      <w:r>
        <w:rPr>
          <w:rFonts w:hint="eastAsia" w:ascii="Times New Roman" w:hAnsi="Times New Roman" w:eastAsia="仿宋_GB2312" w:cs="Times New Roman"/>
          <w:sz w:val="32"/>
          <w:lang w:val="en-US" w:eastAsia="zh-CN"/>
        </w:rPr>
        <w:t>1</w:t>
      </w:r>
      <w:r>
        <w:rPr>
          <w:rFonts w:hint="default" w:ascii="Times New Roman" w:hAnsi="Times New Roman" w:eastAsia="仿宋_GB2312" w:cs="Times New Roman"/>
          <w:sz w:val="32"/>
        </w:rPr>
        <w:fldChar w:fldCharType="end"/>
      </w:r>
    </w:p>
    <w:p w14:paraId="2D38D3BA">
      <w:pPr>
        <w:pStyle w:val="14"/>
        <w:numPr>
          <w:ilvl w:val="0"/>
          <w:numId w:val="0"/>
        </w:numPr>
        <w:tabs>
          <w:tab w:val="right" w:leader="dot" w:pos="8845"/>
          <w:tab w:val="clear" w:pos="8296"/>
        </w:tabs>
        <w:ind w:firstLine="320" w:firstLineChars="100"/>
        <w:rPr>
          <w:rFonts w:hint="default"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第二部分</w:t>
      </w:r>
      <w:r>
        <w:rPr>
          <w:rFonts w:hint="default" w:ascii="Times New Roman" w:hAnsi="Times New Roman" w:eastAsia="黑体" w:cs="Times New Roman"/>
          <w:kern w:val="2"/>
          <w:sz w:val="32"/>
          <w:szCs w:val="32"/>
          <w:lang w:val="en-US" w:eastAsia="zh-CN" w:bidi="ar-SA"/>
        </w:rPr>
        <w:t>202</w:t>
      </w:r>
      <w:r>
        <w:rPr>
          <w:rFonts w:hint="eastAsia" w:ascii="Times New Roman" w:hAnsi="Times New Roman" w:eastAsia="黑体" w:cs="Times New Roman"/>
          <w:kern w:val="2"/>
          <w:sz w:val="32"/>
          <w:szCs w:val="32"/>
          <w:lang w:val="en-US" w:eastAsia="zh-CN" w:bidi="ar-SA"/>
        </w:rPr>
        <w:t>5</w:t>
      </w:r>
      <w:r>
        <w:rPr>
          <w:rFonts w:hint="default" w:ascii="Times New Roman" w:hAnsi="Times New Roman" w:eastAsia="黑体" w:cs="Times New Roman"/>
          <w:kern w:val="2"/>
          <w:sz w:val="32"/>
          <w:szCs w:val="32"/>
          <w:lang w:val="en-US" w:eastAsia="zh-CN" w:bidi="ar-SA"/>
        </w:rPr>
        <w:t>年度单位决算情况说明</w:t>
      </w:r>
      <w:r>
        <w:rPr>
          <w:rFonts w:hint="default" w:ascii="Times New Roman" w:hAnsi="Times New Roman" w:eastAsia="黑体" w:cs="Times New Roman"/>
          <w:kern w:val="2"/>
          <w:sz w:val="32"/>
          <w:szCs w:val="32"/>
          <w:lang w:val="en-US" w:eastAsia="zh-CN" w:bidi="ar-SA"/>
        </w:rPr>
        <w:tab/>
      </w:r>
      <w:r>
        <w:rPr>
          <w:rFonts w:hint="eastAsia" w:ascii="Times New Roman" w:hAnsi="Times New Roman" w:eastAsia="黑体" w:cs="Times New Roman"/>
          <w:kern w:val="2"/>
          <w:sz w:val="32"/>
          <w:szCs w:val="32"/>
          <w:lang w:val="en-US" w:eastAsia="zh-CN" w:bidi="ar-SA"/>
        </w:rPr>
        <w:t>2</w:t>
      </w:r>
    </w:p>
    <w:p w14:paraId="4C012B91">
      <w:pPr>
        <w:pStyle w:val="14"/>
        <w:tabs>
          <w:tab w:val="right" w:leader="dot" w:pos="8845"/>
          <w:tab w:val="clear" w:pos="8296"/>
        </w:tabs>
        <w:rPr>
          <w:rFonts w:hint="default" w:ascii="Times New Roman" w:hAnsi="Times New Roman" w:eastAsia="仿宋_GB2312" w:cs="Times New Roman"/>
          <w:sz w:val="32"/>
        </w:rPr>
      </w:pPr>
      <w:r>
        <w:rPr>
          <w:rFonts w:hint="eastAsia" w:ascii="Times New Roman" w:hAnsi="Times New Roman" w:eastAsia="方正仿宋简体" w:cs="Times New Roman"/>
          <w:kern w:val="2"/>
          <w:sz w:val="32"/>
          <w:szCs w:val="32"/>
          <w:lang w:val="en-US" w:eastAsia="zh-CN" w:bidi="ar-SA"/>
        </w:rPr>
        <w:t>一、收入支出决算总体情况说明</w:t>
      </w:r>
      <w:r>
        <w:rPr>
          <w:rFonts w:hint="default" w:ascii="Times New Roman" w:hAnsi="Times New Roman" w:eastAsia="仿宋_GB2312" w:cs="Times New Roman"/>
          <w:sz w:val="32"/>
        </w:rPr>
        <w:tab/>
      </w:r>
      <w:r>
        <w:rPr>
          <w:rFonts w:hint="eastAsia" w:ascii="Times New Roman" w:hAnsi="Times New Roman" w:eastAsia="仿宋_GB2312" w:cs="Times New Roman"/>
          <w:sz w:val="32"/>
          <w:lang w:val="en-US" w:eastAsia="zh-CN"/>
        </w:rPr>
        <w:t>2</w:t>
      </w:r>
    </w:p>
    <w:p w14:paraId="357F38C2">
      <w:pPr>
        <w:pStyle w:val="14"/>
        <w:tabs>
          <w:tab w:val="right" w:leader="dot" w:pos="8845"/>
          <w:tab w:val="clear" w:pos="8296"/>
        </w:tabs>
        <w:rPr>
          <w:rFonts w:hint="eastAsia" w:ascii="Times New Roman" w:hAnsi="Times New Roman" w:eastAsia="仿宋_GB2312" w:cs="Times New Roman"/>
          <w:sz w:val="32"/>
        </w:rPr>
      </w:pPr>
      <w:r>
        <w:rPr>
          <w:rFonts w:hint="eastAsia" w:ascii="Times New Roman" w:hAnsi="Times New Roman" w:eastAsia="方正仿宋简体" w:cs="Times New Roman"/>
          <w:kern w:val="2"/>
          <w:sz w:val="32"/>
          <w:szCs w:val="32"/>
          <w:lang w:val="en-US" w:eastAsia="zh-CN" w:bidi="ar-SA"/>
        </w:rPr>
        <w:t>二、收入决算情况说明</w:t>
      </w:r>
      <w:r>
        <w:rPr>
          <w:rFonts w:hint="eastAsia" w:ascii="Times New Roman" w:hAnsi="Times New Roman" w:eastAsia="仿宋_GB2312" w:cs="Times New Roman"/>
          <w:sz w:val="32"/>
        </w:rPr>
        <w:tab/>
      </w:r>
      <w:r>
        <w:rPr>
          <w:rFonts w:hint="eastAsia" w:ascii="Times New Roman" w:hAnsi="Times New Roman" w:eastAsia="仿宋_GB2312" w:cs="Times New Roman"/>
          <w:sz w:val="32"/>
          <w:lang w:val="en-US" w:eastAsia="zh-CN"/>
        </w:rPr>
        <w:t>2</w:t>
      </w:r>
    </w:p>
    <w:p w14:paraId="59DB1B51">
      <w:pPr>
        <w:pStyle w:val="14"/>
        <w:tabs>
          <w:tab w:val="right" w:leader="dot" w:pos="8845"/>
          <w:tab w:val="clear" w:pos="8296"/>
        </w:tabs>
        <w:rPr>
          <w:rFonts w:hint="eastAsia"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三、支出决算情况说明</w:t>
      </w:r>
      <w:r>
        <w:rPr>
          <w:rFonts w:hint="eastAsia" w:ascii="Times New Roman" w:hAnsi="Times New Roman" w:eastAsia="仿宋_GB2312" w:cs="Times New Roman"/>
          <w:sz w:val="32"/>
        </w:rPr>
        <w:tab/>
      </w:r>
      <w:r>
        <w:rPr>
          <w:rFonts w:hint="eastAsia" w:eastAsia="仿宋_GB2312" w:cs="Times New Roman"/>
          <w:sz w:val="32"/>
          <w:lang w:val="en-US" w:eastAsia="zh-CN"/>
        </w:rPr>
        <w:t>3</w:t>
      </w:r>
    </w:p>
    <w:p w14:paraId="04D2D2FE">
      <w:pPr>
        <w:pStyle w:val="14"/>
        <w:tabs>
          <w:tab w:val="right" w:leader="dot" w:pos="8845"/>
          <w:tab w:val="clear" w:pos="8296"/>
        </w:tabs>
        <w:rPr>
          <w:rFonts w:hint="eastAsia"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四、财政拨款收入支出决算总体情况说明</w:t>
      </w:r>
      <w:r>
        <w:rPr>
          <w:rFonts w:hint="eastAsia" w:ascii="Times New Roman" w:hAnsi="Times New Roman" w:eastAsia="仿宋_GB2312" w:cs="Times New Roman"/>
          <w:sz w:val="32"/>
        </w:rPr>
        <w:tab/>
      </w:r>
      <w:r>
        <w:rPr>
          <w:rFonts w:hint="eastAsia" w:eastAsia="仿宋_GB2312" w:cs="Times New Roman"/>
          <w:sz w:val="32"/>
          <w:lang w:val="en-US" w:eastAsia="zh-CN"/>
        </w:rPr>
        <w:t>3</w:t>
      </w:r>
    </w:p>
    <w:p w14:paraId="12BFF26E">
      <w:pPr>
        <w:pStyle w:val="14"/>
        <w:tabs>
          <w:tab w:val="right" w:leader="dot" w:pos="8845"/>
          <w:tab w:val="clear" w:pos="8296"/>
        </w:tabs>
        <w:rPr>
          <w:rFonts w:hint="eastAsia"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五、一般公共预算财政拨款支出决算情况说明</w:t>
      </w:r>
      <w:r>
        <w:rPr>
          <w:rFonts w:hint="eastAsia" w:ascii="Times New Roman" w:hAnsi="Times New Roman" w:eastAsia="仿宋_GB2312" w:cs="Times New Roman"/>
          <w:sz w:val="32"/>
        </w:rPr>
        <w:tab/>
      </w:r>
      <w:r>
        <w:rPr>
          <w:rFonts w:hint="eastAsia" w:eastAsia="仿宋_GB2312" w:cs="Times New Roman"/>
          <w:sz w:val="32"/>
          <w:lang w:val="en-US" w:eastAsia="zh-CN"/>
        </w:rPr>
        <w:t>4</w:t>
      </w:r>
    </w:p>
    <w:p w14:paraId="7328C1CA">
      <w:pPr>
        <w:pStyle w:val="14"/>
        <w:tabs>
          <w:tab w:val="right" w:leader="dot" w:pos="8845"/>
          <w:tab w:val="clear" w:pos="8296"/>
        </w:tabs>
        <w:rPr>
          <w:rFonts w:hint="eastAsia"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六、一般公共预算财政拨款基本支出决算情况说明</w:t>
      </w:r>
      <w:r>
        <w:rPr>
          <w:rFonts w:hint="eastAsia" w:ascii="Times New Roman" w:hAnsi="Times New Roman" w:eastAsia="仿宋_GB2312" w:cs="Times New Roman"/>
          <w:sz w:val="32"/>
        </w:rPr>
        <w:tab/>
      </w:r>
      <w:r>
        <w:rPr>
          <w:rFonts w:hint="eastAsia" w:eastAsia="仿宋_GB2312" w:cs="Times New Roman"/>
          <w:sz w:val="32"/>
          <w:lang w:val="en-US" w:eastAsia="zh-CN"/>
        </w:rPr>
        <w:t>6</w:t>
      </w:r>
    </w:p>
    <w:p w14:paraId="3B14C0FC">
      <w:pPr>
        <w:pStyle w:val="14"/>
        <w:tabs>
          <w:tab w:val="right" w:leader="dot" w:pos="8845"/>
          <w:tab w:val="clear" w:pos="8296"/>
        </w:tabs>
        <w:rPr>
          <w:rFonts w:hint="eastAsia"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七、财政拨款“三公”经费支出决算情况说明</w:t>
      </w:r>
      <w:r>
        <w:rPr>
          <w:rFonts w:hint="eastAsia" w:ascii="Times New Roman" w:hAnsi="Times New Roman" w:eastAsia="仿宋_GB2312" w:cs="Times New Roman"/>
          <w:sz w:val="32"/>
        </w:rPr>
        <w:tab/>
      </w:r>
      <w:r>
        <w:rPr>
          <w:rFonts w:hint="eastAsia" w:eastAsia="仿宋_GB2312" w:cs="Times New Roman"/>
          <w:sz w:val="32"/>
          <w:lang w:val="en-US" w:eastAsia="zh-CN"/>
        </w:rPr>
        <w:t>6</w:t>
      </w:r>
    </w:p>
    <w:p w14:paraId="5F5491C7">
      <w:pPr>
        <w:pStyle w:val="14"/>
        <w:tabs>
          <w:tab w:val="right" w:leader="dot" w:pos="8845"/>
          <w:tab w:val="clear" w:pos="8296"/>
        </w:tabs>
        <w:rPr>
          <w:rFonts w:hint="eastAsia"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八、政府性基金预算支出决算情况说明</w:t>
      </w:r>
      <w:r>
        <w:rPr>
          <w:rFonts w:hint="eastAsia" w:ascii="Times New Roman" w:hAnsi="Times New Roman" w:eastAsia="仿宋_GB2312" w:cs="Times New Roman"/>
          <w:sz w:val="32"/>
        </w:rPr>
        <w:tab/>
      </w:r>
      <w:r>
        <w:rPr>
          <w:rFonts w:hint="eastAsia" w:eastAsia="仿宋_GB2312" w:cs="Times New Roman"/>
          <w:sz w:val="32"/>
          <w:lang w:val="en-US" w:eastAsia="zh-CN"/>
        </w:rPr>
        <w:t>8</w:t>
      </w:r>
    </w:p>
    <w:p w14:paraId="4E519F96">
      <w:pPr>
        <w:pStyle w:val="14"/>
        <w:tabs>
          <w:tab w:val="right" w:leader="dot" w:pos="8845"/>
          <w:tab w:val="clear" w:pos="8296"/>
        </w:tabs>
        <w:rPr>
          <w:rFonts w:hint="eastAsia"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九、国有资本经营预算支出决算情况说明</w:t>
      </w:r>
      <w:r>
        <w:rPr>
          <w:rFonts w:hint="eastAsia" w:ascii="Times New Roman" w:hAnsi="Times New Roman" w:eastAsia="仿宋_GB2312" w:cs="Times New Roman"/>
          <w:sz w:val="32"/>
        </w:rPr>
        <w:tab/>
      </w:r>
      <w:r>
        <w:rPr>
          <w:rFonts w:hint="eastAsia" w:eastAsia="仿宋_GB2312" w:cs="Times New Roman"/>
          <w:sz w:val="32"/>
          <w:lang w:val="en-US" w:eastAsia="zh-CN"/>
        </w:rPr>
        <w:t>8</w:t>
      </w:r>
    </w:p>
    <w:p w14:paraId="0DE60E0E">
      <w:pPr>
        <w:pStyle w:val="14"/>
        <w:tabs>
          <w:tab w:val="right" w:leader="dot" w:pos="8845"/>
          <w:tab w:val="clear" w:pos="8296"/>
        </w:tabs>
        <w:rPr>
          <w:rFonts w:hint="eastAsia"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十、其他重要事项的情况说明</w:t>
      </w:r>
      <w:r>
        <w:rPr>
          <w:rFonts w:hint="eastAsia" w:ascii="Times New Roman" w:hAnsi="Times New Roman" w:eastAsia="仿宋_GB2312" w:cs="Times New Roman"/>
          <w:sz w:val="32"/>
        </w:rPr>
        <w:tab/>
      </w:r>
      <w:r>
        <w:rPr>
          <w:rFonts w:hint="eastAsia" w:eastAsia="仿宋_GB2312" w:cs="Times New Roman"/>
          <w:sz w:val="32"/>
          <w:lang w:val="en-US" w:eastAsia="zh-CN"/>
        </w:rPr>
        <w:t>8</w:t>
      </w:r>
    </w:p>
    <w:p w14:paraId="0F916722">
      <w:pPr>
        <w:pStyle w:val="14"/>
        <w:tabs>
          <w:tab w:val="right" w:leader="dot" w:pos="8845"/>
          <w:tab w:val="clear" w:pos="8296"/>
        </w:tabs>
        <w:rPr>
          <w:rFonts w:hint="default" w:ascii="方正黑体_GBK" w:hAnsi="方正黑体_GBK" w:eastAsia="方正黑体_GBK" w:cs="方正黑体_GBK"/>
          <w:sz w:val="32"/>
          <w:lang w:val="en-US" w:eastAsia="zh-CN"/>
        </w:rPr>
      </w:pPr>
      <w:r>
        <w:rPr>
          <w:rFonts w:hint="eastAsia" w:ascii="Times New Roman" w:hAnsi="Times New Roman" w:eastAsia="黑体" w:cs="Times New Roman"/>
          <w:kern w:val="2"/>
          <w:sz w:val="32"/>
          <w:szCs w:val="32"/>
          <w:lang w:val="en-US" w:eastAsia="zh-CN" w:bidi="ar-SA"/>
        </w:rPr>
        <w:t>第三部分 名词解释</w:t>
      </w:r>
      <w:r>
        <w:rPr>
          <w:rFonts w:hint="eastAsia" w:ascii="方正黑体_GBK" w:hAnsi="方正黑体_GBK" w:eastAsia="方正黑体_GBK" w:cs="方正黑体_GBK"/>
          <w:sz w:val="32"/>
        </w:rPr>
        <w:tab/>
      </w:r>
      <w:r>
        <w:rPr>
          <w:rFonts w:hint="default" w:ascii="Times New Roman" w:hAnsi="Times New Roman" w:eastAsia="方正黑体_GBK" w:cs="Times New Roman"/>
          <w:sz w:val="32"/>
          <w:lang w:val="en-US" w:eastAsia="zh-CN"/>
        </w:rPr>
        <w:t>1</w:t>
      </w:r>
      <w:r>
        <w:rPr>
          <w:rFonts w:hint="eastAsia" w:ascii="Times New Roman" w:hAnsi="Times New Roman" w:eastAsia="方正黑体_GBK" w:cs="Times New Roman"/>
          <w:sz w:val="32"/>
          <w:lang w:val="en-US" w:eastAsia="zh-CN"/>
        </w:rPr>
        <w:t>0</w:t>
      </w:r>
    </w:p>
    <w:p w14:paraId="7F1DFE4A">
      <w:pPr>
        <w:pStyle w:val="14"/>
        <w:tabs>
          <w:tab w:val="right" w:leader="dot" w:pos="8845"/>
          <w:tab w:val="clear" w:pos="8296"/>
        </w:tabs>
        <w:rPr>
          <w:rFonts w:hint="default" w:ascii="方正黑体_GBK" w:hAnsi="方正黑体_GBK" w:eastAsia="方正黑体_GBK" w:cs="方正黑体_GBK"/>
          <w:sz w:val="32"/>
          <w:lang w:val="en-US" w:eastAsia="zh-CN"/>
        </w:rPr>
      </w:pPr>
      <w:r>
        <w:rPr>
          <w:rFonts w:hint="eastAsia" w:ascii="Times New Roman" w:hAnsi="Times New Roman" w:eastAsia="黑体" w:cs="Times New Roman"/>
          <w:kern w:val="2"/>
          <w:sz w:val="32"/>
          <w:szCs w:val="32"/>
          <w:lang w:val="en-US" w:eastAsia="zh-CN" w:bidi="ar-SA"/>
        </w:rPr>
        <w:t>第四部分 附件</w:t>
      </w:r>
      <w:r>
        <w:rPr>
          <w:rFonts w:hint="eastAsia" w:ascii="方正黑体_GBK" w:hAnsi="方正黑体_GBK" w:eastAsia="方正黑体_GBK" w:cs="方正黑体_GBK"/>
          <w:sz w:val="32"/>
        </w:rPr>
        <w:tab/>
      </w:r>
      <w:r>
        <w:rPr>
          <w:rFonts w:hint="default" w:ascii="Times New Roman" w:hAnsi="Times New Roman" w:eastAsia="方正黑体_GBK" w:cs="Times New Roman"/>
          <w:sz w:val="32"/>
          <w:lang w:val="en-US" w:eastAsia="zh-CN"/>
        </w:rPr>
        <w:t>1</w:t>
      </w:r>
      <w:r>
        <w:rPr>
          <w:rFonts w:hint="eastAsia" w:ascii="Times New Roman" w:hAnsi="Times New Roman" w:eastAsia="方正黑体_GBK" w:cs="Times New Roman"/>
          <w:sz w:val="32"/>
          <w:lang w:val="en-US" w:eastAsia="zh-CN"/>
        </w:rPr>
        <w:t>2</w:t>
      </w:r>
    </w:p>
    <w:p w14:paraId="775C0B88">
      <w:pPr>
        <w:pStyle w:val="14"/>
        <w:tabs>
          <w:tab w:val="right" w:leader="dot" w:pos="8845"/>
          <w:tab w:val="clear" w:pos="8296"/>
        </w:tabs>
        <w:rPr>
          <w:rFonts w:hint="default" w:ascii="Times New Roman" w:hAnsi="Times New Roman" w:eastAsia="方正黑体_GBK" w:cs="Times New Roman"/>
          <w:sz w:val="32"/>
          <w:lang w:val="en-US" w:eastAsia="zh-CN"/>
        </w:rPr>
      </w:pPr>
      <w:r>
        <w:rPr>
          <w:rFonts w:hint="eastAsia" w:ascii="Times New Roman" w:hAnsi="Times New Roman" w:eastAsia="黑体" w:cs="Times New Roman"/>
          <w:kern w:val="2"/>
          <w:sz w:val="32"/>
          <w:szCs w:val="32"/>
          <w:lang w:val="en-US" w:eastAsia="zh-CN" w:bidi="ar-SA"/>
        </w:rPr>
        <w:t>第五部分 附表</w:t>
      </w:r>
      <w:r>
        <w:rPr>
          <w:rFonts w:hint="eastAsia" w:ascii="方正黑体_GBK" w:hAnsi="方正黑体_GBK" w:eastAsia="方正黑体_GBK" w:cs="方正黑体_GBK"/>
          <w:sz w:val="32"/>
        </w:rPr>
        <w:tab/>
      </w:r>
      <w:r>
        <w:rPr>
          <w:rFonts w:hint="default" w:ascii="Times New Roman" w:hAnsi="Times New Roman" w:eastAsia="方正黑体_GBK" w:cs="Times New Roman"/>
          <w:sz w:val="32"/>
          <w:lang w:val="en-US" w:eastAsia="zh-CN"/>
        </w:rPr>
        <w:t>1</w:t>
      </w:r>
      <w:r>
        <w:rPr>
          <w:rFonts w:hint="eastAsia" w:ascii="Times New Roman" w:hAnsi="Times New Roman" w:eastAsia="方正黑体_GBK" w:cs="Times New Roman"/>
          <w:sz w:val="32"/>
          <w:lang w:val="en-US" w:eastAsia="zh-CN"/>
        </w:rPr>
        <w:t>3</w:t>
      </w:r>
    </w:p>
    <w:p w14:paraId="67108474">
      <w:pPr>
        <w:pStyle w:val="14"/>
        <w:tabs>
          <w:tab w:val="right" w:leader="dot" w:pos="8845"/>
          <w:tab w:val="clear" w:pos="8296"/>
        </w:tabs>
        <w:rPr>
          <w:rFonts w:hint="default"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一、收入支出决算总表</w:t>
      </w:r>
      <w:r>
        <w:rPr>
          <w:rFonts w:hint="eastAsia" w:ascii="Times New Roman" w:hAnsi="Times New Roman" w:eastAsia="仿宋_GB2312" w:cs="Times New Roman"/>
          <w:sz w:val="32"/>
        </w:rPr>
        <w:tab/>
      </w:r>
      <w:r>
        <w:rPr>
          <w:rFonts w:hint="eastAsia" w:eastAsia="仿宋_GB2312" w:cs="Times New Roman"/>
          <w:sz w:val="32"/>
          <w:lang w:val="en-US" w:eastAsia="zh-CN"/>
        </w:rPr>
        <w:t>13</w:t>
      </w:r>
    </w:p>
    <w:p w14:paraId="17AE49ED">
      <w:pPr>
        <w:pStyle w:val="14"/>
        <w:tabs>
          <w:tab w:val="right" w:leader="dot" w:pos="8845"/>
          <w:tab w:val="clear" w:pos="8296"/>
        </w:tabs>
        <w:rPr>
          <w:rFonts w:hint="default" w:ascii="Times New Roman" w:hAnsi="Times New Roman" w:eastAsia="仿宋_GB2312" w:cs="Times New Roman"/>
          <w:sz w:val="32"/>
          <w:lang w:val="en-US"/>
        </w:rPr>
        <w:sectPr>
          <w:footerReference r:id="rId6" w:type="first"/>
          <w:footerReference r:id="rId5" w:type="default"/>
          <w:pgSz w:w="11906" w:h="16838"/>
          <w:pgMar w:top="1440" w:right="1800" w:bottom="1440" w:left="1800" w:header="851" w:footer="992" w:gutter="0"/>
          <w:pgNumType w:fmt="numberInDash" w:start="1"/>
          <w:cols w:space="425" w:num="1"/>
          <w:docGrid w:type="lines" w:linePitch="312" w:charSpace="0"/>
        </w:sectPr>
      </w:pPr>
      <w:r>
        <w:rPr>
          <w:rFonts w:hint="eastAsia" w:ascii="Times New Roman" w:hAnsi="Times New Roman" w:eastAsia="方正仿宋简体" w:cs="Times New Roman"/>
          <w:kern w:val="2"/>
          <w:sz w:val="32"/>
          <w:szCs w:val="32"/>
          <w:lang w:val="en-US" w:eastAsia="zh-CN" w:bidi="ar-SA"/>
        </w:rPr>
        <w:t>二、收入决算表</w:t>
      </w:r>
      <w:r>
        <w:rPr>
          <w:rFonts w:hint="eastAsia" w:ascii="Times New Roman" w:hAnsi="Times New Roman" w:eastAsia="仿宋_GB2312" w:cs="Times New Roman"/>
          <w:sz w:val="32"/>
        </w:rPr>
        <w:tab/>
      </w:r>
      <w:r>
        <w:rPr>
          <w:rFonts w:hint="eastAsia" w:eastAsia="仿宋_GB2312" w:cs="Times New Roman"/>
          <w:sz w:val="32"/>
          <w:lang w:val="en-US" w:eastAsia="zh-CN"/>
        </w:rPr>
        <w:t>13</w:t>
      </w:r>
    </w:p>
    <w:p w14:paraId="24CE0712">
      <w:pPr>
        <w:pStyle w:val="14"/>
        <w:tabs>
          <w:tab w:val="right" w:leader="dot" w:pos="8845"/>
          <w:tab w:val="clear" w:pos="8296"/>
        </w:tabs>
        <w:rPr>
          <w:rFonts w:hint="default"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三、支出决算表</w:t>
      </w:r>
      <w:r>
        <w:rPr>
          <w:rFonts w:hint="eastAsia" w:ascii="Times New Roman" w:hAnsi="Times New Roman" w:eastAsia="仿宋_GB2312" w:cs="Times New Roman"/>
          <w:sz w:val="32"/>
        </w:rPr>
        <w:tab/>
      </w:r>
      <w:r>
        <w:rPr>
          <w:rFonts w:hint="eastAsia" w:eastAsia="仿宋_GB2312" w:cs="Times New Roman"/>
          <w:sz w:val="32"/>
          <w:lang w:val="en-US" w:eastAsia="zh-CN"/>
        </w:rPr>
        <w:t>13</w:t>
      </w:r>
    </w:p>
    <w:p w14:paraId="70B0CEA7">
      <w:pPr>
        <w:pStyle w:val="14"/>
        <w:tabs>
          <w:tab w:val="right" w:leader="dot" w:pos="8845"/>
          <w:tab w:val="clear" w:pos="8296"/>
        </w:tabs>
        <w:rPr>
          <w:rFonts w:hint="default"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四、财政拨款收入支出决算总表</w:t>
      </w:r>
      <w:r>
        <w:rPr>
          <w:rFonts w:hint="eastAsia" w:ascii="Times New Roman" w:hAnsi="Times New Roman" w:eastAsia="仿宋_GB2312" w:cs="Times New Roman"/>
          <w:sz w:val="32"/>
        </w:rPr>
        <w:tab/>
      </w:r>
      <w:r>
        <w:rPr>
          <w:rFonts w:hint="eastAsia" w:eastAsia="仿宋_GB2312" w:cs="Times New Roman"/>
          <w:sz w:val="32"/>
          <w:lang w:val="en-US" w:eastAsia="zh-CN"/>
        </w:rPr>
        <w:t>13</w:t>
      </w:r>
    </w:p>
    <w:p w14:paraId="30886822">
      <w:pPr>
        <w:pStyle w:val="14"/>
        <w:tabs>
          <w:tab w:val="right" w:leader="dot" w:pos="8845"/>
          <w:tab w:val="clear" w:pos="8296"/>
        </w:tabs>
        <w:rPr>
          <w:rFonts w:hint="default"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五、财政拨款支出决算明细表</w:t>
      </w:r>
      <w:r>
        <w:rPr>
          <w:rFonts w:hint="eastAsia" w:ascii="Times New Roman" w:hAnsi="Times New Roman" w:eastAsia="仿宋_GB2312" w:cs="Times New Roman"/>
          <w:sz w:val="32"/>
        </w:rPr>
        <w:tab/>
      </w:r>
      <w:r>
        <w:rPr>
          <w:rFonts w:hint="eastAsia" w:eastAsia="仿宋_GB2312" w:cs="Times New Roman"/>
          <w:sz w:val="32"/>
          <w:lang w:val="en-US" w:eastAsia="zh-CN"/>
        </w:rPr>
        <w:t>13</w:t>
      </w:r>
    </w:p>
    <w:p w14:paraId="1886BD75">
      <w:pPr>
        <w:pStyle w:val="14"/>
        <w:tabs>
          <w:tab w:val="right" w:leader="dot" w:pos="8845"/>
          <w:tab w:val="clear" w:pos="8296"/>
        </w:tabs>
        <w:rPr>
          <w:rFonts w:hint="default"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六、一般公共预算财政拨款支出决算表</w:t>
      </w:r>
      <w:r>
        <w:rPr>
          <w:rFonts w:hint="eastAsia" w:ascii="Times New Roman" w:hAnsi="Times New Roman" w:eastAsia="仿宋_GB2312" w:cs="Times New Roman"/>
          <w:sz w:val="32"/>
        </w:rPr>
        <w:tab/>
      </w:r>
      <w:r>
        <w:rPr>
          <w:rFonts w:hint="eastAsia" w:eastAsia="仿宋_GB2312" w:cs="Times New Roman"/>
          <w:sz w:val="32"/>
          <w:lang w:val="en-US" w:eastAsia="zh-CN"/>
        </w:rPr>
        <w:t>13</w:t>
      </w:r>
    </w:p>
    <w:p w14:paraId="575D8B6E">
      <w:pPr>
        <w:pStyle w:val="14"/>
        <w:tabs>
          <w:tab w:val="right" w:leader="dot" w:pos="8845"/>
          <w:tab w:val="clear" w:pos="8296"/>
        </w:tabs>
        <w:rPr>
          <w:rFonts w:hint="default"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七、一般公共预算财政拨款支出决算明细表</w:t>
      </w:r>
      <w:r>
        <w:rPr>
          <w:rFonts w:hint="eastAsia" w:ascii="Times New Roman" w:hAnsi="Times New Roman" w:eastAsia="仿宋_GB2312" w:cs="Times New Roman"/>
          <w:sz w:val="32"/>
        </w:rPr>
        <w:tab/>
      </w:r>
      <w:r>
        <w:rPr>
          <w:rFonts w:hint="eastAsia" w:eastAsia="仿宋_GB2312" w:cs="Times New Roman"/>
          <w:sz w:val="32"/>
          <w:lang w:val="en-US" w:eastAsia="zh-CN"/>
        </w:rPr>
        <w:t>13</w:t>
      </w:r>
    </w:p>
    <w:p w14:paraId="1F90E030">
      <w:pPr>
        <w:pStyle w:val="14"/>
        <w:tabs>
          <w:tab w:val="right" w:leader="dot" w:pos="8845"/>
          <w:tab w:val="clear" w:pos="8296"/>
        </w:tabs>
        <w:rPr>
          <w:rFonts w:hint="default"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八、一般公共预算财政拨款基本支出决算明细表</w:t>
      </w:r>
      <w:r>
        <w:rPr>
          <w:rFonts w:hint="eastAsia" w:ascii="Times New Roman" w:hAnsi="Times New Roman" w:eastAsia="仿宋_GB2312" w:cs="Times New Roman"/>
          <w:sz w:val="32"/>
        </w:rPr>
        <w:tab/>
      </w:r>
      <w:r>
        <w:rPr>
          <w:rFonts w:hint="eastAsia" w:eastAsia="仿宋_GB2312" w:cs="Times New Roman"/>
          <w:sz w:val="32"/>
          <w:lang w:val="en-US" w:eastAsia="zh-CN"/>
        </w:rPr>
        <w:t>13</w:t>
      </w:r>
    </w:p>
    <w:p w14:paraId="753B5322">
      <w:pPr>
        <w:pStyle w:val="14"/>
        <w:tabs>
          <w:tab w:val="right" w:leader="dot" w:pos="8845"/>
          <w:tab w:val="clear" w:pos="8296"/>
        </w:tabs>
        <w:rPr>
          <w:rFonts w:hint="default"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九、一般公共预算财政拨款项目支出决算表</w:t>
      </w:r>
      <w:r>
        <w:rPr>
          <w:rFonts w:hint="eastAsia" w:ascii="Times New Roman" w:hAnsi="Times New Roman" w:eastAsia="仿宋_GB2312" w:cs="Times New Roman"/>
          <w:sz w:val="32"/>
        </w:rPr>
        <w:tab/>
      </w:r>
      <w:r>
        <w:rPr>
          <w:rFonts w:hint="eastAsia" w:eastAsia="仿宋_GB2312" w:cs="Times New Roman"/>
          <w:sz w:val="32"/>
          <w:lang w:val="en-US" w:eastAsia="zh-CN"/>
        </w:rPr>
        <w:t>13</w:t>
      </w:r>
    </w:p>
    <w:p w14:paraId="352467C9">
      <w:pPr>
        <w:pStyle w:val="14"/>
        <w:tabs>
          <w:tab w:val="right" w:leader="dot" w:pos="8845"/>
          <w:tab w:val="clear" w:pos="8296"/>
        </w:tabs>
        <w:rPr>
          <w:rFonts w:hint="default"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十、政府性基金预算财政拨款收入支出决算表</w:t>
      </w:r>
      <w:r>
        <w:rPr>
          <w:rFonts w:hint="eastAsia" w:ascii="Times New Roman" w:hAnsi="Times New Roman" w:eastAsia="仿宋_GB2312" w:cs="Times New Roman"/>
          <w:sz w:val="32"/>
        </w:rPr>
        <w:tab/>
      </w:r>
      <w:r>
        <w:rPr>
          <w:rFonts w:hint="eastAsia" w:eastAsia="仿宋_GB2312" w:cs="Times New Roman"/>
          <w:sz w:val="32"/>
          <w:lang w:val="en-US" w:eastAsia="zh-CN"/>
        </w:rPr>
        <w:t>13</w:t>
      </w:r>
    </w:p>
    <w:p w14:paraId="7C17E4B7">
      <w:pPr>
        <w:pStyle w:val="14"/>
        <w:tabs>
          <w:tab w:val="right" w:leader="dot" w:pos="8845"/>
          <w:tab w:val="clear" w:pos="8296"/>
        </w:tabs>
        <w:rPr>
          <w:rFonts w:hint="default"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十一、国有资本经营预算财政拨款收入支出决算表</w:t>
      </w:r>
      <w:r>
        <w:rPr>
          <w:rFonts w:hint="eastAsia" w:ascii="Times New Roman" w:hAnsi="Times New Roman" w:eastAsia="仿宋_GB2312" w:cs="Times New Roman"/>
          <w:sz w:val="32"/>
        </w:rPr>
        <w:tab/>
      </w:r>
      <w:r>
        <w:rPr>
          <w:rFonts w:hint="eastAsia" w:eastAsia="仿宋_GB2312" w:cs="Times New Roman"/>
          <w:sz w:val="32"/>
          <w:lang w:val="en-US" w:eastAsia="zh-CN"/>
        </w:rPr>
        <w:t>13</w:t>
      </w:r>
    </w:p>
    <w:p w14:paraId="3DFA0E71">
      <w:pPr>
        <w:pStyle w:val="14"/>
        <w:tabs>
          <w:tab w:val="right" w:leader="dot" w:pos="8845"/>
          <w:tab w:val="clear" w:pos="8296"/>
        </w:tabs>
        <w:rPr>
          <w:rFonts w:hint="default"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十二、国有资本经营预算财政拨款支出决算表</w:t>
      </w:r>
      <w:r>
        <w:rPr>
          <w:rFonts w:hint="eastAsia" w:ascii="Times New Roman" w:hAnsi="Times New Roman" w:eastAsia="仿宋_GB2312" w:cs="Times New Roman"/>
          <w:sz w:val="32"/>
        </w:rPr>
        <w:tab/>
      </w:r>
      <w:r>
        <w:rPr>
          <w:rFonts w:hint="eastAsia" w:eastAsia="仿宋_GB2312" w:cs="Times New Roman"/>
          <w:sz w:val="32"/>
          <w:lang w:val="en-US" w:eastAsia="zh-CN"/>
        </w:rPr>
        <w:t>13</w:t>
      </w:r>
    </w:p>
    <w:p w14:paraId="0CE6941E">
      <w:pPr>
        <w:pStyle w:val="14"/>
        <w:tabs>
          <w:tab w:val="right" w:leader="dot" w:pos="8845"/>
          <w:tab w:val="clear" w:pos="8296"/>
        </w:tabs>
        <w:rPr>
          <w:rFonts w:hint="default" w:ascii="Times New Roman" w:hAnsi="Times New Roman" w:eastAsia="仿宋_GB2312" w:cs="Times New Roman"/>
          <w:sz w:val="32"/>
          <w:lang w:val="en-US" w:eastAsia="zh-CN"/>
        </w:rPr>
      </w:pPr>
      <w:r>
        <w:rPr>
          <w:rFonts w:hint="eastAsia" w:ascii="Times New Roman" w:hAnsi="Times New Roman" w:eastAsia="方正仿宋简体" w:cs="Times New Roman"/>
          <w:kern w:val="2"/>
          <w:sz w:val="32"/>
          <w:szCs w:val="32"/>
          <w:lang w:val="en-US" w:eastAsia="zh-CN" w:bidi="ar-SA"/>
        </w:rPr>
        <w:t>十三、财政拨款“三公”经费支出决算表</w:t>
      </w:r>
      <w:r>
        <w:rPr>
          <w:rFonts w:hint="eastAsia" w:ascii="Times New Roman" w:hAnsi="Times New Roman" w:eastAsia="仿宋_GB2312" w:cs="Times New Roman"/>
          <w:sz w:val="32"/>
        </w:rPr>
        <w:tab/>
      </w:r>
      <w:r>
        <w:rPr>
          <w:rFonts w:hint="eastAsia" w:eastAsia="仿宋_GB2312" w:cs="Times New Roman"/>
          <w:sz w:val="32"/>
          <w:lang w:val="en-US" w:eastAsia="zh-CN"/>
        </w:rPr>
        <w:t>13</w:t>
      </w:r>
    </w:p>
    <w:p w14:paraId="64A36904">
      <w:pPr>
        <w:pStyle w:val="14"/>
        <w:adjustRightInd w:val="0"/>
        <w:snapToGrid w:val="0"/>
        <w:spacing w:line="560" w:lineRule="exact"/>
        <w:ind w:left="0" w:leftChars="0" w:firstLine="643" w:firstLineChars="200"/>
        <w:jc w:val="left"/>
        <w:rPr>
          <w:rFonts w:eastAsia="仿宋_GB2312" w:cs="仿宋_GB2312"/>
          <w:b/>
          <w:bCs/>
          <w:sz w:val="32"/>
          <w:szCs w:val="32"/>
        </w:rPr>
      </w:pPr>
    </w:p>
    <w:p w14:paraId="72EB024E">
      <w:pPr>
        <w:numPr>
          <w:ilvl w:val="0"/>
          <w:numId w:val="1"/>
        </w:numPr>
        <w:jc w:val="center"/>
        <w:rPr>
          <w:rFonts w:hint="eastAsia" w:ascii="Times New Roman" w:hAnsi="Times New Roman" w:eastAsia="方正小标宋_GBK" w:cs="Times New Roman"/>
          <w:b/>
          <w:sz w:val="44"/>
          <w:szCs w:val="44"/>
          <w:lang w:val="en-US" w:eastAsia="zh-CN"/>
        </w:rPr>
        <w:sectPr>
          <w:footerReference r:id="rId7" w:type="default"/>
          <w:pgSz w:w="11906" w:h="16838"/>
          <w:pgMar w:top="1440" w:right="1800" w:bottom="1440" w:left="1800" w:header="851" w:footer="992" w:gutter="0"/>
          <w:pgNumType w:fmt="numberInDash" w:start="1"/>
          <w:cols w:space="425" w:num="1"/>
          <w:docGrid w:type="lines" w:linePitch="312" w:charSpace="0"/>
        </w:sectPr>
      </w:pPr>
      <w:bookmarkStart w:id="2" w:name="_Toc15377196"/>
      <w:bookmarkStart w:id="3" w:name="_Toc15396599"/>
    </w:p>
    <w:p w14:paraId="14A99BBE">
      <w:pPr>
        <w:pStyle w:val="2"/>
        <w:jc w:val="center"/>
        <w:rPr>
          <w:rFonts w:hint="eastAsia" w:eastAsia="方正小标宋_GBK"/>
          <w:lang w:val="en-US" w:eastAsia="zh-CN" w:bidi="ar-SA"/>
        </w:rPr>
      </w:pPr>
      <w:r>
        <w:rPr>
          <w:rFonts w:hint="eastAsia" w:eastAsia="方正小标宋_GBK"/>
          <w:lang w:val="en-US" w:eastAsia="zh-CN" w:bidi="ar-SA"/>
        </w:rPr>
        <w:t>第一部分 单位概况</w:t>
      </w:r>
      <w:bookmarkEnd w:id="2"/>
      <w:bookmarkEnd w:id="3"/>
    </w:p>
    <w:p w14:paraId="512EF1E6">
      <w:pPr>
        <w:pStyle w:val="13"/>
        <w:numPr>
          <w:ilvl w:val="0"/>
          <w:numId w:val="0"/>
        </w:numPr>
      </w:pPr>
    </w:p>
    <w:p w14:paraId="2BAB7439">
      <w:pPr>
        <w:pStyle w:val="14"/>
        <w:adjustRightInd w:val="0"/>
        <w:snapToGrid w:val="0"/>
        <w:spacing w:line="440" w:lineRule="exact"/>
        <w:ind w:left="200" w:firstLine="160" w:firstLineChars="50"/>
        <w:jc w:val="left"/>
        <w:rPr>
          <w:rStyle w:val="38"/>
          <w:rFonts w:hint="eastAsia" w:ascii="Times New Roman" w:hAnsi="Times New Roman" w:eastAsia="黑体"/>
          <w:b w:val="0"/>
          <w:bCs w:val="0"/>
        </w:rPr>
      </w:pPr>
      <w:r>
        <w:rPr>
          <w:rStyle w:val="38"/>
          <w:rFonts w:hint="eastAsia" w:ascii="Times New Roman" w:hAnsi="Times New Roman" w:eastAsia="黑体"/>
          <w:b w:val="0"/>
          <w:bCs w:val="0"/>
          <w:lang w:eastAsia="zh-CN"/>
        </w:rPr>
        <w:t>一、单位</w:t>
      </w:r>
      <w:r>
        <w:rPr>
          <w:rStyle w:val="38"/>
          <w:rFonts w:hint="eastAsia" w:ascii="Times New Roman" w:hAnsi="Times New Roman" w:eastAsia="黑体"/>
          <w:b w:val="0"/>
          <w:bCs w:val="0"/>
        </w:rPr>
        <w:t>职责</w:t>
      </w:r>
    </w:p>
    <w:p w14:paraId="1AEAF30C">
      <w:pPr>
        <w:snapToGrid w:val="0"/>
        <w:spacing w:line="560" w:lineRule="exact"/>
        <w:ind w:firstLine="640" w:firstLineChars="200"/>
        <w:rPr>
          <w:rFonts w:hint="eastAsia" w:eastAsia="方正仿宋_GBK"/>
          <w:color w:val="auto"/>
          <w:sz w:val="32"/>
          <w:szCs w:val="32"/>
          <w:highlight w:val="none"/>
          <w:lang w:val="en-US" w:eastAsia="zh-CN" w:bidi="ar-SA"/>
        </w:rPr>
      </w:pPr>
      <w:r>
        <w:rPr>
          <w:rFonts w:hint="eastAsia" w:eastAsia="方正仿宋_GBK"/>
          <w:color w:val="auto"/>
          <w:sz w:val="32"/>
          <w:szCs w:val="32"/>
          <w:highlight w:val="none"/>
          <w:lang w:val="en-US" w:eastAsia="zh-CN" w:bidi="ar-SA"/>
        </w:rPr>
        <w:t>攀枝花市救助站是攀枝花市民政局直属公益一类事业单位。我站法定职责为救助城市生活无着的流浪乞讨人员。具体为：落实《城市生活无着的流浪乞讨人员救助管理办法》（国务院令第381号）、《城市生活无着的流浪乞讨人员救助管理办法实施细则》（民政部令第24号）等工作要求，按照“自愿求助、无偿救助”原则，承担生活无着的流浪、乞讨人员救助工作，即：为离家在外、自身无力解决食宿、正在或即将处于流浪或乞讨状态的人员，包括生活无着的流浪人员和生活无着的乞讨人员提供救助服务；承担流浪未成年人救助保护工作；承担云南、广西两省特殊困难群众的跨省返乡工作；指导县（区）救助机构业务工作。</w:t>
      </w:r>
    </w:p>
    <w:p w14:paraId="7EDFBC71">
      <w:pPr>
        <w:pStyle w:val="3"/>
        <w:spacing w:before="0" w:after="0" w:line="415" w:lineRule="auto"/>
        <w:ind w:firstLine="640" w:firstLineChars="200"/>
        <w:rPr>
          <w:rFonts w:hint="eastAsia" w:ascii="Times New Roman" w:hAnsi="Times New Roman" w:eastAsia="黑体" w:cs="Times New Roman"/>
          <w:b w:val="0"/>
        </w:rPr>
      </w:pPr>
      <w:bookmarkStart w:id="4" w:name="_Toc15396601"/>
      <w:bookmarkStart w:id="5" w:name="_Toc15377200"/>
      <w:r>
        <w:rPr>
          <w:rFonts w:hint="eastAsia" w:ascii="Times New Roman" w:hAnsi="Times New Roman" w:eastAsia="黑体" w:cs="Times New Roman"/>
          <w:b w:val="0"/>
        </w:rPr>
        <w:t>二、机构设置</w:t>
      </w:r>
      <w:bookmarkEnd w:id="4"/>
      <w:bookmarkEnd w:id="5"/>
    </w:p>
    <w:p w14:paraId="1FDBB9E5">
      <w:pPr>
        <w:pStyle w:val="5"/>
        <w:keepNext w:val="0"/>
        <w:keepLines w:val="0"/>
        <w:pageBreakBefore w:val="0"/>
        <w:widowControl w:val="0"/>
        <w:suppressAutoHyphens/>
        <w:kinsoku/>
        <w:wordWrap/>
        <w:overflowPunct/>
        <w:topLinePunct w:val="0"/>
        <w:autoSpaceDE/>
        <w:autoSpaceDN/>
        <w:bidi w:val="0"/>
        <w:adjustRightInd/>
        <w:snapToGrid/>
        <w:spacing w:before="0" w:beforeLines="-2147483648" w:after="0" w:line="0" w:lineRule="atLeast"/>
        <w:ind w:firstLine="640" w:firstLineChars="200"/>
        <w:jc w:val="both"/>
        <w:textAlignment w:val="auto"/>
        <w:rPr>
          <w:rFonts w:eastAsia="仿宋"/>
          <w:kern w:val="0"/>
          <w:sz w:val="32"/>
          <w:szCs w:val="32"/>
        </w:rPr>
      </w:pPr>
      <w:r>
        <w:rPr>
          <w:rFonts w:hint="eastAsia" w:ascii="Times New Roman" w:hAnsi="Times New Roman" w:eastAsia="方正仿宋_GBK" w:cs="Times New Roman"/>
          <w:color w:val="auto"/>
          <w:kern w:val="2"/>
          <w:sz w:val="32"/>
          <w:szCs w:val="32"/>
          <w:highlight w:val="none"/>
          <w:lang w:val="en-US" w:eastAsia="zh-CN" w:bidi="ar-SA"/>
        </w:rPr>
        <w:t>机构目前内设办公室、业务股、安全管理股、未保股4个股室。</w:t>
      </w:r>
      <w:r>
        <w:rPr>
          <w:rFonts w:eastAsia="仿宋"/>
          <w:sz w:val="32"/>
          <w:szCs w:val="32"/>
        </w:rPr>
        <w:br w:type="page"/>
      </w:r>
    </w:p>
    <w:p w14:paraId="21726899">
      <w:pPr>
        <w:keepNext w:val="0"/>
        <w:keepLines w:val="0"/>
        <w:pageBreakBefore w:val="0"/>
        <w:widowControl/>
        <w:numPr>
          <w:ilvl w:val="0"/>
          <w:numId w:val="2"/>
        </w:numPr>
        <w:kinsoku/>
        <w:wordWrap/>
        <w:overflowPunct/>
        <w:topLinePunct w:val="0"/>
        <w:autoSpaceDE/>
        <w:autoSpaceDN/>
        <w:bidi w:val="0"/>
        <w:adjustRightInd/>
        <w:snapToGrid/>
        <w:spacing w:line="700" w:lineRule="exact"/>
        <w:contextualSpacing/>
        <w:jc w:val="both"/>
        <w:textAlignment w:val="auto"/>
        <w:rPr>
          <w:rFonts w:hint="eastAsia" w:eastAsia="方正小标宋_GBK"/>
          <w:b/>
          <w:bCs/>
          <w:sz w:val="44"/>
          <w:szCs w:val="44"/>
          <w:shd w:val="clear" w:color="auto" w:fill="FFFFFF"/>
          <w:lang w:val="en-US" w:eastAsia="zh-CN" w:bidi="ar-SA"/>
        </w:rPr>
      </w:pPr>
      <w:bookmarkStart w:id="6" w:name="_Toc15377204"/>
      <w:bookmarkStart w:id="7" w:name="_Toc15396602"/>
      <w:r>
        <w:rPr>
          <w:rFonts w:hint="eastAsia" w:eastAsia="方正小标宋_GBK"/>
          <w:b/>
          <w:bCs/>
          <w:sz w:val="44"/>
          <w:szCs w:val="44"/>
          <w:shd w:val="clear" w:color="auto" w:fill="FFFFFF"/>
          <w:lang w:eastAsia="zh-CN" w:bidi="ar-SA"/>
        </w:rPr>
        <w:t xml:space="preserve"> </w:t>
      </w:r>
      <w:r>
        <w:rPr>
          <w:rFonts w:hint="eastAsia" w:eastAsia="方正小标宋_GBK"/>
          <w:b/>
          <w:bCs/>
          <w:sz w:val="44"/>
          <w:szCs w:val="44"/>
          <w:shd w:val="clear" w:color="auto" w:fill="FFFFFF"/>
          <w:lang w:val="en-US" w:eastAsia="zh-CN" w:bidi="ar-SA"/>
        </w:rPr>
        <w:t>2025年度部门决算情况说明</w:t>
      </w:r>
      <w:bookmarkEnd w:id="6"/>
      <w:bookmarkEnd w:id="7"/>
    </w:p>
    <w:p w14:paraId="79B653F6">
      <w:pPr>
        <w:keepNext w:val="0"/>
        <w:keepLines w:val="0"/>
        <w:pageBreakBefore w:val="0"/>
        <w:widowControl/>
        <w:numPr>
          <w:ilvl w:val="0"/>
          <w:numId w:val="0"/>
        </w:numPr>
        <w:kinsoku/>
        <w:wordWrap/>
        <w:overflowPunct/>
        <w:topLinePunct w:val="0"/>
        <w:autoSpaceDE/>
        <w:autoSpaceDN/>
        <w:bidi w:val="0"/>
        <w:adjustRightInd/>
        <w:snapToGrid/>
        <w:spacing w:line="700" w:lineRule="exact"/>
        <w:contextualSpacing/>
        <w:jc w:val="both"/>
        <w:textAlignment w:val="auto"/>
        <w:rPr>
          <w:rFonts w:hint="eastAsia" w:eastAsia="方正小标宋_GBK"/>
          <w:b/>
          <w:bCs/>
          <w:sz w:val="44"/>
          <w:szCs w:val="44"/>
          <w:shd w:val="clear" w:color="auto" w:fill="FFFFFF"/>
          <w:lang w:val="en-US" w:eastAsia="zh-CN" w:bidi="ar-SA"/>
        </w:rPr>
      </w:pPr>
    </w:p>
    <w:p w14:paraId="5BFF1852">
      <w:pPr>
        <w:pStyle w:val="29"/>
        <w:spacing w:line="600" w:lineRule="exact"/>
        <w:ind w:firstLine="200"/>
        <w:outlineLvl w:val="1"/>
        <w:rPr>
          <w:rFonts w:hint="default" w:eastAsia="方正黑体_GBK"/>
          <w:b w:val="0"/>
          <w:bCs w:val="0"/>
          <w:color w:val="auto"/>
          <w:kern w:val="2"/>
          <w:sz w:val="32"/>
          <w:szCs w:val="32"/>
          <w:lang w:val="en-US" w:eastAsia="zh-CN" w:bidi="ar-SA"/>
        </w:rPr>
      </w:pPr>
      <w:bookmarkStart w:id="8" w:name="_Toc15377205"/>
      <w:bookmarkStart w:id="9" w:name="_Toc15396603"/>
      <w:r>
        <w:rPr>
          <w:rFonts w:hint="eastAsia" w:eastAsia="方正黑体_GBK"/>
          <w:b w:val="0"/>
          <w:bCs w:val="0"/>
          <w:color w:val="auto"/>
          <w:kern w:val="2"/>
          <w:sz w:val="32"/>
          <w:szCs w:val="32"/>
          <w:lang w:val="en-US" w:eastAsia="zh-CN" w:bidi="ar-SA"/>
        </w:rPr>
        <w:t>一、收入支出决算总体情况说明</w:t>
      </w:r>
      <w:bookmarkEnd w:id="8"/>
      <w:bookmarkEnd w:id="9"/>
    </w:p>
    <w:p w14:paraId="7D09D527">
      <w:pPr>
        <w:pStyle w:val="29"/>
        <w:spacing w:line="600" w:lineRule="exact"/>
        <w:ind w:firstLine="200"/>
        <w:outlineLvl w:val="1"/>
        <w:rPr>
          <w:rFonts w:hint="eastAsia" w:eastAsia="方正仿宋_GBK"/>
          <w:color w:val="auto"/>
          <w:kern w:val="2"/>
          <w:sz w:val="32"/>
          <w:szCs w:val="32"/>
          <w:highlight w:val="none"/>
          <w:lang w:val="en-US" w:eastAsia="zh-CN" w:bidi="ar-SA"/>
        </w:rPr>
      </w:pPr>
      <w:r>
        <w:rPr>
          <w:rFonts w:hint="eastAsia" w:eastAsia="方正仿宋_GBK"/>
          <w:color w:val="auto"/>
          <w:kern w:val="2"/>
          <w:sz w:val="32"/>
          <w:szCs w:val="32"/>
          <w:highlight w:val="none"/>
          <w:lang w:val="en-US" w:eastAsia="zh-CN" w:bidi="ar-SA"/>
        </w:rPr>
        <w:t>2025年度收入、支出总计均为430.75万元。与上年度相比，收入、支出总计各增加5.67万元，增长1.3%。主要变动原因是单位人员变动，基本支出增加。</w:t>
      </w:r>
    </w:p>
    <w:p w14:paraId="32265813">
      <w:pPr>
        <w:pStyle w:val="29"/>
        <w:spacing w:line="240" w:lineRule="auto"/>
        <w:ind w:firstLine="640"/>
        <w:outlineLvl w:val="1"/>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4838065" cy="2525395"/>
            <wp:effectExtent l="0" t="0" r="635" b="8255"/>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
                    <pic:cNvPicPr>
                      <a:picLocks noChangeAspect="1"/>
                    </pic:cNvPicPr>
                  </pic:nvPicPr>
                  <pic:blipFill>
                    <a:blip r:embed="rId11"/>
                    <a:stretch>
                      <a:fillRect/>
                    </a:stretch>
                  </pic:blipFill>
                  <pic:spPr>
                    <a:xfrm>
                      <a:off x="0" y="0"/>
                      <a:ext cx="4838065" cy="2525395"/>
                    </a:xfrm>
                    <a:prstGeom prst="rect">
                      <a:avLst/>
                    </a:prstGeom>
                  </pic:spPr>
                </pic:pic>
              </a:graphicData>
            </a:graphic>
          </wp:inline>
        </w:drawing>
      </w:r>
    </w:p>
    <w:p w14:paraId="281609DC">
      <w:pPr>
        <w:pStyle w:val="29"/>
        <w:spacing w:line="600" w:lineRule="exact"/>
        <w:ind w:firstLine="1280" w:firstLineChars="400"/>
        <w:outlineLvl w:val="1"/>
        <w:rPr>
          <w:rFonts w:hint="eastAsia" w:eastAsia="仿宋_GB2312" w:cs="仿宋_GB2312"/>
          <w:sz w:val="32"/>
          <w:szCs w:val="32"/>
          <w:lang w:eastAsia="zh-CN"/>
        </w:rPr>
      </w:pPr>
      <w:r>
        <w:rPr>
          <w:rFonts w:hint="eastAsia" w:eastAsia="仿宋_GB2312" w:cs="仿宋_GB2312"/>
          <w:sz w:val="32"/>
          <w:szCs w:val="32"/>
          <w:lang w:eastAsia="zh-CN"/>
        </w:rPr>
        <w:t>（</w:t>
      </w:r>
      <w:r>
        <w:rPr>
          <w:rFonts w:hint="eastAsia" w:eastAsia="仿宋_GB2312" w:cs="仿宋_GB2312"/>
          <w:sz w:val="32"/>
          <w:szCs w:val="32"/>
        </w:rPr>
        <w:t>图1：收入、支出决算总计变动情况图</w:t>
      </w:r>
      <w:bookmarkStart w:id="10" w:name="_Toc15377206"/>
      <w:bookmarkStart w:id="11" w:name="_Toc15396604"/>
      <w:r>
        <w:rPr>
          <w:rFonts w:hint="eastAsia" w:eastAsia="仿宋_GB2312" w:cs="仿宋_GB2312"/>
          <w:sz w:val="32"/>
          <w:szCs w:val="32"/>
          <w:lang w:eastAsia="zh-CN"/>
        </w:rPr>
        <w:t>）</w:t>
      </w:r>
    </w:p>
    <w:p w14:paraId="33D61AC1">
      <w:pPr>
        <w:pStyle w:val="29"/>
        <w:spacing w:line="600" w:lineRule="exact"/>
        <w:ind w:firstLine="200"/>
        <w:outlineLvl w:val="1"/>
        <w:rPr>
          <w:rFonts w:hint="default" w:eastAsia="方正黑体_GBK"/>
          <w:b w:val="0"/>
          <w:bCs w:val="0"/>
          <w:color w:val="auto"/>
          <w:kern w:val="2"/>
          <w:sz w:val="32"/>
          <w:szCs w:val="32"/>
          <w:lang w:val="en-US" w:eastAsia="zh-CN" w:bidi="ar-SA"/>
        </w:rPr>
      </w:pPr>
      <w:r>
        <w:rPr>
          <w:rFonts w:hint="eastAsia" w:eastAsia="方正黑体_GBK"/>
          <w:b w:val="0"/>
          <w:bCs w:val="0"/>
          <w:color w:val="auto"/>
          <w:kern w:val="2"/>
          <w:sz w:val="32"/>
          <w:szCs w:val="32"/>
          <w:lang w:val="en-US" w:eastAsia="zh-CN" w:bidi="ar-SA"/>
        </w:rPr>
        <w:t>二、收入决算情况说明</w:t>
      </w:r>
      <w:bookmarkEnd w:id="10"/>
      <w:bookmarkEnd w:id="11"/>
    </w:p>
    <w:p w14:paraId="722E5570">
      <w:pPr>
        <w:pStyle w:val="29"/>
        <w:spacing w:line="600" w:lineRule="exact"/>
        <w:ind w:firstLine="200"/>
        <w:outlineLvl w:val="1"/>
        <w:rPr>
          <w:rFonts w:hint="eastAsia" w:eastAsia="方正仿宋_GBK"/>
          <w:bCs/>
          <w:color w:val="000000"/>
          <w:sz w:val="32"/>
          <w:szCs w:val="32"/>
          <w:lang w:eastAsia="zh-CN"/>
        </w:rPr>
      </w:pPr>
      <w:r>
        <w:rPr>
          <w:rFonts w:hint="eastAsia" w:eastAsia="方正仿宋_GBK"/>
          <w:color w:val="auto"/>
          <w:kern w:val="2"/>
          <w:sz w:val="32"/>
          <w:szCs w:val="32"/>
          <w:highlight w:val="none"/>
          <w:lang w:val="en-US" w:eastAsia="zh-CN" w:bidi="ar-SA"/>
        </w:rPr>
        <w:t>2025年度本年收入合计430.75万元，其中：一般公共预算财政拨款收入430.75万元，占100%。</w:t>
      </w:r>
    </w:p>
    <w:p w14:paraId="57259A42">
      <w:pPr>
        <w:pStyle w:val="29"/>
        <w:spacing w:line="240" w:lineRule="auto"/>
        <w:ind w:left="0" w:leftChars="0" w:firstLine="0" w:firstLineChars="0"/>
        <w:outlineLvl w:val="1"/>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4838065" cy="1677670"/>
            <wp:effectExtent l="0" t="0" r="635" b="17780"/>
            <wp:docPr id="5" name="图片 5"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3"/>
                    <pic:cNvPicPr>
                      <a:picLocks noChangeAspect="1"/>
                    </pic:cNvPicPr>
                  </pic:nvPicPr>
                  <pic:blipFill>
                    <a:blip r:embed="rId12"/>
                    <a:stretch>
                      <a:fillRect/>
                    </a:stretch>
                  </pic:blipFill>
                  <pic:spPr>
                    <a:xfrm>
                      <a:off x="0" y="0"/>
                      <a:ext cx="4838065" cy="1677670"/>
                    </a:xfrm>
                    <a:prstGeom prst="rect">
                      <a:avLst/>
                    </a:prstGeom>
                  </pic:spPr>
                </pic:pic>
              </a:graphicData>
            </a:graphic>
          </wp:inline>
        </w:drawing>
      </w:r>
    </w:p>
    <w:p w14:paraId="56989EA2">
      <w:pPr>
        <w:pStyle w:val="29"/>
        <w:spacing w:line="600" w:lineRule="exact"/>
        <w:ind w:firstLine="640"/>
        <w:jc w:val="center"/>
        <w:outlineLvl w:val="1"/>
        <w:rPr>
          <w:rFonts w:hint="eastAsia" w:eastAsia="仿宋_GB2312" w:cs="仿宋_GB2312"/>
          <w:sz w:val="32"/>
          <w:szCs w:val="32"/>
          <w:lang w:eastAsia="zh-CN"/>
        </w:rPr>
      </w:pPr>
      <w:r>
        <w:rPr>
          <w:rFonts w:hint="eastAsia" w:eastAsia="仿宋_GB2312" w:cs="仿宋_GB2312"/>
          <w:sz w:val="32"/>
          <w:szCs w:val="32"/>
          <w:lang w:eastAsia="zh-CN"/>
        </w:rPr>
        <w:t>（</w:t>
      </w:r>
      <w:r>
        <w:rPr>
          <w:rFonts w:hint="eastAsia" w:eastAsia="仿宋_GB2312" w:cs="仿宋_GB2312"/>
          <w:sz w:val="32"/>
          <w:szCs w:val="32"/>
        </w:rPr>
        <w:t>图2：收入决算结构图</w:t>
      </w:r>
      <w:r>
        <w:rPr>
          <w:rFonts w:hint="eastAsia" w:eastAsia="仿宋_GB2312" w:cs="仿宋_GB2312"/>
          <w:sz w:val="32"/>
          <w:szCs w:val="32"/>
          <w:lang w:eastAsia="zh-CN"/>
        </w:rPr>
        <w:t>）</w:t>
      </w:r>
    </w:p>
    <w:p w14:paraId="7742D5B6">
      <w:pPr>
        <w:pStyle w:val="29"/>
        <w:spacing w:line="600" w:lineRule="exact"/>
        <w:ind w:firstLine="200"/>
        <w:outlineLvl w:val="1"/>
        <w:rPr>
          <w:rFonts w:hint="default" w:eastAsia="方正黑体_GBK"/>
          <w:b w:val="0"/>
          <w:bCs w:val="0"/>
          <w:color w:val="auto"/>
          <w:kern w:val="2"/>
          <w:sz w:val="32"/>
          <w:szCs w:val="32"/>
          <w:lang w:val="en-US" w:eastAsia="zh-CN" w:bidi="ar-SA"/>
        </w:rPr>
      </w:pPr>
      <w:bookmarkStart w:id="12" w:name="_Toc15377207"/>
      <w:bookmarkStart w:id="13" w:name="_Toc15396605"/>
      <w:r>
        <w:rPr>
          <w:rFonts w:hint="eastAsia" w:eastAsia="方正黑体_GBK"/>
          <w:b w:val="0"/>
          <w:bCs w:val="0"/>
          <w:color w:val="auto"/>
          <w:kern w:val="2"/>
          <w:sz w:val="32"/>
          <w:szCs w:val="32"/>
          <w:lang w:val="en-US" w:eastAsia="zh-CN" w:bidi="ar-SA"/>
        </w:rPr>
        <w:t>三、支出决算情况说明</w:t>
      </w:r>
      <w:bookmarkEnd w:id="12"/>
      <w:bookmarkEnd w:id="13"/>
    </w:p>
    <w:p w14:paraId="11ABB66D">
      <w:pPr>
        <w:pStyle w:val="29"/>
        <w:spacing w:line="600" w:lineRule="exact"/>
        <w:ind w:firstLine="200"/>
        <w:outlineLvl w:val="1"/>
        <w:rPr>
          <w:rFonts w:hint="eastAsia" w:eastAsia="方正仿宋_GBK"/>
          <w:color w:val="auto"/>
          <w:kern w:val="2"/>
          <w:sz w:val="32"/>
          <w:szCs w:val="32"/>
          <w:highlight w:val="none"/>
          <w:lang w:val="zh-CN" w:eastAsia="zh-CN" w:bidi="ar-SA"/>
        </w:rPr>
      </w:pPr>
      <w:r>
        <w:rPr>
          <w:rFonts w:hint="eastAsia" w:eastAsia="方正仿宋_GBK"/>
          <w:color w:val="auto"/>
          <w:kern w:val="2"/>
          <w:sz w:val="32"/>
          <w:szCs w:val="32"/>
          <w:highlight w:val="none"/>
          <w:lang w:val="zh-CN" w:eastAsia="zh-CN" w:bidi="ar-SA"/>
        </w:rPr>
        <w:t>2025年度本年支出合计</w:t>
      </w:r>
      <w:r>
        <w:rPr>
          <w:rFonts w:hint="eastAsia" w:eastAsia="方正仿宋_GBK"/>
          <w:color w:val="auto"/>
          <w:kern w:val="2"/>
          <w:sz w:val="32"/>
          <w:szCs w:val="32"/>
          <w:highlight w:val="none"/>
          <w:lang w:val="en-US" w:eastAsia="zh-CN" w:bidi="ar-SA"/>
        </w:rPr>
        <w:t>430.75</w:t>
      </w:r>
      <w:r>
        <w:rPr>
          <w:rFonts w:hint="eastAsia" w:eastAsia="方正仿宋_GBK"/>
          <w:color w:val="auto"/>
          <w:kern w:val="2"/>
          <w:sz w:val="32"/>
          <w:szCs w:val="32"/>
          <w:highlight w:val="none"/>
          <w:lang w:val="zh-CN" w:eastAsia="zh-CN" w:bidi="ar-SA"/>
        </w:rPr>
        <w:t>万元，其中：基本支出</w:t>
      </w:r>
      <w:r>
        <w:rPr>
          <w:rFonts w:hint="eastAsia" w:eastAsia="方正仿宋_GBK"/>
          <w:color w:val="auto"/>
          <w:kern w:val="2"/>
          <w:sz w:val="32"/>
          <w:szCs w:val="32"/>
          <w:highlight w:val="none"/>
          <w:lang w:val="en-US" w:eastAsia="zh-CN" w:bidi="ar-SA"/>
        </w:rPr>
        <w:t>353.36</w:t>
      </w:r>
      <w:r>
        <w:rPr>
          <w:rFonts w:hint="eastAsia" w:eastAsia="方正仿宋_GBK"/>
          <w:color w:val="auto"/>
          <w:kern w:val="2"/>
          <w:sz w:val="32"/>
          <w:szCs w:val="32"/>
          <w:highlight w:val="none"/>
          <w:lang w:val="zh-CN" w:eastAsia="zh-CN" w:bidi="ar-SA"/>
        </w:rPr>
        <w:t>万元，占</w:t>
      </w:r>
      <w:r>
        <w:rPr>
          <w:rFonts w:hint="eastAsia" w:eastAsia="方正仿宋_GBK"/>
          <w:color w:val="auto"/>
          <w:kern w:val="2"/>
          <w:sz w:val="32"/>
          <w:szCs w:val="32"/>
          <w:highlight w:val="none"/>
          <w:lang w:val="en-US" w:eastAsia="zh-CN" w:bidi="ar-SA"/>
        </w:rPr>
        <w:t>82</w:t>
      </w:r>
      <w:r>
        <w:rPr>
          <w:rFonts w:hint="eastAsia" w:eastAsia="方正仿宋_GBK"/>
          <w:color w:val="auto"/>
          <w:kern w:val="2"/>
          <w:sz w:val="32"/>
          <w:szCs w:val="32"/>
          <w:highlight w:val="none"/>
          <w:lang w:val="zh-CN" w:eastAsia="zh-CN" w:bidi="ar-SA"/>
        </w:rPr>
        <w:t>%；项目支出</w:t>
      </w:r>
      <w:r>
        <w:rPr>
          <w:rFonts w:hint="eastAsia" w:eastAsia="方正仿宋_GBK"/>
          <w:color w:val="auto"/>
          <w:kern w:val="2"/>
          <w:sz w:val="32"/>
          <w:szCs w:val="32"/>
          <w:highlight w:val="none"/>
          <w:lang w:val="en-US" w:eastAsia="zh-CN" w:bidi="ar-SA"/>
        </w:rPr>
        <w:t>77.39</w:t>
      </w:r>
      <w:r>
        <w:rPr>
          <w:rFonts w:hint="eastAsia" w:eastAsia="方正仿宋_GBK"/>
          <w:color w:val="auto"/>
          <w:kern w:val="2"/>
          <w:sz w:val="32"/>
          <w:szCs w:val="32"/>
          <w:highlight w:val="none"/>
          <w:lang w:val="zh-CN" w:eastAsia="zh-CN" w:bidi="ar-SA"/>
        </w:rPr>
        <w:t>万元，占</w:t>
      </w:r>
      <w:r>
        <w:rPr>
          <w:rFonts w:hint="eastAsia" w:eastAsia="方正仿宋_GBK"/>
          <w:color w:val="auto"/>
          <w:kern w:val="2"/>
          <w:sz w:val="32"/>
          <w:szCs w:val="32"/>
          <w:highlight w:val="none"/>
          <w:lang w:val="en-US" w:eastAsia="zh-CN" w:bidi="ar-SA"/>
        </w:rPr>
        <w:t>18</w:t>
      </w:r>
      <w:r>
        <w:rPr>
          <w:rFonts w:hint="eastAsia" w:eastAsia="方正仿宋_GBK"/>
          <w:color w:val="auto"/>
          <w:kern w:val="2"/>
          <w:sz w:val="32"/>
          <w:szCs w:val="32"/>
          <w:highlight w:val="none"/>
          <w:lang w:val="zh-CN" w:eastAsia="zh-CN" w:bidi="ar-SA"/>
        </w:rPr>
        <w:t>%。</w:t>
      </w:r>
    </w:p>
    <w:p w14:paraId="6B43EDD6">
      <w:pPr>
        <w:pStyle w:val="29"/>
        <w:spacing w:line="240" w:lineRule="auto"/>
        <w:ind w:firstLine="640"/>
        <w:outlineLvl w:val="1"/>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4838065" cy="2352675"/>
            <wp:effectExtent l="0" t="0" r="635" b="9525"/>
            <wp:docPr id="8" name="图片 8"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4"/>
                    <pic:cNvPicPr>
                      <a:picLocks noChangeAspect="1"/>
                    </pic:cNvPicPr>
                  </pic:nvPicPr>
                  <pic:blipFill>
                    <a:blip r:embed="rId13"/>
                    <a:stretch>
                      <a:fillRect/>
                    </a:stretch>
                  </pic:blipFill>
                  <pic:spPr>
                    <a:xfrm>
                      <a:off x="0" y="0"/>
                      <a:ext cx="4838065" cy="2352675"/>
                    </a:xfrm>
                    <a:prstGeom prst="rect">
                      <a:avLst/>
                    </a:prstGeom>
                  </pic:spPr>
                </pic:pic>
              </a:graphicData>
            </a:graphic>
          </wp:inline>
        </w:drawing>
      </w:r>
    </w:p>
    <w:p w14:paraId="505EAD41">
      <w:pPr>
        <w:pStyle w:val="29"/>
        <w:spacing w:line="600" w:lineRule="exact"/>
        <w:ind w:left="0" w:leftChars="0" w:firstLine="2240" w:firstLineChars="700"/>
        <w:outlineLvl w:val="1"/>
        <w:rPr>
          <w:rFonts w:hint="eastAsia" w:eastAsia="仿宋_GB2312" w:cs="仿宋_GB2312"/>
          <w:sz w:val="32"/>
          <w:szCs w:val="32"/>
          <w:lang w:eastAsia="zh-CN"/>
        </w:rPr>
      </w:pPr>
      <w:r>
        <w:rPr>
          <w:rFonts w:hint="eastAsia" w:eastAsia="仿宋_GB2312" w:cs="仿宋_GB2312"/>
          <w:sz w:val="32"/>
          <w:szCs w:val="32"/>
          <w:lang w:eastAsia="zh-CN"/>
        </w:rPr>
        <w:t>（</w:t>
      </w:r>
      <w:r>
        <w:rPr>
          <w:rFonts w:hint="eastAsia" w:eastAsia="仿宋_GB2312" w:cs="仿宋_GB2312"/>
          <w:sz w:val="32"/>
          <w:szCs w:val="32"/>
        </w:rPr>
        <w:t>图3：支出决算结构图</w:t>
      </w:r>
      <w:r>
        <w:rPr>
          <w:rFonts w:hint="eastAsia" w:eastAsia="仿宋_GB2312" w:cs="仿宋_GB2312"/>
          <w:sz w:val="32"/>
          <w:szCs w:val="32"/>
          <w:lang w:eastAsia="zh-CN"/>
        </w:rPr>
        <w:t>）</w:t>
      </w:r>
    </w:p>
    <w:p w14:paraId="4294A1BB">
      <w:pPr>
        <w:pStyle w:val="29"/>
        <w:spacing w:line="600" w:lineRule="exact"/>
        <w:ind w:firstLine="200"/>
        <w:outlineLvl w:val="1"/>
        <w:rPr>
          <w:rFonts w:hint="eastAsia" w:eastAsia="方正黑体_GBK"/>
          <w:b w:val="0"/>
          <w:bCs w:val="0"/>
          <w:color w:val="auto"/>
          <w:kern w:val="2"/>
          <w:sz w:val="32"/>
          <w:szCs w:val="32"/>
          <w:lang w:val="en-US" w:eastAsia="zh-CN" w:bidi="ar-SA"/>
        </w:rPr>
      </w:pPr>
      <w:bookmarkStart w:id="14" w:name="_Toc15377208"/>
      <w:bookmarkStart w:id="15" w:name="_Toc15396606"/>
      <w:r>
        <w:rPr>
          <w:rFonts w:hint="eastAsia" w:eastAsia="方正黑体_GBK"/>
          <w:b w:val="0"/>
          <w:bCs w:val="0"/>
          <w:color w:val="auto"/>
          <w:kern w:val="2"/>
          <w:sz w:val="32"/>
          <w:szCs w:val="32"/>
          <w:lang w:val="en-US" w:eastAsia="zh-CN" w:bidi="ar-SA"/>
        </w:rPr>
        <w:t>四、财政拨款收入支出决算总体情况说明</w:t>
      </w:r>
      <w:bookmarkEnd w:id="14"/>
      <w:bookmarkEnd w:id="15"/>
    </w:p>
    <w:p w14:paraId="055D79E1">
      <w:pPr>
        <w:ind w:firstLine="640"/>
        <w:rPr>
          <w:rFonts w:hint="eastAsia" w:ascii="Times New Roman" w:hAnsi="Times New Roman" w:eastAsia="方正仿宋_GBK" w:cs="Times New Roman"/>
          <w:color w:val="auto"/>
          <w:kern w:val="2"/>
          <w:sz w:val="32"/>
          <w:szCs w:val="32"/>
          <w:highlight w:val="none"/>
          <w:lang w:val="zh-CN" w:eastAsia="zh-CN" w:bidi="ar-SA"/>
        </w:rPr>
      </w:pPr>
      <w:r>
        <w:rPr>
          <w:rFonts w:hint="eastAsia" w:ascii="Times New Roman" w:hAnsi="Times New Roman" w:eastAsia="方正仿宋_GBK" w:cs="Times New Roman"/>
          <w:color w:val="auto"/>
          <w:kern w:val="2"/>
          <w:sz w:val="32"/>
          <w:szCs w:val="32"/>
          <w:highlight w:val="none"/>
          <w:lang w:val="zh-CN" w:eastAsia="zh-CN" w:bidi="ar-SA"/>
        </w:rPr>
        <w:t>2025年度财政拨款收入、支出总计均为</w:t>
      </w:r>
      <w:r>
        <w:rPr>
          <w:rFonts w:hint="eastAsia" w:ascii="Times New Roman" w:hAnsi="Times New Roman" w:eastAsia="方正仿宋_GBK" w:cs="Times New Roman"/>
          <w:color w:val="auto"/>
          <w:kern w:val="2"/>
          <w:sz w:val="32"/>
          <w:szCs w:val="32"/>
          <w:highlight w:val="none"/>
          <w:lang w:val="en-US" w:eastAsia="zh-CN" w:bidi="ar-SA"/>
        </w:rPr>
        <w:t>430.75</w:t>
      </w:r>
      <w:r>
        <w:rPr>
          <w:rFonts w:hint="eastAsia" w:ascii="Times New Roman" w:hAnsi="Times New Roman" w:eastAsia="方正仿宋_GBK" w:cs="Times New Roman"/>
          <w:color w:val="auto"/>
          <w:kern w:val="2"/>
          <w:sz w:val="32"/>
          <w:szCs w:val="32"/>
          <w:highlight w:val="none"/>
          <w:lang w:val="zh-CN" w:eastAsia="zh-CN" w:bidi="ar-SA"/>
        </w:rPr>
        <w:t>万元。与上年度相比，财政拨款收入、支出总计各增加</w:t>
      </w:r>
      <w:r>
        <w:rPr>
          <w:rFonts w:hint="eastAsia" w:ascii="Times New Roman" w:hAnsi="Times New Roman" w:eastAsia="方正仿宋_GBK" w:cs="Times New Roman"/>
          <w:color w:val="auto"/>
          <w:kern w:val="2"/>
          <w:sz w:val="32"/>
          <w:szCs w:val="32"/>
          <w:highlight w:val="none"/>
          <w:lang w:val="en-US" w:eastAsia="zh-CN" w:bidi="ar-SA"/>
        </w:rPr>
        <w:t>5.67</w:t>
      </w:r>
      <w:r>
        <w:rPr>
          <w:rFonts w:hint="eastAsia" w:ascii="Times New Roman" w:hAnsi="Times New Roman" w:eastAsia="方正仿宋_GBK" w:cs="Times New Roman"/>
          <w:color w:val="auto"/>
          <w:kern w:val="2"/>
          <w:sz w:val="32"/>
          <w:szCs w:val="32"/>
          <w:highlight w:val="none"/>
          <w:lang w:val="zh-CN" w:eastAsia="zh-CN" w:bidi="ar-SA"/>
        </w:rPr>
        <w:t>万元，增长</w:t>
      </w:r>
      <w:r>
        <w:rPr>
          <w:rFonts w:hint="eastAsia" w:ascii="Times New Roman" w:hAnsi="Times New Roman" w:eastAsia="方正仿宋_GBK" w:cs="Times New Roman"/>
          <w:color w:val="auto"/>
          <w:kern w:val="2"/>
          <w:sz w:val="32"/>
          <w:szCs w:val="32"/>
          <w:highlight w:val="none"/>
          <w:lang w:val="en-US" w:eastAsia="zh-CN" w:bidi="ar-SA"/>
        </w:rPr>
        <w:t>1.3</w:t>
      </w:r>
      <w:r>
        <w:rPr>
          <w:rFonts w:hint="eastAsia" w:ascii="Times New Roman" w:hAnsi="Times New Roman" w:eastAsia="方正仿宋_GBK" w:cs="Times New Roman"/>
          <w:color w:val="auto"/>
          <w:kern w:val="2"/>
          <w:sz w:val="32"/>
          <w:szCs w:val="32"/>
          <w:highlight w:val="none"/>
          <w:lang w:val="zh-CN" w:eastAsia="zh-CN" w:bidi="ar-SA"/>
        </w:rPr>
        <w:t>%。主要变动原因是单位人员变动，基本支出增加。</w:t>
      </w:r>
    </w:p>
    <w:p w14:paraId="72973805">
      <w:pPr>
        <w:spacing w:line="240" w:lineRule="auto"/>
        <w:ind w:firstLine="640" w:firstLineChars="200"/>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4838065" cy="2639695"/>
            <wp:effectExtent l="0" t="0" r="635" b="8255"/>
            <wp:docPr id="9" name="图片 9"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5"/>
                    <pic:cNvPicPr>
                      <a:picLocks noChangeAspect="1"/>
                    </pic:cNvPicPr>
                  </pic:nvPicPr>
                  <pic:blipFill>
                    <a:blip r:embed="rId14"/>
                    <a:stretch>
                      <a:fillRect/>
                    </a:stretch>
                  </pic:blipFill>
                  <pic:spPr>
                    <a:xfrm>
                      <a:off x="0" y="0"/>
                      <a:ext cx="4838065" cy="2639695"/>
                    </a:xfrm>
                    <a:prstGeom prst="rect">
                      <a:avLst/>
                    </a:prstGeom>
                  </pic:spPr>
                </pic:pic>
              </a:graphicData>
            </a:graphic>
          </wp:inline>
        </w:drawing>
      </w:r>
    </w:p>
    <w:p w14:paraId="6B469702">
      <w:pPr>
        <w:spacing w:line="600" w:lineRule="exact"/>
        <w:ind w:firstLine="1280" w:firstLineChars="400"/>
        <w:rPr>
          <w:rFonts w:hint="eastAsia" w:eastAsia="仿宋_GB2312" w:cs="仿宋_GB2312"/>
          <w:sz w:val="32"/>
          <w:szCs w:val="32"/>
          <w:lang w:eastAsia="zh-CN"/>
        </w:rPr>
      </w:pPr>
      <w:r>
        <w:rPr>
          <w:rFonts w:hint="eastAsia" w:eastAsia="仿宋_GB2312" w:cs="仿宋_GB2312"/>
          <w:sz w:val="32"/>
          <w:szCs w:val="32"/>
          <w:lang w:eastAsia="zh-CN"/>
        </w:rPr>
        <w:t>（</w:t>
      </w:r>
      <w:r>
        <w:rPr>
          <w:rFonts w:hint="eastAsia" w:eastAsia="仿宋_GB2312" w:cs="仿宋_GB2312"/>
          <w:sz w:val="32"/>
          <w:szCs w:val="32"/>
        </w:rPr>
        <w:t>图4：财政拨款收、支决算总计变动情况</w:t>
      </w:r>
      <w:r>
        <w:rPr>
          <w:rFonts w:hint="eastAsia" w:eastAsia="仿宋_GB2312" w:cs="仿宋_GB2312"/>
          <w:sz w:val="32"/>
          <w:szCs w:val="32"/>
          <w:lang w:eastAsia="zh-CN"/>
        </w:rPr>
        <w:t>）</w:t>
      </w:r>
    </w:p>
    <w:p w14:paraId="23FAE4E8">
      <w:pPr>
        <w:pStyle w:val="29"/>
        <w:spacing w:line="600" w:lineRule="exact"/>
        <w:ind w:firstLine="200"/>
        <w:outlineLvl w:val="1"/>
        <w:rPr>
          <w:rFonts w:hint="default" w:eastAsia="方正黑体_GBK"/>
          <w:b w:val="0"/>
          <w:bCs w:val="0"/>
          <w:color w:val="auto"/>
          <w:kern w:val="2"/>
          <w:sz w:val="32"/>
          <w:szCs w:val="32"/>
          <w:lang w:val="en-US" w:eastAsia="zh-CN" w:bidi="ar-SA"/>
        </w:rPr>
      </w:pPr>
      <w:bookmarkStart w:id="16" w:name="_Toc15396607"/>
      <w:bookmarkStart w:id="17" w:name="_Toc15377209"/>
      <w:r>
        <w:rPr>
          <w:rFonts w:hint="eastAsia" w:eastAsia="方正黑体_GBK"/>
          <w:b w:val="0"/>
          <w:bCs w:val="0"/>
          <w:color w:val="auto"/>
          <w:kern w:val="2"/>
          <w:sz w:val="32"/>
          <w:szCs w:val="32"/>
          <w:lang w:val="en-US" w:eastAsia="zh-CN" w:bidi="ar-SA"/>
        </w:rPr>
        <w:t>五、一般公共预算财政拨款支出决算情况说明</w:t>
      </w:r>
      <w:bookmarkEnd w:id="16"/>
      <w:bookmarkEnd w:id="17"/>
    </w:p>
    <w:p w14:paraId="7CC3A8F5">
      <w:pPr>
        <w:pageBreakBefore w:val="0"/>
        <w:widowControl w:val="0"/>
        <w:kinsoku/>
        <w:wordWrap/>
        <w:overflowPunct/>
        <w:topLinePunct w:val="0"/>
        <w:autoSpaceDE/>
        <w:autoSpaceDN/>
        <w:bidi w:val="0"/>
        <w:adjustRightInd w:val="0"/>
        <w:snapToGrid w:val="0"/>
        <w:spacing w:line="560" w:lineRule="exact"/>
        <w:ind w:firstLine="643" w:firstLineChars="200"/>
        <w:rPr>
          <w:rFonts w:hint="default" w:eastAsia="方正楷体_GBK"/>
          <w:b/>
          <w:bCs/>
          <w:color w:val="auto"/>
          <w:kern w:val="2"/>
          <w:sz w:val="32"/>
          <w:szCs w:val="32"/>
          <w:shd w:val="clear" w:color="auto" w:fill="auto"/>
          <w:lang w:val="zh-CN" w:eastAsia="zh-CN" w:bidi="ar-SA"/>
        </w:rPr>
      </w:pPr>
      <w:bookmarkStart w:id="18" w:name="_Toc15377210"/>
      <w:r>
        <w:rPr>
          <w:rFonts w:hint="eastAsia" w:eastAsia="方正楷体_GBK"/>
          <w:b/>
          <w:bCs/>
          <w:color w:val="auto"/>
          <w:kern w:val="2"/>
          <w:sz w:val="32"/>
          <w:szCs w:val="32"/>
          <w:shd w:val="clear" w:color="auto" w:fill="auto"/>
          <w:lang w:val="zh-CN" w:eastAsia="zh-CN" w:bidi="ar-SA"/>
        </w:rPr>
        <w:t>（一）一般公共预算财政拨款支出决算总体情况</w:t>
      </w:r>
      <w:bookmarkEnd w:id="18"/>
    </w:p>
    <w:p w14:paraId="022B11D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eastAsia="方正仿宋_GBK"/>
          <w:color w:val="auto"/>
          <w:sz w:val="32"/>
          <w:szCs w:val="32"/>
          <w:highlight w:val="none"/>
          <w:lang w:val="zh-CN" w:eastAsia="zh-CN" w:bidi="ar-SA"/>
        </w:rPr>
      </w:pPr>
      <w:r>
        <w:rPr>
          <w:rFonts w:hint="eastAsia" w:eastAsia="方正仿宋_GBK"/>
          <w:color w:val="auto"/>
          <w:sz w:val="32"/>
          <w:szCs w:val="32"/>
          <w:highlight w:val="none"/>
          <w:lang w:val="zh-CN" w:eastAsia="zh-CN" w:bidi="ar-SA"/>
        </w:rPr>
        <w:t>2025年度一般公共预算财政拨款支出</w:t>
      </w:r>
      <w:r>
        <w:rPr>
          <w:rFonts w:hint="eastAsia" w:eastAsia="方正仿宋_GBK"/>
          <w:color w:val="auto"/>
          <w:sz w:val="32"/>
          <w:szCs w:val="32"/>
          <w:highlight w:val="none"/>
          <w:lang w:val="en-US" w:eastAsia="zh-CN" w:bidi="ar-SA"/>
        </w:rPr>
        <w:t>430.75</w:t>
      </w:r>
      <w:r>
        <w:rPr>
          <w:rFonts w:hint="eastAsia" w:eastAsia="方正仿宋_GBK"/>
          <w:color w:val="auto"/>
          <w:sz w:val="32"/>
          <w:szCs w:val="32"/>
          <w:highlight w:val="none"/>
          <w:lang w:val="zh-CN" w:eastAsia="zh-CN" w:bidi="ar-SA"/>
        </w:rPr>
        <w:t>万元，占本年支出合计的</w:t>
      </w:r>
      <w:r>
        <w:rPr>
          <w:rFonts w:hint="eastAsia" w:eastAsia="方正仿宋_GBK"/>
          <w:color w:val="auto"/>
          <w:sz w:val="32"/>
          <w:szCs w:val="32"/>
          <w:highlight w:val="none"/>
          <w:lang w:val="en-US" w:eastAsia="zh-CN" w:bidi="ar-SA"/>
        </w:rPr>
        <w:t>100</w:t>
      </w:r>
      <w:r>
        <w:rPr>
          <w:rFonts w:hint="eastAsia" w:eastAsia="方正仿宋_GBK"/>
          <w:color w:val="auto"/>
          <w:sz w:val="32"/>
          <w:szCs w:val="32"/>
          <w:highlight w:val="none"/>
          <w:lang w:val="zh-CN" w:eastAsia="zh-CN" w:bidi="ar-SA"/>
        </w:rPr>
        <w:t>%。与上年度相比，一般公共预算财政拨款支出增加</w:t>
      </w:r>
      <w:r>
        <w:rPr>
          <w:rFonts w:hint="eastAsia" w:eastAsia="方正仿宋_GBK"/>
          <w:color w:val="auto"/>
          <w:sz w:val="32"/>
          <w:szCs w:val="32"/>
          <w:highlight w:val="none"/>
          <w:lang w:val="en-US" w:eastAsia="zh-CN" w:bidi="ar-SA"/>
        </w:rPr>
        <w:t>7.07</w:t>
      </w:r>
      <w:r>
        <w:rPr>
          <w:rFonts w:hint="eastAsia" w:eastAsia="方正仿宋_GBK"/>
          <w:color w:val="auto"/>
          <w:sz w:val="32"/>
          <w:szCs w:val="32"/>
          <w:highlight w:val="none"/>
          <w:lang w:val="zh-CN" w:eastAsia="zh-CN" w:bidi="ar-SA"/>
        </w:rPr>
        <w:t>万元，增长</w:t>
      </w:r>
      <w:r>
        <w:rPr>
          <w:rFonts w:hint="eastAsia" w:eastAsia="方正仿宋_GBK"/>
          <w:color w:val="auto"/>
          <w:sz w:val="32"/>
          <w:szCs w:val="32"/>
          <w:highlight w:val="none"/>
          <w:lang w:val="en-US" w:eastAsia="zh-CN" w:bidi="ar-SA"/>
        </w:rPr>
        <w:t>1.7</w:t>
      </w:r>
      <w:r>
        <w:rPr>
          <w:rFonts w:hint="eastAsia" w:eastAsia="方正仿宋_GBK"/>
          <w:color w:val="auto"/>
          <w:sz w:val="32"/>
          <w:szCs w:val="32"/>
          <w:highlight w:val="none"/>
          <w:lang w:val="zh-CN" w:eastAsia="zh-CN" w:bidi="ar-SA"/>
        </w:rPr>
        <w:t>%。主要变动原因是单位人员变动，基本支出增加。</w:t>
      </w:r>
    </w:p>
    <w:p w14:paraId="77BE7147">
      <w:pPr>
        <w:spacing w:line="240" w:lineRule="auto"/>
        <w:rPr>
          <w:rFonts w:hint="eastAsia" w:eastAsia="仿宋_GB2312" w:cs="仿宋_GB2312"/>
          <w:sz w:val="32"/>
          <w:szCs w:val="32"/>
          <w:lang w:eastAsia="zh-CN"/>
        </w:rPr>
      </w:pPr>
      <w:r>
        <w:rPr>
          <w:rFonts w:hint="eastAsia" w:eastAsia="仿宋_GB2312" w:cs="仿宋_GB2312"/>
          <w:sz w:val="32"/>
          <w:szCs w:val="32"/>
          <w:lang w:val="en-US" w:eastAsia="zh-CN"/>
        </w:rPr>
        <w:t xml:space="preserve">   </w:t>
      </w:r>
      <w:r>
        <w:rPr>
          <w:rFonts w:hint="eastAsia" w:eastAsia="仿宋_GB2312" w:cs="仿宋_GB2312"/>
          <w:sz w:val="32"/>
          <w:szCs w:val="32"/>
          <w:lang w:eastAsia="zh-CN"/>
        </w:rPr>
        <w:drawing>
          <wp:inline distT="0" distB="0" distL="114300" distR="114300">
            <wp:extent cx="4838065" cy="1678305"/>
            <wp:effectExtent l="0" t="0" r="635" b="17145"/>
            <wp:docPr id="10" name="图片 10"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6"/>
                    <pic:cNvPicPr>
                      <a:picLocks noChangeAspect="1"/>
                    </pic:cNvPicPr>
                  </pic:nvPicPr>
                  <pic:blipFill>
                    <a:blip r:embed="rId15"/>
                    <a:stretch>
                      <a:fillRect/>
                    </a:stretch>
                  </pic:blipFill>
                  <pic:spPr>
                    <a:xfrm>
                      <a:off x="0" y="0"/>
                      <a:ext cx="4838065" cy="1678305"/>
                    </a:xfrm>
                    <a:prstGeom prst="rect">
                      <a:avLst/>
                    </a:prstGeom>
                  </pic:spPr>
                </pic:pic>
              </a:graphicData>
            </a:graphic>
          </wp:inline>
        </w:drawing>
      </w:r>
    </w:p>
    <w:p w14:paraId="2BD14C82">
      <w:pPr>
        <w:spacing w:line="600" w:lineRule="exact"/>
        <w:ind w:firstLine="960" w:firstLineChars="300"/>
        <w:rPr>
          <w:rFonts w:hint="eastAsia" w:eastAsia="仿宋_GB2312" w:cs="仿宋_GB2312"/>
          <w:sz w:val="32"/>
          <w:szCs w:val="32"/>
          <w:lang w:eastAsia="zh-CN"/>
        </w:rPr>
      </w:pPr>
      <w:r>
        <w:rPr>
          <w:rFonts w:hint="eastAsia" w:eastAsia="仿宋_GB2312" w:cs="仿宋_GB2312"/>
          <w:sz w:val="32"/>
          <w:szCs w:val="32"/>
          <w:lang w:eastAsia="zh-CN"/>
        </w:rPr>
        <w:t>（</w:t>
      </w:r>
      <w:r>
        <w:rPr>
          <w:rFonts w:hint="eastAsia" w:eastAsia="仿宋_GB2312" w:cs="仿宋_GB2312"/>
          <w:sz w:val="32"/>
          <w:szCs w:val="32"/>
        </w:rPr>
        <w:t>图5：一般公共预算财政拨款支出决算变动情况</w:t>
      </w:r>
      <w:r>
        <w:rPr>
          <w:rFonts w:hint="eastAsia" w:eastAsia="仿宋_GB2312" w:cs="仿宋_GB2312"/>
          <w:sz w:val="32"/>
          <w:szCs w:val="32"/>
          <w:lang w:eastAsia="zh-CN"/>
        </w:rPr>
        <w:t>）</w:t>
      </w:r>
    </w:p>
    <w:p w14:paraId="78A94654">
      <w:pPr>
        <w:pageBreakBefore w:val="0"/>
        <w:widowControl w:val="0"/>
        <w:kinsoku/>
        <w:wordWrap/>
        <w:overflowPunct/>
        <w:topLinePunct w:val="0"/>
        <w:autoSpaceDE/>
        <w:autoSpaceDN/>
        <w:bidi w:val="0"/>
        <w:adjustRightInd w:val="0"/>
        <w:snapToGrid w:val="0"/>
        <w:spacing w:line="560" w:lineRule="exact"/>
        <w:ind w:firstLine="643" w:firstLineChars="200"/>
        <w:rPr>
          <w:rFonts w:hint="default" w:eastAsia="方正楷体_GBK"/>
          <w:b/>
          <w:bCs/>
          <w:color w:val="auto"/>
          <w:kern w:val="2"/>
          <w:sz w:val="32"/>
          <w:szCs w:val="32"/>
          <w:shd w:val="clear" w:color="auto" w:fill="auto"/>
          <w:lang w:val="zh-CN" w:eastAsia="zh-CN" w:bidi="ar-SA"/>
        </w:rPr>
      </w:pPr>
      <w:bookmarkStart w:id="19" w:name="_Toc15377211"/>
      <w:r>
        <w:rPr>
          <w:rFonts w:hint="eastAsia" w:eastAsia="方正楷体_GBK"/>
          <w:b/>
          <w:bCs/>
          <w:color w:val="auto"/>
          <w:kern w:val="2"/>
          <w:sz w:val="32"/>
          <w:szCs w:val="32"/>
          <w:shd w:val="clear" w:color="auto" w:fill="auto"/>
          <w:lang w:val="zh-CN" w:eastAsia="zh-CN" w:bidi="ar-SA"/>
        </w:rPr>
        <w:t>（二）一般公共预算财政拨款支出决算结构情况</w:t>
      </w:r>
      <w:bookmarkEnd w:id="19"/>
    </w:p>
    <w:p w14:paraId="36FEF4A9">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eastAsia="方正仿宋_GBK"/>
          <w:color w:val="auto"/>
          <w:sz w:val="32"/>
          <w:szCs w:val="32"/>
          <w:highlight w:val="none"/>
          <w:lang w:val="en-US" w:eastAsia="zh-CN" w:bidi="ar-SA"/>
        </w:rPr>
      </w:pPr>
      <w:r>
        <w:rPr>
          <w:rFonts w:hint="eastAsia" w:eastAsia="方正仿宋_GBK"/>
          <w:color w:val="auto"/>
          <w:sz w:val="32"/>
          <w:szCs w:val="32"/>
          <w:highlight w:val="none"/>
          <w:lang w:val="en-US" w:eastAsia="zh-CN" w:bidi="ar-SA"/>
        </w:rPr>
        <w:t>2025年度一般公共预算财政拨款支出430.75万元，主要用于以下方面：社会保障和就业支出388.2万元，占90.1%；卫生健康支出19.27万元，占4.5%；住房保障支出23.28万元，占5.4%。</w:t>
      </w:r>
    </w:p>
    <w:p w14:paraId="4A8AE059">
      <w:pPr>
        <w:spacing w:line="240" w:lineRule="auto"/>
        <w:ind w:firstLine="640"/>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4838065" cy="1953895"/>
            <wp:effectExtent l="0" t="0" r="635" b="8255"/>
            <wp:docPr id="2" name="图片 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
                    <pic:cNvPicPr>
                      <a:picLocks noChangeAspect="1"/>
                    </pic:cNvPicPr>
                  </pic:nvPicPr>
                  <pic:blipFill>
                    <a:blip r:embed="rId16"/>
                    <a:stretch>
                      <a:fillRect/>
                    </a:stretch>
                  </pic:blipFill>
                  <pic:spPr>
                    <a:xfrm>
                      <a:off x="0" y="0"/>
                      <a:ext cx="4838065" cy="1953895"/>
                    </a:xfrm>
                    <a:prstGeom prst="rect">
                      <a:avLst/>
                    </a:prstGeom>
                  </pic:spPr>
                </pic:pic>
              </a:graphicData>
            </a:graphic>
          </wp:inline>
        </w:drawing>
      </w:r>
    </w:p>
    <w:p w14:paraId="2A85B0DA">
      <w:pPr>
        <w:spacing w:line="600" w:lineRule="exact"/>
        <w:ind w:firstLine="1609" w:firstLineChars="503"/>
        <w:rPr>
          <w:rFonts w:hint="eastAsia" w:eastAsia="仿宋_GB2312" w:cs="仿宋_GB2312"/>
          <w:sz w:val="32"/>
          <w:szCs w:val="32"/>
          <w:lang w:eastAsia="zh-CN"/>
        </w:rPr>
      </w:pPr>
      <w:r>
        <w:rPr>
          <w:rFonts w:hint="eastAsia" w:eastAsia="仿宋_GB2312" w:cs="仿宋_GB2312"/>
          <w:sz w:val="32"/>
          <w:szCs w:val="32"/>
          <w:lang w:eastAsia="zh-CN"/>
        </w:rPr>
        <w:t>（</w:t>
      </w:r>
      <w:r>
        <w:rPr>
          <w:rFonts w:hint="eastAsia" w:eastAsia="仿宋_GB2312" w:cs="仿宋_GB2312"/>
          <w:sz w:val="32"/>
          <w:szCs w:val="32"/>
        </w:rPr>
        <w:t>图6：一般公共预算财政拨款支出决算结构</w:t>
      </w:r>
      <w:r>
        <w:rPr>
          <w:rFonts w:hint="eastAsia" w:eastAsia="仿宋_GB2312" w:cs="仿宋_GB2312"/>
          <w:sz w:val="32"/>
          <w:szCs w:val="32"/>
          <w:lang w:eastAsia="zh-CN"/>
        </w:rPr>
        <w:t>）</w:t>
      </w:r>
    </w:p>
    <w:p w14:paraId="0D7B8415">
      <w:pPr>
        <w:pageBreakBefore w:val="0"/>
        <w:widowControl w:val="0"/>
        <w:kinsoku/>
        <w:wordWrap/>
        <w:overflowPunct/>
        <w:topLinePunct w:val="0"/>
        <w:autoSpaceDE/>
        <w:autoSpaceDN/>
        <w:bidi w:val="0"/>
        <w:adjustRightInd w:val="0"/>
        <w:snapToGrid w:val="0"/>
        <w:spacing w:line="560" w:lineRule="exact"/>
        <w:ind w:firstLine="643" w:firstLineChars="200"/>
        <w:rPr>
          <w:rFonts w:hint="default" w:eastAsia="方正楷体_GBK"/>
          <w:b/>
          <w:bCs/>
          <w:color w:val="auto"/>
          <w:kern w:val="2"/>
          <w:sz w:val="32"/>
          <w:szCs w:val="32"/>
          <w:shd w:val="clear" w:color="auto" w:fill="auto"/>
          <w:lang w:val="zh-CN" w:eastAsia="zh-CN" w:bidi="ar-SA"/>
        </w:rPr>
      </w:pPr>
      <w:bookmarkStart w:id="20" w:name="_Toc15377212"/>
      <w:r>
        <w:rPr>
          <w:rFonts w:hint="eastAsia" w:eastAsia="方正楷体_GBK"/>
          <w:b/>
          <w:bCs/>
          <w:color w:val="auto"/>
          <w:kern w:val="2"/>
          <w:sz w:val="32"/>
          <w:szCs w:val="32"/>
          <w:shd w:val="clear" w:color="auto" w:fill="auto"/>
          <w:lang w:val="zh-CN" w:eastAsia="zh-CN" w:bidi="ar-SA"/>
        </w:rPr>
        <w:t>（三）一般公共预算财政拨款支出决算具体情况</w:t>
      </w:r>
      <w:bookmarkEnd w:id="20"/>
    </w:p>
    <w:p w14:paraId="52D89B7F">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eastAsia="方正仿宋_GBK"/>
          <w:color w:val="auto"/>
          <w:sz w:val="32"/>
          <w:szCs w:val="32"/>
          <w:highlight w:val="none"/>
          <w:lang w:val="en-US" w:eastAsia="zh-CN" w:bidi="ar-SA"/>
        </w:rPr>
      </w:pPr>
      <w:bookmarkStart w:id="21" w:name="_Toc15378460"/>
      <w:bookmarkStart w:id="22" w:name="_Toc15377213"/>
      <w:bookmarkStart w:id="23" w:name="_Toc15377444"/>
      <w:r>
        <w:rPr>
          <w:rFonts w:hint="eastAsia" w:eastAsia="方正仿宋_GBK"/>
          <w:color w:val="auto"/>
          <w:sz w:val="32"/>
          <w:szCs w:val="32"/>
          <w:highlight w:val="none"/>
          <w:lang w:val="en-US" w:eastAsia="zh-CN" w:bidi="ar-SA"/>
        </w:rPr>
        <w:t>2025年度一般公共预算支出决算数为430.75万元，完成预算100%。其中：</w:t>
      </w:r>
      <w:bookmarkEnd w:id="21"/>
      <w:bookmarkEnd w:id="22"/>
      <w:bookmarkEnd w:id="23"/>
    </w:p>
    <w:p w14:paraId="24326AC4">
      <w:pPr>
        <w:ind w:firstLine="643" w:firstLineChars="200"/>
        <w:rPr>
          <w:rFonts w:hint="eastAsia" w:ascii="Times New Roman" w:hAnsi="Times New Roman" w:eastAsia="方正仿宋_GBK" w:cs="Times New Roman"/>
          <w:kern w:val="2"/>
          <w:sz w:val="32"/>
          <w:szCs w:val="32"/>
          <w:lang w:val="en-US" w:eastAsia="zh-CN" w:bidi="ar-SA"/>
        </w:rPr>
      </w:pPr>
      <w:r>
        <w:rPr>
          <w:rFonts w:hint="eastAsia" w:eastAsia="方正仿宋_GBK"/>
          <w:b/>
          <w:bCs/>
          <w:kern w:val="2"/>
          <w:sz w:val="32"/>
          <w:szCs w:val="32"/>
          <w:highlight w:val="none"/>
          <w:lang w:val="en-US" w:eastAsia="zh-CN" w:bidi="ar-SA"/>
        </w:rPr>
        <w:t>1.社会保障和就业（类）人力资源和社会保障管理事务（款）其他人力资源和社会保障管理事务（项）：</w:t>
      </w:r>
      <w:r>
        <w:rPr>
          <w:rFonts w:hint="eastAsia" w:eastAsia="方正仿宋_GBK"/>
          <w:kern w:val="2"/>
          <w:sz w:val="32"/>
          <w:szCs w:val="32"/>
          <w:highlight w:val="none"/>
          <w:lang w:val="en-US" w:eastAsia="zh-CN" w:bidi="ar-SA"/>
        </w:rPr>
        <w:t>支出决算为4万元，完成预算100%，决算数等于预算数的。</w:t>
      </w:r>
    </w:p>
    <w:p w14:paraId="7BE26708">
      <w:pPr>
        <w:ind w:firstLine="643" w:firstLineChars="200"/>
        <w:rPr>
          <w:rFonts w:hint="eastAsia" w:eastAsia="方正仿宋_GBK"/>
          <w:kern w:val="2"/>
          <w:sz w:val="32"/>
          <w:szCs w:val="32"/>
          <w:highlight w:val="none"/>
          <w:lang w:val="en-US" w:eastAsia="zh-CN" w:bidi="ar-SA"/>
        </w:rPr>
      </w:pPr>
      <w:r>
        <w:rPr>
          <w:rFonts w:hint="eastAsia" w:eastAsia="方正仿宋_GBK"/>
          <w:b/>
          <w:bCs/>
          <w:kern w:val="2"/>
          <w:sz w:val="32"/>
          <w:szCs w:val="32"/>
          <w:highlight w:val="none"/>
          <w:lang w:val="en-US" w:eastAsia="zh-CN" w:bidi="ar-SA"/>
        </w:rPr>
        <w:t xml:space="preserve">2.社会保障和就业（类）行政事业单位养老（款）事业单位离退休（项）: </w:t>
      </w:r>
      <w:r>
        <w:rPr>
          <w:rFonts w:hint="eastAsia" w:eastAsia="方正仿宋_GBK"/>
          <w:kern w:val="2"/>
          <w:sz w:val="32"/>
          <w:szCs w:val="32"/>
          <w:highlight w:val="none"/>
          <w:lang w:val="en-US" w:eastAsia="zh-CN" w:bidi="ar-SA"/>
        </w:rPr>
        <w:t>支出决算为37.89万元，完成预算100%，决算数等于预算数。</w:t>
      </w:r>
    </w:p>
    <w:p w14:paraId="2C956E28">
      <w:pPr>
        <w:ind w:firstLine="643" w:firstLineChars="200"/>
        <w:rPr>
          <w:rFonts w:hint="eastAsia" w:ascii="Times New Roman" w:hAnsi="Times New Roman" w:eastAsia="方正仿宋_GBK" w:cs="Times New Roman"/>
          <w:kern w:val="2"/>
          <w:sz w:val="32"/>
          <w:szCs w:val="32"/>
          <w:lang w:val="en-US" w:eastAsia="zh-CN" w:bidi="ar-SA"/>
        </w:rPr>
      </w:pPr>
      <w:r>
        <w:rPr>
          <w:rFonts w:hint="eastAsia" w:eastAsia="方正仿宋_GBK"/>
          <w:b/>
          <w:bCs/>
          <w:kern w:val="2"/>
          <w:sz w:val="32"/>
          <w:szCs w:val="32"/>
          <w:highlight w:val="none"/>
          <w:lang w:val="en-US" w:eastAsia="zh-CN" w:bidi="ar-SA"/>
        </w:rPr>
        <w:t xml:space="preserve">3.社会保障和就业（类）行政事业单位养老（款）机关事业单位基本养老保险缴费支出（项）: </w:t>
      </w:r>
      <w:r>
        <w:rPr>
          <w:rFonts w:hint="eastAsia" w:eastAsia="方正仿宋_GBK"/>
          <w:kern w:val="2"/>
          <w:sz w:val="32"/>
          <w:szCs w:val="32"/>
          <w:highlight w:val="none"/>
          <w:lang w:val="en-US" w:eastAsia="zh-CN" w:bidi="ar-SA"/>
        </w:rPr>
        <w:t>支出决算为31.62万元，完成预算100%，决算数等于预算数。</w:t>
      </w:r>
    </w:p>
    <w:p w14:paraId="406D59FA">
      <w:pPr>
        <w:ind w:firstLine="643" w:firstLineChars="200"/>
        <w:rPr>
          <w:rFonts w:hint="eastAsia" w:ascii="Times New Roman" w:hAnsi="Times New Roman" w:eastAsia="方正仿宋_GBK" w:cs="Times New Roman"/>
          <w:kern w:val="2"/>
          <w:sz w:val="32"/>
          <w:szCs w:val="32"/>
          <w:lang w:val="en-US" w:eastAsia="zh-CN" w:bidi="ar-SA"/>
        </w:rPr>
      </w:pPr>
      <w:r>
        <w:rPr>
          <w:rFonts w:hint="eastAsia" w:eastAsia="方正仿宋_GBK"/>
          <w:b/>
          <w:bCs/>
          <w:kern w:val="2"/>
          <w:sz w:val="32"/>
          <w:szCs w:val="32"/>
          <w:highlight w:val="none"/>
          <w:lang w:val="en-US" w:eastAsia="zh-CN" w:bidi="ar-SA"/>
        </w:rPr>
        <w:t>4.社会保障和就业（类）临时救助（款）流浪乞讨人员救助（项）：</w:t>
      </w:r>
      <w:r>
        <w:rPr>
          <w:rFonts w:hint="eastAsia" w:eastAsia="方正仿宋_GBK"/>
          <w:kern w:val="2"/>
          <w:sz w:val="32"/>
          <w:szCs w:val="32"/>
          <w:highlight w:val="none"/>
          <w:lang w:val="en-US" w:eastAsia="zh-CN" w:bidi="ar-SA"/>
        </w:rPr>
        <w:t>支出决算为314.69万元，完成预算100%，决算数等于预算数</w:t>
      </w:r>
      <w:r>
        <w:rPr>
          <w:rFonts w:hint="eastAsia" w:ascii="Times New Roman" w:hAnsi="Times New Roman" w:eastAsia="方正仿宋_GBK" w:cs="Times New Roman"/>
          <w:kern w:val="2"/>
          <w:sz w:val="32"/>
          <w:szCs w:val="32"/>
          <w:lang w:val="en-US" w:eastAsia="zh-CN" w:bidi="ar-SA"/>
        </w:rPr>
        <w:t>。</w:t>
      </w:r>
    </w:p>
    <w:p w14:paraId="5098F3FB">
      <w:pPr>
        <w:ind w:firstLine="643" w:firstLineChars="200"/>
        <w:rPr>
          <w:rFonts w:hint="eastAsia" w:ascii="Times New Roman" w:hAnsi="Times New Roman" w:eastAsia="方正仿宋_GBK" w:cs="Times New Roman"/>
          <w:kern w:val="2"/>
          <w:sz w:val="32"/>
          <w:szCs w:val="32"/>
          <w:lang w:val="en-US" w:eastAsia="zh-CN" w:bidi="ar-SA"/>
        </w:rPr>
      </w:pPr>
      <w:r>
        <w:rPr>
          <w:rFonts w:hint="eastAsia" w:eastAsia="方正仿宋_GBK"/>
          <w:b/>
          <w:bCs/>
          <w:kern w:val="2"/>
          <w:sz w:val="32"/>
          <w:szCs w:val="32"/>
          <w:highlight w:val="none"/>
          <w:lang w:val="en-US" w:eastAsia="zh-CN" w:bidi="ar-SA"/>
        </w:rPr>
        <w:t>5.卫生健康（类）行政事业单位医疗（款）事业单位医疗（项）：</w:t>
      </w:r>
      <w:r>
        <w:rPr>
          <w:rFonts w:hint="eastAsia" w:eastAsia="方正仿宋_GBK"/>
          <w:kern w:val="2"/>
          <w:sz w:val="32"/>
          <w:szCs w:val="32"/>
          <w:highlight w:val="none"/>
          <w:lang w:val="en-US" w:eastAsia="zh-CN" w:bidi="ar-SA"/>
        </w:rPr>
        <w:t>支出决算为15.38万元，完成预算100%，决算数等于预算数。</w:t>
      </w:r>
    </w:p>
    <w:p w14:paraId="1870D265">
      <w:pPr>
        <w:ind w:firstLine="643" w:firstLineChars="200"/>
        <w:rPr>
          <w:rFonts w:hint="eastAsia" w:ascii="Times New Roman" w:hAnsi="Times New Roman" w:eastAsia="方正仿宋_GBK" w:cs="Times New Roman"/>
          <w:kern w:val="2"/>
          <w:sz w:val="32"/>
          <w:szCs w:val="32"/>
          <w:lang w:val="en-US" w:eastAsia="zh-CN" w:bidi="ar-SA"/>
        </w:rPr>
      </w:pPr>
      <w:r>
        <w:rPr>
          <w:rFonts w:hint="eastAsia" w:eastAsia="方正仿宋_GBK"/>
          <w:b/>
          <w:bCs/>
          <w:kern w:val="2"/>
          <w:sz w:val="32"/>
          <w:szCs w:val="32"/>
          <w:highlight w:val="none"/>
          <w:lang w:val="en-US" w:eastAsia="zh-CN" w:bidi="ar-SA"/>
        </w:rPr>
        <w:t>6.卫生健康（类）行政事业单位医疗（款）公务员医疗补助（项）：</w:t>
      </w:r>
      <w:r>
        <w:rPr>
          <w:rFonts w:hint="eastAsia" w:eastAsia="方正仿宋_GBK"/>
          <w:kern w:val="2"/>
          <w:sz w:val="32"/>
          <w:szCs w:val="32"/>
          <w:highlight w:val="none"/>
          <w:lang w:val="en-US" w:eastAsia="zh-CN" w:bidi="ar-SA"/>
        </w:rPr>
        <w:t>支出决算为2.01万元，完成预算100%，决算数等于预算数。</w:t>
      </w:r>
    </w:p>
    <w:p w14:paraId="7EE4DEE4">
      <w:pPr>
        <w:ind w:firstLine="643" w:firstLineChars="200"/>
        <w:rPr>
          <w:rFonts w:hint="eastAsia" w:eastAsia="方正仿宋_GBK"/>
          <w:kern w:val="2"/>
          <w:sz w:val="32"/>
          <w:szCs w:val="32"/>
          <w:highlight w:val="none"/>
          <w:lang w:val="en-US" w:eastAsia="zh-CN" w:bidi="ar-SA"/>
        </w:rPr>
      </w:pPr>
      <w:r>
        <w:rPr>
          <w:rFonts w:hint="eastAsia" w:eastAsia="方正仿宋_GBK"/>
          <w:b/>
          <w:bCs/>
          <w:kern w:val="2"/>
          <w:sz w:val="32"/>
          <w:szCs w:val="32"/>
          <w:highlight w:val="none"/>
          <w:lang w:val="en-US" w:eastAsia="zh-CN" w:bidi="ar-SA"/>
        </w:rPr>
        <w:t>7.卫生健康（类）行政事业单位医疗（款）其他行政事业单位医疗（项）：</w:t>
      </w:r>
      <w:r>
        <w:rPr>
          <w:rFonts w:hint="eastAsia" w:eastAsia="方正仿宋_GBK"/>
          <w:kern w:val="2"/>
          <w:sz w:val="32"/>
          <w:szCs w:val="32"/>
          <w:highlight w:val="none"/>
          <w:lang w:val="en-US" w:eastAsia="zh-CN" w:bidi="ar-SA"/>
        </w:rPr>
        <w:t>支出决算为1.88万元，完成预算100%，决算数等于预算数。</w:t>
      </w:r>
    </w:p>
    <w:p w14:paraId="5D02241D">
      <w:pPr>
        <w:ind w:firstLine="643" w:firstLineChars="200"/>
        <w:rPr>
          <w:rFonts w:hint="eastAsia" w:eastAsia="方正仿宋_GBK"/>
          <w:kern w:val="2"/>
          <w:sz w:val="32"/>
          <w:szCs w:val="32"/>
          <w:highlight w:val="none"/>
          <w:lang w:val="en-US" w:eastAsia="zh-CN" w:bidi="ar-SA"/>
        </w:rPr>
      </w:pPr>
      <w:r>
        <w:rPr>
          <w:rFonts w:hint="eastAsia" w:eastAsia="方正仿宋_GBK"/>
          <w:b/>
          <w:bCs/>
          <w:kern w:val="2"/>
          <w:sz w:val="32"/>
          <w:szCs w:val="32"/>
          <w:highlight w:val="none"/>
          <w:lang w:val="en-US" w:eastAsia="zh-CN" w:bidi="ar-SA"/>
        </w:rPr>
        <w:t>8.住房保障（类）住房改革（款）住房公积金（项）：</w:t>
      </w:r>
      <w:r>
        <w:rPr>
          <w:rFonts w:hint="eastAsia" w:eastAsia="方正仿宋_GBK"/>
          <w:kern w:val="2"/>
          <w:sz w:val="32"/>
          <w:szCs w:val="32"/>
          <w:highlight w:val="none"/>
          <w:lang w:val="en-US" w:eastAsia="zh-CN" w:bidi="ar-SA"/>
        </w:rPr>
        <w:t>支出决算为23.28万元，完成预算100%，决算数等于预算数。</w:t>
      </w:r>
    </w:p>
    <w:p w14:paraId="59807857">
      <w:pPr>
        <w:tabs>
          <w:tab w:val="right" w:pos="8306"/>
        </w:tabs>
        <w:spacing w:line="600" w:lineRule="exact"/>
        <w:ind w:firstLine="640"/>
        <w:outlineLvl w:val="1"/>
        <w:rPr>
          <w:rStyle w:val="31"/>
          <w:rFonts w:ascii="Times New Roman" w:hAnsi="Times New Roman"/>
        </w:rPr>
      </w:pPr>
      <w:bookmarkStart w:id="24" w:name="_Toc15396608"/>
      <w:bookmarkStart w:id="25" w:name="_Toc15377214"/>
      <w:r>
        <w:rPr>
          <w:rFonts w:hint="eastAsia" w:eastAsia="方正黑体_GBK"/>
          <w:b w:val="0"/>
          <w:bCs w:val="0"/>
          <w:color w:val="auto"/>
          <w:kern w:val="2"/>
          <w:sz w:val="32"/>
          <w:szCs w:val="32"/>
          <w:lang w:val="en-US" w:eastAsia="zh-CN" w:bidi="ar-SA"/>
        </w:rPr>
        <w:t>六、一般公共预算财政拨款基本支出决算情况说明</w:t>
      </w:r>
      <w:bookmarkEnd w:id="24"/>
      <w:bookmarkEnd w:id="25"/>
      <w:r>
        <w:rPr>
          <w:rStyle w:val="31"/>
          <w:rFonts w:ascii="Times New Roman" w:hAnsi="Times New Roman" w:eastAsia="黑体"/>
          <w:b w:val="0"/>
        </w:rPr>
        <w:tab/>
      </w:r>
    </w:p>
    <w:p w14:paraId="6088C906">
      <w:pPr>
        <w:spacing w:line="600" w:lineRule="exact"/>
        <w:ind w:firstLine="640"/>
        <w:rPr>
          <w:rFonts w:hint="eastAsia" w:eastAsia="方正仿宋_GBK"/>
          <w:kern w:val="2"/>
          <w:sz w:val="32"/>
          <w:szCs w:val="32"/>
          <w:highlight w:val="none"/>
          <w:lang w:val="en-US" w:eastAsia="zh-CN" w:bidi="ar-SA"/>
        </w:rPr>
      </w:pPr>
      <w:r>
        <w:rPr>
          <w:rFonts w:hint="eastAsia" w:eastAsia="方正仿宋_GBK"/>
          <w:kern w:val="2"/>
          <w:sz w:val="32"/>
          <w:szCs w:val="32"/>
          <w:highlight w:val="none"/>
          <w:lang w:val="en-US" w:eastAsia="zh-CN" w:bidi="ar-SA"/>
        </w:rPr>
        <w:t>2025年度一般公共预算财政拨款基本支出430.75万元，其中：</w:t>
      </w:r>
    </w:p>
    <w:p w14:paraId="5EA9472D">
      <w:pPr>
        <w:spacing w:line="600" w:lineRule="exact"/>
        <w:ind w:firstLine="640"/>
        <w:rPr>
          <w:rFonts w:hint="eastAsia" w:eastAsia="方正仿宋_GBK"/>
          <w:kern w:val="2"/>
          <w:sz w:val="32"/>
          <w:szCs w:val="32"/>
          <w:highlight w:val="none"/>
          <w:lang w:val="en-US" w:eastAsia="zh-CN" w:bidi="ar-SA"/>
        </w:rPr>
      </w:pPr>
      <w:r>
        <w:rPr>
          <w:rFonts w:hint="eastAsia" w:eastAsia="方正仿宋_GBK"/>
          <w:kern w:val="2"/>
          <w:sz w:val="32"/>
          <w:szCs w:val="32"/>
          <w:highlight w:val="none"/>
          <w:lang w:val="en-US" w:eastAsia="zh-CN" w:bidi="ar-SA"/>
        </w:rPr>
        <w:t>人员经费332万元，主要包括：基本工资、津贴补贴、奖金、绩效工资、机关事业单位基本养老保险缴费、 职工基本医疗保险缴费、 公务员医疗补助缴费、其他社会保障缴费、生活补助、医疗费补助、奖励金、住房公积金、其他对个人和家庭的补助支出等。</w:t>
      </w:r>
      <w:r>
        <w:rPr>
          <w:rFonts w:hint="eastAsia" w:eastAsia="方正仿宋_GBK"/>
          <w:kern w:val="2"/>
          <w:sz w:val="32"/>
          <w:szCs w:val="32"/>
          <w:highlight w:val="none"/>
          <w:lang w:val="en-US" w:eastAsia="zh-CN" w:bidi="ar-SA"/>
        </w:rPr>
        <w:br w:type="textWrapping"/>
      </w:r>
      <w:r>
        <w:rPr>
          <w:rFonts w:hint="eastAsia" w:eastAsia="方正仿宋_GBK"/>
          <w:kern w:val="2"/>
          <w:sz w:val="32"/>
          <w:szCs w:val="32"/>
          <w:highlight w:val="none"/>
          <w:lang w:val="en-US" w:eastAsia="zh-CN" w:bidi="ar-SA"/>
        </w:rPr>
        <w:t>　　公用经费21.37万元，主要包括：办公费、水费、电费、邮电费、差旅费、维修（护）费、公务接待费、工会经费、福利费、公务用车运行维护费、其他商品和服务支出、办公设备购置。</w:t>
      </w:r>
    </w:p>
    <w:p w14:paraId="72D1D485">
      <w:pPr>
        <w:tabs>
          <w:tab w:val="right" w:pos="8306"/>
        </w:tabs>
        <w:spacing w:line="600" w:lineRule="exact"/>
        <w:ind w:firstLine="640"/>
        <w:outlineLvl w:val="1"/>
        <w:rPr>
          <w:rFonts w:hint="default" w:eastAsia="方正黑体_GBK"/>
          <w:b w:val="0"/>
          <w:bCs w:val="0"/>
          <w:color w:val="auto"/>
          <w:kern w:val="2"/>
          <w:sz w:val="32"/>
          <w:szCs w:val="32"/>
          <w:lang w:val="en-US" w:eastAsia="zh-CN" w:bidi="ar-SA"/>
        </w:rPr>
      </w:pPr>
      <w:bookmarkStart w:id="26" w:name="_Toc15396609"/>
      <w:bookmarkStart w:id="27" w:name="_Toc15377215"/>
      <w:r>
        <w:rPr>
          <w:rFonts w:hint="eastAsia" w:eastAsia="方正黑体_GBK"/>
          <w:b w:val="0"/>
          <w:bCs w:val="0"/>
          <w:color w:val="auto"/>
          <w:kern w:val="2"/>
          <w:sz w:val="32"/>
          <w:szCs w:val="32"/>
          <w:lang w:val="en-US" w:eastAsia="zh-CN" w:bidi="ar-SA"/>
        </w:rPr>
        <w:t>七、财政拨款“三公”经费支出决算情况说明</w:t>
      </w:r>
      <w:bookmarkEnd w:id="26"/>
      <w:bookmarkEnd w:id="27"/>
    </w:p>
    <w:p w14:paraId="166F281B">
      <w:pPr>
        <w:pageBreakBefore w:val="0"/>
        <w:widowControl w:val="0"/>
        <w:kinsoku/>
        <w:wordWrap/>
        <w:overflowPunct/>
        <w:topLinePunct w:val="0"/>
        <w:autoSpaceDE/>
        <w:autoSpaceDN/>
        <w:bidi w:val="0"/>
        <w:adjustRightInd w:val="0"/>
        <w:snapToGrid w:val="0"/>
        <w:spacing w:line="560" w:lineRule="exact"/>
        <w:ind w:firstLine="643" w:firstLineChars="200"/>
        <w:rPr>
          <w:rFonts w:hint="eastAsia" w:eastAsia="方正楷体_GBK"/>
          <w:b/>
          <w:bCs/>
          <w:color w:val="auto"/>
          <w:kern w:val="2"/>
          <w:sz w:val="32"/>
          <w:szCs w:val="32"/>
          <w:shd w:val="clear" w:color="auto" w:fill="auto"/>
          <w:lang w:val="en-US" w:eastAsia="zh-CN" w:bidi="ar-SA"/>
        </w:rPr>
      </w:pPr>
      <w:bookmarkStart w:id="28" w:name="_Toc15377216"/>
      <w:r>
        <w:rPr>
          <w:rFonts w:hint="eastAsia" w:eastAsia="方正楷体_GBK"/>
          <w:b/>
          <w:bCs/>
          <w:color w:val="auto"/>
          <w:kern w:val="2"/>
          <w:sz w:val="32"/>
          <w:szCs w:val="32"/>
          <w:shd w:val="clear" w:color="auto" w:fill="auto"/>
          <w:lang w:val="en-US" w:eastAsia="zh-CN" w:bidi="ar-SA"/>
        </w:rPr>
        <w:t>（一）财政拨款“三公”经费支出决算总体情况说明</w:t>
      </w:r>
      <w:bookmarkEnd w:id="28"/>
    </w:p>
    <w:p w14:paraId="5EF89F79">
      <w:pPr>
        <w:spacing w:line="600" w:lineRule="exact"/>
        <w:ind w:left="0" w:firstLine="640" w:firstLineChars="200"/>
        <w:rPr>
          <w:rFonts w:hint="eastAsia" w:eastAsia="方正仿宋_GBK"/>
          <w:kern w:val="2"/>
          <w:sz w:val="32"/>
          <w:szCs w:val="32"/>
          <w:highlight w:val="none"/>
          <w:lang w:val="en-US" w:eastAsia="zh-CN" w:bidi="ar-SA"/>
        </w:rPr>
      </w:pPr>
      <w:r>
        <w:rPr>
          <w:rFonts w:hint="eastAsia" w:eastAsia="方正仿宋_GBK"/>
          <w:kern w:val="2"/>
          <w:sz w:val="32"/>
          <w:szCs w:val="32"/>
          <w:highlight w:val="none"/>
          <w:lang w:val="en-US" w:eastAsia="zh-CN" w:bidi="ar-SA"/>
        </w:rPr>
        <w:t>2025年度财政拨款“三公”经费支出决算为3.55万元，完成预算100%，较上年度减少0.52万元，下降12.8%。决算数与预算数持平。</w:t>
      </w:r>
    </w:p>
    <w:p w14:paraId="300AE2F9">
      <w:pPr>
        <w:pageBreakBefore w:val="0"/>
        <w:widowControl w:val="0"/>
        <w:kinsoku/>
        <w:wordWrap/>
        <w:overflowPunct/>
        <w:topLinePunct w:val="0"/>
        <w:autoSpaceDE/>
        <w:autoSpaceDN/>
        <w:bidi w:val="0"/>
        <w:adjustRightInd w:val="0"/>
        <w:snapToGrid w:val="0"/>
        <w:spacing w:line="560" w:lineRule="exact"/>
        <w:ind w:firstLine="643" w:firstLineChars="200"/>
        <w:rPr>
          <w:rFonts w:hint="eastAsia" w:eastAsia="方正楷体_GBK"/>
          <w:b/>
          <w:bCs/>
          <w:color w:val="auto"/>
          <w:kern w:val="2"/>
          <w:sz w:val="32"/>
          <w:szCs w:val="32"/>
          <w:shd w:val="clear" w:color="auto" w:fill="auto"/>
          <w:lang w:val="en-US" w:eastAsia="zh-CN" w:bidi="ar-SA"/>
        </w:rPr>
      </w:pPr>
      <w:bookmarkStart w:id="29" w:name="_Toc15377217"/>
      <w:r>
        <w:rPr>
          <w:rFonts w:hint="eastAsia" w:eastAsia="方正楷体_GBK"/>
          <w:b/>
          <w:bCs/>
          <w:color w:val="auto"/>
          <w:kern w:val="2"/>
          <w:sz w:val="32"/>
          <w:szCs w:val="32"/>
          <w:shd w:val="clear" w:color="auto" w:fill="auto"/>
          <w:lang w:val="en-US" w:eastAsia="zh-CN" w:bidi="ar-SA"/>
        </w:rPr>
        <w:t>（二）财政拨款“三公”经费支出决算具体情况说明</w:t>
      </w:r>
      <w:bookmarkEnd w:id="29"/>
    </w:p>
    <w:p w14:paraId="01ED139D">
      <w:pPr>
        <w:spacing w:line="600" w:lineRule="exact"/>
        <w:ind w:left="0" w:firstLine="640" w:firstLineChars="200"/>
        <w:rPr>
          <w:rFonts w:hint="eastAsia" w:eastAsia="方正仿宋_GBK"/>
          <w:kern w:val="2"/>
          <w:sz w:val="32"/>
          <w:szCs w:val="32"/>
          <w:highlight w:val="none"/>
          <w:lang w:val="en-US" w:eastAsia="zh-CN" w:bidi="ar-SA"/>
        </w:rPr>
      </w:pPr>
      <w:r>
        <w:rPr>
          <w:rFonts w:hint="eastAsia" w:eastAsia="方正仿宋_GBK"/>
          <w:kern w:val="2"/>
          <w:sz w:val="32"/>
          <w:szCs w:val="32"/>
          <w:highlight w:val="none"/>
          <w:lang w:val="en-US" w:eastAsia="zh-CN" w:bidi="ar-SA"/>
        </w:rPr>
        <w:t>2025年度财政拨款“三公”经费支出决算中，公务用车购置及运行维护费支出决算3.33万元，占93.8%；公务接待费支出决算0.22万元，占6.2%。具体情况如下：</w:t>
      </w:r>
    </w:p>
    <w:p w14:paraId="3CDAB11A">
      <w:pPr>
        <w:spacing w:line="240" w:lineRule="auto"/>
        <w:ind w:firstLine="640"/>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4838065" cy="2230120"/>
            <wp:effectExtent l="0" t="0" r="635" b="1778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17"/>
                    <a:stretch>
                      <a:fillRect/>
                    </a:stretch>
                  </pic:blipFill>
                  <pic:spPr>
                    <a:xfrm>
                      <a:off x="0" y="0"/>
                      <a:ext cx="4838065" cy="2230120"/>
                    </a:xfrm>
                    <a:prstGeom prst="rect">
                      <a:avLst/>
                    </a:prstGeom>
                  </pic:spPr>
                </pic:pic>
              </a:graphicData>
            </a:graphic>
          </wp:inline>
        </w:drawing>
      </w:r>
    </w:p>
    <w:p w14:paraId="27C332D8">
      <w:pPr>
        <w:spacing w:line="600" w:lineRule="exact"/>
        <w:ind w:firstLine="1609" w:firstLineChars="503"/>
        <w:rPr>
          <w:rFonts w:hint="eastAsia" w:eastAsia="仿宋_GB2312" w:cs="仿宋_GB2312"/>
          <w:sz w:val="32"/>
          <w:szCs w:val="32"/>
          <w:lang w:val="en-US" w:eastAsia="zh-CN"/>
        </w:rPr>
      </w:pPr>
      <w:r>
        <w:rPr>
          <w:rFonts w:hint="eastAsia" w:eastAsia="仿宋_GB2312" w:cs="仿宋_GB2312"/>
          <w:sz w:val="32"/>
          <w:szCs w:val="32"/>
          <w:lang w:val="en-US" w:eastAsia="zh-CN"/>
        </w:rPr>
        <w:t>(</w:t>
      </w:r>
      <w:r>
        <w:rPr>
          <w:rFonts w:hint="eastAsia" w:eastAsia="仿宋_GB2312" w:cs="仿宋_GB2312"/>
          <w:sz w:val="32"/>
          <w:szCs w:val="32"/>
        </w:rPr>
        <w:t>图7：财政拨款“三公”经费支出结构</w:t>
      </w:r>
      <w:r>
        <w:rPr>
          <w:rFonts w:hint="eastAsia" w:eastAsia="仿宋_GB2312" w:cs="仿宋_GB2312"/>
          <w:sz w:val="32"/>
          <w:szCs w:val="32"/>
          <w:lang w:val="en-US" w:eastAsia="zh-CN"/>
        </w:rPr>
        <w:t>)</w:t>
      </w:r>
    </w:p>
    <w:p w14:paraId="72E42DC1">
      <w:pPr>
        <w:spacing w:line="560" w:lineRule="exact"/>
        <w:ind w:firstLine="641"/>
        <w:rPr>
          <w:rFonts w:hint="eastAsia" w:eastAsia="方正仿宋_GBK"/>
          <w:kern w:val="2"/>
          <w:sz w:val="32"/>
          <w:szCs w:val="32"/>
          <w:highlight w:val="none"/>
          <w:lang w:val="en-US" w:eastAsia="zh-CN" w:bidi="ar-SA"/>
        </w:rPr>
      </w:pPr>
      <w:r>
        <w:rPr>
          <w:rFonts w:hint="eastAsia" w:eastAsia="方正仿宋_GBK"/>
          <w:b/>
          <w:bCs/>
          <w:sz w:val="32"/>
          <w:szCs w:val="32"/>
          <w:lang w:val="en-US" w:eastAsia="zh-CN"/>
        </w:rPr>
        <w:t>1.公务用车购置及运行维护费支出3.33万元，完成预算100%。</w:t>
      </w:r>
      <w:r>
        <w:rPr>
          <w:rFonts w:hint="eastAsia" w:eastAsia="方正仿宋_GBK"/>
          <w:kern w:val="2"/>
          <w:sz w:val="32"/>
          <w:szCs w:val="32"/>
          <w:highlight w:val="none"/>
          <w:lang w:val="en-US" w:eastAsia="zh-CN" w:bidi="ar-SA"/>
        </w:rPr>
        <w:t>公务用车购置及运行维护费支出决算比上年度增加0.43万元，增长14.8%。主要原因是2025年开车护送接领次数增加，所以公车运行费增加。</w:t>
      </w:r>
    </w:p>
    <w:p w14:paraId="550D506C">
      <w:pPr>
        <w:spacing w:line="560" w:lineRule="exact"/>
        <w:ind w:firstLine="641"/>
        <w:rPr>
          <w:rFonts w:hint="eastAsia" w:eastAsia="方正仿宋_GBK"/>
          <w:kern w:val="2"/>
          <w:sz w:val="32"/>
          <w:szCs w:val="32"/>
          <w:highlight w:val="none"/>
          <w:lang w:val="en-US" w:eastAsia="zh-CN" w:bidi="ar-SA"/>
        </w:rPr>
      </w:pPr>
      <w:r>
        <w:rPr>
          <w:rFonts w:hint="eastAsia" w:eastAsia="方正仿宋_GBK"/>
          <w:kern w:val="2"/>
          <w:sz w:val="32"/>
          <w:szCs w:val="32"/>
          <w:highlight w:val="none"/>
          <w:lang w:val="en-US" w:eastAsia="zh-CN" w:bidi="ar-SA"/>
        </w:rPr>
        <w:t>其中：公务用车购置支出0万元。全年按规定更新购置公务用车0辆，其中：轿车0辆、金额0万元，越野车0辆、金额0万元，载客汽车0辆、金额0万元。截至2025年12月31日，单位共有公务用车3辆，其中：轿车0辆、越野车0辆、载客汽车3辆。</w:t>
      </w:r>
    </w:p>
    <w:p w14:paraId="464F2A13">
      <w:pPr>
        <w:spacing w:line="560" w:lineRule="exact"/>
        <w:ind w:firstLine="641"/>
        <w:rPr>
          <w:rFonts w:hint="eastAsia" w:eastAsia="方正仿宋_GBK"/>
          <w:kern w:val="2"/>
          <w:sz w:val="32"/>
          <w:szCs w:val="32"/>
          <w:highlight w:val="none"/>
          <w:lang w:val="en-US" w:eastAsia="zh-CN" w:bidi="ar-SA"/>
        </w:rPr>
      </w:pPr>
      <w:r>
        <w:rPr>
          <w:rFonts w:hint="eastAsia" w:eastAsia="方正仿宋_GBK"/>
          <w:kern w:val="2"/>
          <w:sz w:val="32"/>
          <w:szCs w:val="32"/>
          <w:highlight w:val="none"/>
          <w:lang w:val="en-US" w:eastAsia="zh-CN" w:bidi="ar-SA"/>
        </w:rPr>
        <w:t>公务用车运行维护费支出3.33万元。主要用于护送接领受助人员返乡、开展街面劝导等所需的公务用车燃料费、维修费、过路过桥费、保险费等支出。</w:t>
      </w:r>
    </w:p>
    <w:p w14:paraId="592F3D7E">
      <w:pPr>
        <w:spacing w:line="560" w:lineRule="exact"/>
        <w:ind w:firstLine="641"/>
        <w:rPr>
          <w:rFonts w:hint="eastAsia" w:eastAsia="仿宋_GB2312"/>
          <w:sz w:val="32"/>
          <w:szCs w:val="32"/>
          <w:lang w:val="en-US" w:eastAsia="zh-CN"/>
        </w:rPr>
      </w:pPr>
      <w:r>
        <w:rPr>
          <w:rFonts w:hint="eastAsia" w:eastAsia="方正仿宋_GBK"/>
          <w:b/>
          <w:bCs/>
          <w:sz w:val="32"/>
          <w:szCs w:val="32"/>
          <w:lang w:val="en-US" w:eastAsia="zh-CN"/>
        </w:rPr>
        <w:t>2.公务接待费支出0.22万元，完成预算100%。</w:t>
      </w:r>
      <w:r>
        <w:rPr>
          <w:rFonts w:hint="eastAsia" w:eastAsia="仿宋_GB2312"/>
          <w:sz w:val="32"/>
          <w:szCs w:val="32"/>
          <w:lang w:val="en-US" w:eastAsia="zh-CN"/>
        </w:rPr>
        <w:t>公务接待费支出决算比上年度减少0.95万元，下降81.2%。主要原因是</w:t>
      </w:r>
      <w:r>
        <w:rPr>
          <w:rFonts w:hint="default" w:eastAsia="仿宋_GB2312"/>
          <w:sz w:val="32"/>
          <w:szCs w:val="32"/>
          <w:lang w:val="en-US" w:eastAsia="zh-CN"/>
        </w:rPr>
        <w:t>202</w:t>
      </w:r>
      <w:r>
        <w:rPr>
          <w:rFonts w:hint="eastAsia" w:eastAsia="仿宋_GB2312"/>
          <w:sz w:val="32"/>
          <w:szCs w:val="32"/>
          <w:lang w:val="en-US" w:eastAsia="zh-CN"/>
        </w:rPr>
        <w:t>5</w:t>
      </w:r>
      <w:r>
        <w:rPr>
          <w:rFonts w:hint="default" w:eastAsia="仿宋_GB2312"/>
          <w:sz w:val="32"/>
          <w:szCs w:val="32"/>
          <w:lang w:val="en-US" w:eastAsia="zh-CN"/>
        </w:rPr>
        <w:t>年</w:t>
      </w:r>
      <w:r>
        <w:rPr>
          <w:rFonts w:hint="eastAsia" w:eastAsia="仿宋_GB2312"/>
          <w:sz w:val="32"/>
          <w:szCs w:val="32"/>
          <w:lang w:val="en-US" w:eastAsia="zh-CN"/>
        </w:rPr>
        <w:t>其他站护送至我站次数较少，接待人数减少，所以公务接待支出减少。其中：</w:t>
      </w:r>
    </w:p>
    <w:p w14:paraId="49027F90">
      <w:pPr>
        <w:spacing w:line="560" w:lineRule="exact"/>
        <w:ind w:firstLine="641"/>
        <w:rPr>
          <w:rFonts w:hint="eastAsia" w:eastAsia="仿宋_GB2312"/>
          <w:sz w:val="32"/>
          <w:szCs w:val="32"/>
          <w:lang w:val="en-US" w:eastAsia="zh-CN"/>
        </w:rPr>
      </w:pPr>
      <w:r>
        <w:rPr>
          <w:rFonts w:hint="eastAsia" w:eastAsia="仿宋_GB2312"/>
          <w:sz w:val="32"/>
          <w:szCs w:val="32"/>
          <w:lang w:val="en-US" w:eastAsia="zh-CN"/>
        </w:rPr>
        <w:t>国内公务接待支出0.22万元，主要用于公务接待的用餐费。国内公务接待7批次，33人次（不包括陪同人员），共计支出0.22万元，具体内容包括：接待楚雄、遂宁、绵阳、华坪、盐边、丽江等救助站护送受助人员到攀的工作人员。</w:t>
      </w:r>
    </w:p>
    <w:p w14:paraId="36988DA0">
      <w:pPr>
        <w:spacing w:line="560" w:lineRule="exact"/>
        <w:ind w:firstLine="641"/>
        <w:rPr>
          <w:rFonts w:hint="eastAsia" w:eastAsia="仿宋_GB2312"/>
          <w:sz w:val="32"/>
          <w:szCs w:val="32"/>
          <w:lang w:val="en-US" w:eastAsia="zh-CN"/>
        </w:rPr>
      </w:pPr>
      <w:r>
        <w:rPr>
          <w:rFonts w:hint="eastAsia" w:eastAsia="仿宋_GB2312"/>
          <w:sz w:val="32"/>
          <w:szCs w:val="32"/>
          <w:lang w:val="en-US" w:eastAsia="zh-CN"/>
        </w:rPr>
        <w:t>外事接待支出0万元，外事接待0批次，0人次（不包括陪同人员），共计支出0万元。</w:t>
      </w:r>
      <w:bookmarkStart w:id="30" w:name="_Toc15396610"/>
      <w:bookmarkStart w:id="31" w:name="_Toc15377218"/>
    </w:p>
    <w:p w14:paraId="12CA4029">
      <w:pPr>
        <w:tabs>
          <w:tab w:val="right" w:pos="8306"/>
        </w:tabs>
        <w:spacing w:line="600" w:lineRule="exact"/>
        <w:ind w:firstLine="640"/>
        <w:outlineLvl w:val="1"/>
        <w:rPr>
          <w:rFonts w:hint="default" w:ascii="Times New Roman" w:hAnsi="Times New Roman" w:eastAsia="方正黑体_GBK" w:cs="Times New Roman"/>
          <w:kern w:val="2"/>
          <w:sz w:val="32"/>
          <w:szCs w:val="32"/>
        </w:rPr>
      </w:pPr>
      <w:r>
        <w:rPr>
          <w:rFonts w:hint="eastAsia" w:eastAsia="方正黑体_GBK"/>
          <w:b w:val="0"/>
          <w:bCs w:val="0"/>
          <w:color w:val="auto"/>
          <w:kern w:val="2"/>
          <w:sz w:val="32"/>
          <w:szCs w:val="32"/>
          <w:lang w:val="en-US" w:eastAsia="zh-CN" w:bidi="ar-SA"/>
        </w:rPr>
        <w:t>八、政府性基金预算支出决算情况说明</w:t>
      </w:r>
      <w:bookmarkEnd w:id="30"/>
      <w:bookmarkEnd w:id="31"/>
    </w:p>
    <w:p w14:paraId="3E87D9E4">
      <w:pPr>
        <w:spacing w:line="560" w:lineRule="exact"/>
        <w:ind w:firstLine="641"/>
        <w:rPr>
          <w:rFonts w:hint="eastAsia" w:eastAsia="方正仿宋_GBK"/>
          <w:kern w:val="2"/>
          <w:sz w:val="32"/>
          <w:szCs w:val="32"/>
          <w:highlight w:val="none"/>
          <w:lang w:val="en-US" w:eastAsia="zh-CN" w:bidi="ar-SA"/>
        </w:rPr>
      </w:pPr>
      <w:r>
        <w:rPr>
          <w:rFonts w:hint="eastAsia" w:eastAsia="方正仿宋_GBK"/>
          <w:kern w:val="2"/>
          <w:sz w:val="32"/>
          <w:szCs w:val="32"/>
          <w:highlight w:val="none"/>
          <w:lang w:val="en-US" w:eastAsia="zh-CN" w:bidi="ar-SA"/>
        </w:rPr>
        <w:t>2025年度政府性基金预算财政拨款支出0万元，占本年支出合计的0%。与上年度相比，政府性基金预算财政拨款支出减少1.4万元，下降0%。主要变动原因是项目资金减少。</w:t>
      </w:r>
    </w:p>
    <w:p w14:paraId="2A73E3AE">
      <w:pPr>
        <w:tabs>
          <w:tab w:val="right" w:pos="8306"/>
        </w:tabs>
        <w:spacing w:line="600" w:lineRule="exact"/>
        <w:ind w:firstLine="640"/>
        <w:outlineLvl w:val="1"/>
        <w:rPr>
          <w:rFonts w:hint="default" w:eastAsia="方正黑体_GBK"/>
          <w:b w:val="0"/>
          <w:bCs w:val="0"/>
          <w:color w:val="auto"/>
          <w:kern w:val="2"/>
          <w:sz w:val="32"/>
          <w:szCs w:val="32"/>
          <w:lang w:val="en-US" w:eastAsia="zh-CN" w:bidi="ar-SA"/>
        </w:rPr>
      </w:pPr>
      <w:bookmarkStart w:id="32" w:name="_Toc15396611"/>
      <w:bookmarkStart w:id="33" w:name="_Toc15377219"/>
      <w:r>
        <w:rPr>
          <w:rFonts w:hint="eastAsia" w:eastAsia="方正黑体_GBK"/>
          <w:b w:val="0"/>
          <w:bCs w:val="0"/>
          <w:color w:val="auto"/>
          <w:kern w:val="2"/>
          <w:sz w:val="32"/>
          <w:szCs w:val="32"/>
          <w:lang w:val="en-US" w:eastAsia="zh-CN" w:bidi="ar-SA"/>
        </w:rPr>
        <w:t>九、国有资本经营预算支出决算情况说明</w:t>
      </w:r>
      <w:bookmarkEnd w:id="32"/>
      <w:bookmarkEnd w:id="33"/>
    </w:p>
    <w:p w14:paraId="0FD58F4E">
      <w:pPr>
        <w:spacing w:line="560" w:lineRule="exact"/>
        <w:ind w:firstLine="641"/>
        <w:rPr>
          <w:rFonts w:hint="eastAsia" w:ascii="Times New Roman" w:hAnsi="Times New Roman" w:eastAsia="方正仿宋_GBK" w:cs="Times New Roman"/>
          <w:kern w:val="2"/>
          <w:sz w:val="32"/>
          <w:szCs w:val="32"/>
          <w:lang w:val="en-US" w:eastAsia="zh-CN" w:bidi="ar-SA"/>
        </w:rPr>
      </w:pPr>
      <w:r>
        <w:rPr>
          <w:rFonts w:hint="eastAsia" w:eastAsia="方正仿宋_GBK"/>
          <w:kern w:val="2"/>
          <w:sz w:val="32"/>
          <w:szCs w:val="32"/>
          <w:highlight w:val="none"/>
          <w:lang w:val="en-US" w:eastAsia="zh-CN" w:bidi="ar-SA"/>
        </w:rPr>
        <w:t>2025年度国有资本经营预算财政拨款支出0万元，占本年支出合计的0%，与上年度相比，与上年持平。</w:t>
      </w:r>
    </w:p>
    <w:p w14:paraId="44F92302">
      <w:pPr>
        <w:tabs>
          <w:tab w:val="right" w:pos="8306"/>
        </w:tabs>
        <w:spacing w:line="600" w:lineRule="exact"/>
        <w:ind w:firstLine="640"/>
        <w:outlineLvl w:val="1"/>
        <w:rPr>
          <w:rFonts w:hint="default" w:eastAsia="方正黑体_GBK"/>
          <w:b w:val="0"/>
          <w:bCs w:val="0"/>
          <w:color w:val="auto"/>
          <w:kern w:val="2"/>
          <w:sz w:val="32"/>
          <w:szCs w:val="32"/>
          <w:lang w:val="en-US" w:eastAsia="zh-CN" w:bidi="ar-SA"/>
        </w:rPr>
      </w:pPr>
      <w:bookmarkStart w:id="34" w:name="_Toc15377221"/>
      <w:bookmarkStart w:id="35" w:name="_Toc15396612"/>
      <w:r>
        <w:rPr>
          <w:rFonts w:hint="eastAsia" w:eastAsia="方正黑体_GBK"/>
          <w:b w:val="0"/>
          <w:bCs w:val="0"/>
          <w:color w:val="auto"/>
          <w:kern w:val="2"/>
          <w:sz w:val="32"/>
          <w:szCs w:val="32"/>
          <w:lang w:val="en-US" w:eastAsia="zh-CN" w:bidi="ar-SA"/>
        </w:rPr>
        <w:t>十、其他重要事项的情况说明</w:t>
      </w:r>
      <w:bookmarkEnd w:id="34"/>
      <w:bookmarkEnd w:id="35"/>
    </w:p>
    <w:p w14:paraId="017B7C67">
      <w:pPr>
        <w:pageBreakBefore w:val="0"/>
        <w:widowControl w:val="0"/>
        <w:kinsoku/>
        <w:wordWrap/>
        <w:overflowPunct/>
        <w:topLinePunct w:val="0"/>
        <w:autoSpaceDE/>
        <w:autoSpaceDN/>
        <w:bidi w:val="0"/>
        <w:adjustRightInd w:val="0"/>
        <w:snapToGrid w:val="0"/>
        <w:spacing w:line="560" w:lineRule="exact"/>
        <w:ind w:firstLine="643" w:firstLineChars="200"/>
        <w:rPr>
          <w:rFonts w:hint="eastAsia" w:eastAsia="方正楷体_GBK"/>
          <w:b/>
          <w:bCs/>
          <w:color w:val="auto"/>
          <w:kern w:val="2"/>
          <w:sz w:val="32"/>
          <w:szCs w:val="32"/>
          <w:shd w:val="clear" w:color="auto" w:fill="auto"/>
          <w:lang w:val="en-US" w:eastAsia="zh-CN" w:bidi="ar-SA"/>
        </w:rPr>
      </w:pPr>
      <w:bookmarkStart w:id="36" w:name="_Toc15377222"/>
      <w:r>
        <w:rPr>
          <w:rFonts w:hint="eastAsia" w:eastAsia="方正楷体_GBK"/>
          <w:b/>
          <w:bCs/>
          <w:color w:val="auto"/>
          <w:kern w:val="2"/>
          <w:sz w:val="32"/>
          <w:szCs w:val="32"/>
          <w:shd w:val="clear" w:color="auto" w:fill="auto"/>
          <w:lang w:val="en-US" w:eastAsia="zh-CN" w:bidi="ar-SA"/>
        </w:rPr>
        <w:t>（一）机关运行经费支出情况</w:t>
      </w:r>
      <w:bookmarkEnd w:id="36"/>
    </w:p>
    <w:p w14:paraId="20768B7C">
      <w:pPr>
        <w:spacing w:line="560" w:lineRule="exact"/>
        <w:ind w:firstLine="641"/>
        <w:rPr>
          <w:rFonts w:hint="eastAsia" w:eastAsia="仿宋_GB2312" w:cs="仿宋_GB2312"/>
          <w:sz w:val="32"/>
          <w:szCs w:val="32"/>
          <w:lang w:eastAsia="zh-CN"/>
        </w:rPr>
      </w:pPr>
      <w:r>
        <w:rPr>
          <w:rFonts w:hint="eastAsia" w:eastAsia="方正仿宋_GBK"/>
          <w:kern w:val="2"/>
          <w:sz w:val="32"/>
          <w:szCs w:val="32"/>
          <w:highlight w:val="none"/>
          <w:lang w:val="en-US" w:eastAsia="zh-CN" w:bidi="ar-SA"/>
        </w:rPr>
        <w:t>2025年度，攀枝花市救助站机关运行经费支出0万元，与上年度相比，与上年持平。</w:t>
      </w:r>
    </w:p>
    <w:p w14:paraId="40A268C1">
      <w:pPr>
        <w:pageBreakBefore w:val="0"/>
        <w:widowControl w:val="0"/>
        <w:kinsoku/>
        <w:wordWrap/>
        <w:overflowPunct/>
        <w:topLinePunct w:val="0"/>
        <w:autoSpaceDE/>
        <w:autoSpaceDN/>
        <w:bidi w:val="0"/>
        <w:adjustRightInd w:val="0"/>
        <w:snapToGrid w:val="0"/>
        <w:spacing w:line="560" w:lineRule="exact"/>
        <w:ind w:firstLine="643" w:firstLineChars="200"/>
        <w:rPr>
          <w:rFonts w:hint="eastAsia" w:eastAsia="方正楷体_GBK"/>
          <w:b/>
          <w:bCs/>
          <w:color w:val="auto"/>
          <w:kern w:val="2"/>
          <w:sz w:val="32"/>
          <w:szCs w:val="32"/>
          <w:shd w:val="clear" w:color="auto" w:fill="auto"/>
          <w:lang w:val="en-US" w:eastAsia="zh-CN" w:bidi="ar-SA"/>
        </w:rPr>
      </w:pPr>
      <w:bookmarkStart w:id="37" w:name="_Toc15377223"/>
      <w:r>
        <w:rPr>
          <w:rFonts w:hint="eastAsia" w:eastAsia="方正楷体_GBK"/>
          <w:b/>
          <w:bCs/>
          <w:color w:val="auto"/>
          <w:kern w:val="2"/>
          <w:sz w:val="32"/>
          <w:szCs w:val="32"/>
          <w:shd w:val="clear" w:color="auto" w:fill="auto"/>
          <w:lang w:val="en-US" w:eastAsia="zh-CN" w:bidi="ar-SA"/>
        </w:rPr>
        <w:t>（二）政府采购支出情况</w:t>
      </w:r>
      <w:bookmarkEnd w:id="37"/>
    </w:p>
    <w:p w14:paraId="3EADBCE6">
      <w:pPr>
        <w:spacing w:line="560" w:lineRule="exact"/>
        <w:ind w:firstLine="641"/>
        <w:rPr>
          <w:rFonts w:hint="eastAsia" w:eastAsia="方正仿宋_GBK"/>
          <w:kern w:val="2"/>
          <w:sz w:val="32"/>
          <w:szCs w:val="32"/>
          <w:highlight w:val="none"/>
          <w:lang w:val="en-US" w:eastAsia="zh-CN" w:bidi="ar-SA"/>
        </w:rPr>
      </w:pPr>
      <w:r>
        <w:rPr>
          <w:rFonts w:hint="eastAsia" w:eastAsia="方正仿宋_GBK"/>
          <w:kern w:val="2"/>
          <w:sz w:val="32"/>
          <w:szCs w:val="32"/>
          <w:highlight w:val="none"/>
          <w:lang w:val="en-US" w:eastAsia="zh-CN" w:bidi="ar-SA"/>
        </w:rPr>
        <w:t>2025年度，攀枝花市救助站政府采购支出总额3.59万元，其中：政府采购货物支出0.26万元、政府采购工程支出0万元、政府采购服务支出3.33万元。主要用于办公设备购置、公务用车维护及运行。授予中小企业合同金额1.76万元，占政府采购支出总额的49%，其中：授予小微企业合同金额1.76万元，占政府采购支出总额的49%。</w:t>
      </w:r>
    </w:p>
    <w:p w14:paraId="4CD7EFCF">
      <w:pPr>
        <w:pageBreakBefore w:val="0"/>
        <w:widowControl w:val="0"/>
        <w:kinsoku/>
        <w:wordWrap/>
        <w:overflowPunct/>
        <w:topLinePunct w:val="0"/>
        <w:autoSpaceDE/>
        <w:autoSpaceDN/>
        <w:bidi w:val="0"/>
        <w:adjustRightInd w:val="0"/>
        <w:snapToGrid w:val="0"/>
        <w:spacing w:line="560" w:lineRule="exact"/>
        <w:ind w:firstLine="643" w:firstLineChars="200"/>
        <w:rPr>
          <w:rFonts w:hint="eastAsia" w:eastAsia="方正楷体_GBK"/>
          <w:b/>
          <w:bCs/>
          <w:color w:val="auto"/>
          <w:kern w:val="2"/>
          <w:sz w:val="32"/>
          <w:szCs w:val="32"/>
          <w:shd w:val="clear" w:color="auto" w:fill="auto"/>
          <w:lang w:val="en-US" w:eastAsia="zh-CN" w:bidi="ar-SA"/>
        </w:rPr>
      </w:pPr>
      <w:bookmarkStart w:id="38" w:name="_Toc15377224"/>
      <w:r>
        <w:rPr>
          <w:rFonts w:hint="eastAsia" w:eastAsia="方正楷体_GBK"/>
          <w:b/>
          <w:bCs/>
          <w:color w:val="auto"/>
          <w:kern w:val="2"/>
          <w:sz w:val="32"/>
          <w:szCs w:val="32"/>
          <w:shd w:val="clear" w:color="auto" w:fill="auto"/>
          <w:lang w:val="en-US" w:eastAsia="zh-CN" w:bidi="ar-SA"/>
        </w:rPr>
        <w:t>（三）国有资产占有使用情况</w:t>
      </w:r>
      <w:bookmarkEnd w:id="38"/>
    </w:p>
    <w:p w14:paraId="4EE90ED8">
      <w:pPr>
        <w:spacing w:line="560" w:lineRule="exact"/>
        <w:ind w:firstLine="641"/>
        <w:rPr>
          <w:rFonts w:hint="default" w:eastAsia="方正仿宋_GBK"/>
          <w:kern w:val="2"/>
          <w:sz w:val="32"/>
          <w:szCs w:val="32"/>
          <w:highlight w:val="none"/>
          <w:lang w:val="en-US" w:eastAsia="zh-CN" w:bidi="ar-SA"/>
        </w:rPr>
      </w:pPr>
      <w:r>
        <w:rPr>
          <w:rFonts w:hint="eastAsia" w:eastAsia="方正仿宋_GBK"/>
          <w:kern w:val="2"/>
          <w:sz w:val="32"/>
          <w:szCs w:val="32"/>
          <w:highlight w:val="none"/>
          <w:lang w:val="en-US" w:eastAsia="zh-CN" w:bidi="ar-SA"/>
        </w:rPr>
        <w:t>截至2025年12月31日，攀枝花市救助站共有车辆3辆，其中：主要领导干部用车0辆、机要通信用车0辆、应急保障用车0辆、其他用车3辆，车辆用于护送接领流浪乞讨人员、开展街面劝导等业务工作的开展。单价50万元以上通用设备0台（套），单价100万元以上专用设备（不含车辆）0台（套）。</w:t>
      </w:r>
    </w:p>
    <w:p w14:paraId="5721D4E0">
      <w:pPr>
        <w:pageBreakBefore w:val="0"/>
        <w:widowControl w:val="0"/>
        <w:kinsoku/>
        <w:wordWrap/>
        <w:overflowPunct/>
        <w:topLinePunct w:val="0"/>
        <w:autoSpaceDE/>
        <w:autoSpaceDN/>
        <w:bidi w:val="0"/>
        <w:adjustRightInd w:val="0"/>
        <w:snapToGrid w:val="0"/>
        <w:spacing w:line="560" w:lineRule="exact"/>
        <w:ind w:firstLine="643" w:firstLineChars="200"/>
        <w:rPr>
          <w:rFonts w:hint="eastAsia" w:eastAsia="方正楷体_GBK"/>
          <w:b/>
          <w:bCs/>
          <w:color w:val="auto"/>
          <w:kern w:val="2"/>
          <w:sz w:val="32"/>
          <w:szCs w:val="32"/>
          <w:shd w:val="clear" w:color="auto" w:fill="auto"/>
          <w:lang w:val="en-US" w:eastAsia="zh-CN" w:bidi="ar-SA"/>
        </w:rPr>
      </w:pPr>
      <w:r>
        <w:rPr>
          <w:rFonts w:hint="eastAsia" w:eastAsia="方正楷体_GBK"/>
          <w:b/>
          <w:bCs/>
          <w:color w:val="auto"/>
          <w:kern w:val="2"/>
          <w:sz w:val="32"/>
          <w:szCs w:val="32"/>
          <w:shd w:val="clear" w:color="auto" w:fill="auto"/>
          <w:lang w:val="en-US" w:eastAsia="zh-CN" w:bidi="ar-SA"/>
        </w:rPr>
        <w:t>（四）预算绩效管理情况</w:t>
      </w:r>
    </w:p>
    <w:p w14:paraId="74F39991">
      <w:pPr>
        <w:spacing w:line="560" w:lineRule="exact"/>
        <w:ind w:firstLine="641"/>
        <w:rPr>
          <w:rFonts w:eastAsia="方正仿宋_GBK"/>
          <w:kern w:val="2"/>
          <w:sz w:val="32"/>
          <w:szCs w:val="32"/>
          <w:highlight w:val="none"/>
          <w:lang w:val="en-US" w:eastAsia="zh-CN" w:bidi="ar-SA"/>
        </w:rPr>
      </w:pPr>
      <w:r>
        <w:rPr>
          <w:rFonts w:hint="eastAsia" w:eastAsia="方正仿宋_GBK"/>
          <w:kern w:val="2"/>
          <w:sz w:val="32"/>
          <w:szCs w:val="32"/>
          <w:highlight w:val="none"/>
          <w:lang w:val="en-US" w:eastAsia="zh-CN" w:bidi="ar-SA"/>
        </w:rPr>
        <w:t>根据预算绩效管理要求，攀枝花市救助站在2025年度，组织对流浪乞讨人员救助（省级）项目、救助专项经费项目2个项目涉及金额77.39万元开展了事前绩效评估，对2个项目编制了绩效目标，预算执行过程中，选取2个项目开展绩效监控，组织对2个项目开展绩效自评，绩效自评表详见第四部分附件。</w:t>
      </w:r>
    </w:p>
    <w:p w14:paraId="1325EAF3">
      <w:pPr>
        <w:pStyle w:val="5"/>
        <w:suppressAutoHyphens/>
        <w:spacing w:before="0" w:beforeLines="-2147483648" w:after="0" w:line="0" w:lineRule="atLeast"/>
        <w:jc w:val="center"/>
        <w:outlineLvl w:val="0"/>
        <w:rPr>
          <w:rFonts w:hint="eastAsia" w:ascii="Times New Roman" w:hAnsi="Times New Roman" w:eastAsia="方正小标宋_GBK" w:cs="Times New Roman"/>
          <w:b/>
          <w:kern w:val="2"/>
          <w:sz w:val="44"/>
          <w:szCs w:val="44"/>
          <w:lang w:val="en-US" w:eastAsia="zh-CN"/>
        </w:rPr>
      </w:pPr>
      <w:bookmarkStart w:id="39" w:name="_Toc15396613"/>
      <w:bookmarkStart w:id="40" w:name="_Toc15377225"/>
    </w:p>
    <w:p w14:paraId="1EB0AD66">
      <w:pPr>
        <w:pStyle w:val="5"/>
        <w:suppressAutoHyphens/>
        <w:spacing w:before="0" w:beforeLines="-2147483648" w:after="0" w:line="0" w:lineRule="atLeast"/>
        <w:jc w:val="center"/>
        <w:outlineLvl w:val="0"/>
        <w:rPr>
          <w:rFonts w:hint="eastAsia" w:ascii="Times New Roman" w:hAnsi="Times New Roman" w:eastAsia="方正小标宋_GBK" w:cs="Times New Roman"/>
          <w:b/>
          <w:kern w:val="2"/>
          <w:sz w:val="44"/>
          <w:szCs w:val="44"/>
          <w:lang w:val="en-US" w:eastAsia="zh-CN"/>
        </w:rPr>
      </w:pPr>
    </w:p>
    <w:p w14:paraId="651EB974">
      <w:pPr>
        <w:pStyle w:val="5"/>
        <w:suppressAutoHyphens/>
        <w:spacing w:before="0" w:beforeLines="-2147483648" w:after="0" w:line="0" w:lineRule="atLeast"/>
        <w:jc w:val="center"/>
        <w:outlineLvl w:val="0"/>
        <w:rPr>
          <w:rFonts w:hint="eastAsia" w:ascii="Times New Roman" w:hAnsi="Times New Roman" w:eastAsia="方正小标宋_GBK" w:cs="Times New Roman"/>
          <w:b/>
          <w:kern w:val="2"/>
          <w:sz w:val="44"/>
          <w:szCs w:val="44"/>
          <w:lang w:val="en-US" w:eastAsia="zh-CN"/>
        </w:rPr>
      </w:pPr>
    </w:p>
    <w:p w14:paraId="1C9CA215">
      <w:pPr>
        <w:pStyle w:val="5"/>
        <w:suppressAutoHyphens/>
        <w:spacing w:before="0" w:beforeLines="-2147483648" w:after="0" w:line="0" w:lineRule="atLeast"/>
        <w:jc w:val="center"/>
        <w:outlineLvl w:val="0"/>
        <w:rPr>
          <w:rFonts w:hint="eastAsia" w:ascii="Times New Roman" w:hAnsi="Times New Roman" w:eastAsia="方正小标宋_GBK" w:cs="Times New Roman"/>
          <w:b/>
          <w:kern w:val="2"/>
          <w:sz w:val="44"/>
          <w:szCs w:val="44"/>
          <w:lang w:val="en-US" w:eastAsia="zh-CN"/>
        </w:rPr>
      </w:pPr>
    </w:p>
    <w:p w14:paraId="6455D2A0">
      <w:pPr>
        <w:pStyle w:val="5"/>
        <w:suppressAutoHyphens/>
        <w:spacing w:before="0" w:beforeLines="-2147483648" w:after="0" w:line="0" w:lineRule="atLeast"/>
        <w:jc w:val="center"/>
        <w:outlineLvl w:val="0"/>
        <w:rPr>
          <w:rFonts w:hint="eastAsia" w:ascii="Times New Roman" w:hAnsi="Times New Roman" w:eastAsia="方正小标宋_GBK" w:cs="Times New Roman"/>
          <w:b/>
          <w:kern w:val="2"/>
          <w:sz w:val="44"/>
          <w:szCs w:val="44"/>
          <w:lang w:val="en-US" w:eastAsia="zh-CN"/>
        </w:rPr>
      </w:pPr>
    </w:p>
    <w:p w14:paraId="1CCAE1CC">
      <w:pPr>
        <w:pStyle w:val="5"/>
        <w:suppressAutoHyphens/>
        <w:spacing w:before="0" w:beforeLines="-2147483648" w:after="0" w:line="0" w:lineRule="atLeast"/>
        <w:jc w:val="center"/>
        <w:outlineLvl w:val="0"/>
        <w:rPr>
          <w:rFonts w:hint="eastAsia" w:ascii="Times New Roman" w:hAnsi="Times New Roman" w:eastAsia="方正小标宋_GBK" w:cs="Times New Roman"/>
          <w:b/>
          <w:kern w:val="2"/>
          <w:sz w:val="44"/>
          <w:szCs w:val="44"/>
          <w:lang w:val="en-US" w:eastAsia="zh-CN"/>
        </w:rPr>
      </w:pPr>
    </w:p>
    <w:p w14:paraId="6E626DB7">
      <w:pPr>
        <w:pStyle w:val="5"/>
        <w:suppressAutoHyphens/>
        <w:spacing w:before="0" w:beforeLines="-2147483648" w:after="0" w:line="0" w:lineRule="atLeast"/>
        <w:jc w:val="center"/>
        <w:outlineLvl w:val="0"/>
        <w:rPr>
          <w:rFonts w:hint="eastAsia" w:ascii="Times New Roman" w:hAnsi="Times New Roman" w:eastAsia="方正小标宋_GBK" w:cs="Times New Roman"/>
          <w:b/>
          <w:kern w:val="2"/>
          <w:sz w:val="44"/>
          <w:szCs w:val="44"/>
          <w:lang w:val="en-US" w:eastAsia="zh-CN"/>
        </w:rPr>
      </w:pPr>
    </w:p>
    <w:p w14:paraId="2901D935">
      <w:pPr>
        <w:pStyle w:val="5"/>
        <w:suppressAutoHyphens/>
        <w:spacing w:before="0" w:beforeLines="-2147483648" w:after="0" w:line="0" w:lineRule="atLeast"/>
        <w:jc w:val="center"/>
        <w:outlineLvl w:val="0"/>
        <w:rPr>
          <w:rFonts w:hint="eastAsia" w:ascii="Times New Roman" w:hAnsi="Times New Roman" w:eastAsia="方正小标宋_GBK" w:cs="Times New Roman"/>
          <w:b/>
          <w:kern w:val="2"/>
          <w:sz w:val="44"/>
          <w:szCs w:val="44"/>
          <w:lang w:val="en-US" w:eastAsia="zh-CN"/>
        </w:rPr>
      </w:pPr>
    </w:p>
    <w:p w14:paraId="144233D0">
      <w:pPr>
        <w:spacing w:line="600" w:lineRule="exact"/>
        <w:jc w:val="center"/>
        <w:outlineLvl w:val="0"/>
        <w:rPr>
          <w:rFonts w:hint="default" w:ascii="Times New Roman" w:hAnsi="Times New Roman" w:eastAsia="方正小标宋_GBK" w:cs="Times New Roman"/>
          <w:b/>
          <w:kern w:val="2"/>
          <w:sz w:val="44"/>
          <w:szCs w:val="44"/>
          <w:lang w:val="en-US" w:eastAsia="zh-CN"/>
        </w:rPr>
      </w:pPr>
      <w:r>
        <w:rPr>
          <w:rFonts w:hint="eastAsia" w:eastAsia="黑体"/>
          <w:sz w:val="32"/>
          <w:szCs w:val="32"/>
          <w:lang w:val="en-US" w:eastAsia="zh-CN"/>
        </w:rPr>
        <w:t>第三部分  名词解释</w:t>
      </w:r>
      <w:bookmarkEnd w:id="39"/>
      <w:bookmarkEnd w:id="40"/>
    </w:p>
    <w:p w14:paraId="39EE8ABB">
      <w:pPr>
        <w:pStyle w:val="5"/>
        <w:suppressAutoHyphens/>
        <w:spacing w:before="0" w:beforeLines="-2147483648" w:after="0" w:line="0" w:lineRule="atLeast"/>
        <w:jc w:val="center"/>
        <w:outlineLvl w:val="0"/>
        <w:rPr>
          <w:rFonts w:hint="default" w:ascii="Times New Roman" w:hAnsi="Times New Roman" w:eastAsia="方正小标宋_GBK" w:cs="Times New Roman"/>
          <w:b/>
          <w:kern w:val="2"/>
          <w:sz w:val="44"/>
          <w:szCs w:val="44"/>
          <w:lang w:val="en-US" w:eastAsia="zh-CN"/>
        </w:rPr>
      </w:pPr>
    </w:p>
    <w:p w14:paraId="7E9876DF">
      <w:pPr>
        <w:spacing w:line="560" w:lineRule="exact"/>
        <w:ind w:firstLine="641"/>
        <w:rPr>
          <w:rFonts w:hint="eastAsia" w:eastAsia="方正仿宋_GBK"/>
          <w:kern w:val="2"/>
          <w:sz w:val="32"/>
          <w:szCs w:val="32"/>
          <w:highlight w:val="none"/>
          <w:lang w:val="en-US" w:eastAsia="zh-CN" w:bidi="ar-SA"/>
        </w:rPr>
      </w:pPr>
      <w:bookmarkStart w:id="41" w:name="_Toc18688"/>
      <w:bookmarkStart w:id="42" w:name="_Toc18499"/>
      <w:bookmarkStart w:id="43" w:name="_Toc15396614"/>
      <w:bookmarkStart w:id="44" w:name="_Toc15377226"/>
      <w:r>
        <w:rPr>
          <w:rFonts w:hint="eastAsia" w:eastAsia="方正仿宋_GBK"/>
          <w:kern w:val="2"/>
          <w:sz w:val="32"/>
          <w:szCs w:val="32"/>
          <w:highlight w:val="none"/>
          <w:lang w:val="en-US" w:eastAsia="zh-CN" w:bidi="ar-SA"/>
        </w:rPr>
        <w:t>1.财政拨款收入：指单位从同级财政部门取得的财政预算资金。</w:t>
      </w:r>
      <w:bookmarkEnd w:id="41"/>
      <w:bookmarkEnd w:id="42"/>
    </w:p>
    <w:p w14:paraId="39C31E72">
      <w:pPr>
        <w:spacing w:line="560" w:lineRule="exact"/>
        <w:ind w:firstLine="641"/>
        <w:rPr>
          <w:rFonts w:hint="eastAsia" w:eastAsia="方正仿宋_GBK"/>
          <w:kern w:val="2"/>
          <w:sz w:val="32"/>
          <w:szCs w:val="32"/>
          <w:highlight w:val="none"/>
          <w:lang w:val="en-US" w:eastAsia="zh-CN" w:bidi="ar-SA"/>
        </w:rPr>
      </w:pPr>
      <w:bookmarkStart w:id="45" w:name="_Toc11743"/>
      <w:bookmarkStart w:id="46" w:name="_Toc2577"/>
      <w:bookmarkStart w:id="47" w:name="_Toc26574"/>
      <w:r>
        <w:rPr>
          <w:rFonts w:hint="eastAsia" w:eastAsia="方正仿宋_GBK"/>
          <w:kern w:val="2"/>
          <w:sz w:val="32"/>
          <w:szCs w:val="32"/>
          <w:highlight w:val="none"/>
          <w:lang w:val="en-US" w:eastAsia="zh-CN" w:bidi="ar-SA"/>
        </w:rPr>
        <w:t>2.年初结转和结余：指以前年度尚未完成、结转到本年按有关规定继续使用的资金。</w:t>
      </w:r>
      <w:bookmarkEnd w:id="45"/>
      <w:bookmarkEnd w:id="46"/>
      <w:bookmarkEnd w:id="47"/>
      <w:r>
        <w:rPr>
          <w:rFonts w:hint="eastAsia" w:eastAsia="方正仿宋_GBK"/>
          <w:kern w:val="2"/>
          <w:sz w:val="32"/>
          <w:szCs w:val="32"/>
          <w:highlight w:val="none"/>
          <w:lang w:val="en-US" w:eastAsia="zh-CN" w:bidi="ar-SA"/>
        </w:rPr>
        <w:t xml:space="preserve"> </w:t>
      </w:r>
    </w:p>
    <w:p w14:paraId="242B670E">
      <w:pPr>
        <w:spacing w:line="560" w:lineRule="exact"/>
        <w:ind w:firstLine="641"/>
        <w:rPr>
          <w:rFonts w:hint="eastAsia" w:eastAsia="方正仿宋_GBK"/>
          <w:kern w:val="2"/>
          <w:sz w:val="32"/>
          <w:szCs w:val="32"/>
          <w:highlight w:val="none"/>
          <w:lang w:val="en-US" w:eastAsia="zh-CN" w:bidi="ar-SA"/>
        </w:rPr>
      </w:pPr>
      <w:bookmarkStart w:id="48" w:name="_Toc1203"/>
      <w:bookmarkStart w:id="49" w:name="_Toc2069"/>
      <w:bookmarkStart w:id="50" w:name="_Toc30257"/>
      <w:r>
        <w:rPr>
          <w:rFonts w:hint="eastAsia" w:eastAsia="方正仿宋_GBK"/>
          <w:kern w:val="2"/>
          <w:sz w:val="32"/>
          <w:szCs w:val="32"/>
          <w:highlight w:val="none"/>
          <w:lang w:val="en-US" w:eastAsia="zh-CN" w:bidi="ar-SA"/>
        </w:rPr>
        <w:t>3.社会保障和就业（类）行政事业单位养老支出（款）事业单位离退休（项）：反映事业单位开支的离退休经费。</w:t>
      </w:r>
      <w:bookmarkEnd w:id="48"/>
      <w:bookmarkEnd w:id="49"/>
      <w:bookmarkEnd w:id="50"/>
    </w:p>
    <w:p w14:paraId="29544C42">
      <w:pPr>
        <w:spacing w:line="560" w:lineRule="exact"/>
        <w:ind w:firstLine="641"/>
        <w:rPr>
          <w:rFonts w:hint="eastAsia" w:eastAsia="方正仿宋_GBK"/>
          <w:kern w:val="2"/>
          <w:sz w:val="32"/>
          <w:szCs w:val="32"/>
          <w:highlight w:val="none"/>
          <w:lang w:val="en-US" w:eastAsia="zh-CN" w:bidi="ar-SA"/>
        </w:rPr>
      </w:pPr>
      <w:bookmarkStart w:id="51" w:name="_Toc12948"/>
      <w:bookmarkStart w:id="52" w:name="_Toc3005"/>
      <w:bookmarkStart w:id="53" w:name="_Toc8489"/>
      <w:r>
        <w:rPr>
          <w:rFonts w:hint="eastAsia" w:eastAsia="方正仿宋_GBK"/>
          <w:kern w:val="2"/>
          <w:sz w:val="32"/>
          <w:szCs w:val="32"/>
          <w:highlight w:val="none"/>
          <w:lang w:val="en-US" w:eastAsia="zh-CN" w:bidi="ar-SA"/>
        </w:rPr>
        <w:t>4.社会保障和就业（类）行政事业单位养老支出（款）机关事业单位基本养老保险缴费支出（项）：反映机关事业单位实施养老保险制度由单位缴纳的基本保险费支出。</w:t>
      </w:r>
      <w:bookmarkEnd w:id="51"/>
      <w:bookmarkEnd w:id="52"/>
      <w:bookmarkEnd w:id="53"/>
    </w:p>
    <w:p w14:paraId="24616F0E">
      <w:pPr>
        <w:spacing w:line="560" w:lineRule="exact"/>
        <w:ind w:firstLine="641"/>
        <w:rPr>
          <w:rFonts w:hint="eastAsia" w:eastAsia="方正仿宋_GBK"/>
          <w:kern w:val="2"/>
          <w:sz w:val="32"/>
          <w:szCs w:val="32"/>
          <w:highlight w:val="none"/>
          <w:lang w:val="en-US" w:eastAsia="zh-CN" w:bidi="ar-SA"/>
        </w:rPr>
      </w:pPr>
      <w:bookmarkStart w:id="54" w:name="_Toc13542"/>
      <w:r>
        <w:rPr>
          <w:rFonts w:hint="eastAsia" w:eastAsia="方正仿宋_GBK"/>
          <w:kern w:val="2"/>
          <w:sz w:val="32"/>
          <w:szCs w:val="32"/>
          <w:highlight w:val="none"/>
          <w:lang w:val="en-US" w:eastAsia="zh-CN" w:bidi="ar-SA"/>
        </w:rPr>
        <w:t>5.</w:t>
      </w:r>
      <w:bookmarkEnd w:id="54"/>
      <w:r>
        <w:rPr>
          <w:rFonts w:hint="eastAsia" w:eastAsia="方正仿宋_GBK"/>
          <w:kern w:val="2"/>
          <w:sz w:val="32"/>
          <w:szCs w:val="32"/>
          <w:highlight w:val="none"/>
          <w:lang w:val="en-US" w:eastAsia="zh-CN" w:bidi="ar-SA"/>
        </w:rPr>
        <w:t>社会保障和就业（类）临时救助（款）流浪乞讨人员救助支出（项）：指用于生活无着的流浪乞讨人员的救助支出和救助管理机构的运转支出。</w:t>
      </w:r>
    </w:p>
    <w:p w14:paraId="5742CE08">
      <w:pPr>
        <w:spacing w:line="560" w:lineRule="exact"/>
        <w:ind w:firstLine="641"/>
        <w:rPr>
          <w:rFonts w:hint="eastAsia" w:eastAsia="方正仿宋_GBK"/>
          <w:kern w:val="2"/>
          <w:sz w:val="32"/>
          <w:szCs w:val="32"/>
          <w:highlight w:val="none"/>
          <w:lang w:val="en-US" w:eastAsia="zh-CN" w:bidi="ar-SA"/>
        </w:rPr>
      </w:pPr>
      <w:bookmarkStart w:id="55" w:name="_Toc21423"/>
      <w:bookmarkStart w:id="56" w:name="_Toc28608"/>
      <w:bookmarkStart w:id="57" w:name="_Toc2505"/>
      <w:r>
        <w:rPr>
          <w:rFonts w:hint="eastAsia" w:eastAsia="方正仿宋_GBK"/>
          <w:kern w:val="2"/>
          <w:sz w:val="32"/>
          <w:szCs w:val="32"/>
          <w:highlight w:val="none"/>
          <w:lang w:val="en-US" w:eastAsia="zh-CN" w:bidi="ar-SA"/>
        </w:rPr>
        <w:t>6.社会保障和就业（类）其他社会保障和就业支出（款）其他社会保障和就业支出（项）：反映除上述项目以外其他用于社会保障和就业方面的支出。</w:t>
      </w:r>
      <w:bookmarkEnd w:id="55"/>
      <w:bookmarkEnd w:id="56"/>
      <w:bookmarkEnd w:id="57"/>
    </w:p>
    <w:p w14:paraId="0C698345">
      <w:pPr>
        <w:spacing w:line="560" w:lineRule="exact"/>
        <w:ind w:firstLine="641"/>
        <w:rPr>
          <w:rFonts w:hint="eastAsia" w:eastAsia="方正仿宋_GBK"/>
          <w:kern w:val="2"/>
          <w:sz w:val="32"/>
          <w:szCs w:val="32"/>
          <w:highlight w:val="none"/>
          <w:lang w:val="en-US" w:eastAsia="zh-CN" w:bidi="ar-SA"/>
        </w:rPr>
      </w:pPr>
      <w:bookmarkStart w:id="58" w:name="_Toc24963"/>
      <w:bookmarkStart w:id="59" w:name="_Toc14799"/>
      <w:bookmarkStart w:id="60" w:name="_Toc24949"/>
      <w:r>
        <w:rPr>
          <w:rFonts w:hint="eastAsia" w:eastAsia="方正仿宋_GBK"/>
          <w:kern w:val="2"/>
          <w:sz w:val="32"/>
          <w:szCs w:val="32"/>
          <w:highlight w:val="none"/>
          <w:lang w:val="en-US" w:eastAsia="zh-CN" w:bidi="ar-SA"/>
        </w:rPr>
        <w:t>7.卫生健康支出（类）行政事业单位医疗（款）事业单位医疗（项）：反映财政部门安排的事业单位基本医疗保险缴费经费，未参加医疗保险的事业单位的公费医疗经费，按国家规定享受离休人员待遇医疗经费。</w:t>
      </w:r>
      <w:bookmarkEnd w:id="58"/>
      <w:bookmarkEnd w:id="59"/>
      <w:bookmarkEnd w:id="60"/>
    </w:p>
    <w:p w14:paraId="4899F42B">
      <w:pPr>
        <w:spacing w:line="560" w:lineRule="exact"/>
        <w:ind w:firstLine="641"/>
        <w:rPr>
          <w:rFonts w:hint="eastAsia" w:eastAsia="方正仿宋_GBK"/>
          <w:kern w:val="2"/>
          <w:sz w:val="32"/>
          <w:szCs w:val="32"/>
          <w:highlight w:val="none"/>
          <w:lang w:val="en-US" w:eastAsia="zh-CN" w:bidi="ar-SA"/>
        </w:rPr>
      </w:pPr>
      <w:bookmarkStart w:id="61" w:name="_Toc16440"/>
      <w:bookmarkStart w:id="62" w:name="_Toc13065"/>
      <w:bookmarkStart w:id="63" w:name="_Toc20715"/>
      <w:r>
        <w:rPr>
          <w:rFonts w:hint="eastAsia" w:eastAsia="方正仿宋_GBK"/>
          <w:kern w:val="2"/>
          <w:sz w:val="32"/>
          <w:szCs w:val="32"/>
          <w:highlight w:val="none"/>
          <w:lang w:val="en-US" w:eastAsia="zh-CN" w:bidi="ar-SA"/>
        </w:rPr>
        <w:t>8.卫生健康支出（类）行政事业单位医疗（款）公务员医疗补助（项）：反映财政部门安排的公务员医疗补助经费。</w:t>
      </w:r>
      <w:bookmarkEnd w:id="61"/>
      <w:bookmarkEnd w:id="62"/>
      <w:bookmarkEnd w:id="63"/>
    </w:p>
    <w:p w14:paraId="2FE92307">
      <w:pPr>
        <w:spacing w:line="560" w:lineRule="exact"/>
        <w:ind w:firstLine="641"/>
        <w:rPr>
          <w:rFonts w:hint="eastAsia" w:eastAsia="方正仿宋_GBK"/>
          <w:kern w:val="2"/>
          <w:sz w:val="32"/>
          <w:szCs w:val="32"/>
          <w:highlight w:val="none"/>
          <w:lang w:val="en-US" w:eastAsia="zh-CN" w:bidi="ar-SA"/>
        </w:rPr>
      </w:pPr>
      <w:bookmarkStart w:id="64" w:name="_Toc29115"/>
      <w:bookmarkStart w:id="65" w:name="_Toc2661"/>
      <w:bookmarkStart w:id="66" w:name="_Toc831"/>
      <w:r>
        <w:rPr>
          <w:rFonts w:hint="eastAsia" w:eastAsia="方正仿宋_GBK"/>
          <w:kern w:val="2"/>
          <w:sz w:val="32"/>
          <w:szCs w:val="32"/>
          <w:highlight w:val="none"/>
          <w:lang w:val="en-US" w:eastAsia="zh-CN" w:bidi="ar-SA"/>
        </w:rPr>
        <w:t>9.卫生健康支出（类）行政事业单位医疗（款）其他行政事业单位医疗支出（项）：反映除上述项目以外的其他用于行政事业单位医疗方面的支出。</w:t>
      </w:r>
      <w:bookmarkEnd w:id="64"/>
      <w:bookmarkEnd w:id="65"/>
      <w:bookmarkEnd w:id="66"/>
    </w:p>
    <w:p w14:paraId="638C5E08">
      <w:pPr>
        <w:spacing w:line="560" w:lineRule="exact"/>
        <w:ind w:firstLine="641"/>
        <w:rPr>
          <w:rFonts w:hint="eastAsia" w:eastAsia="方正仿宋_GBK"/>
          <w:kern w:val="2"/>
          <w:sz w:val="32"/>
          <w:szCs w:val="32"/>
          <w:highlight w:val="none"/>
          <w:lang w:val="en-US" w:eastAsia="zh-CN" w:bidi="ar-SA"/>
        </w:rPr>
      </w:pPr>
      <w:bookmarkStart w:id="67" w:name="_Toc10841"/>
      <w:bookmarkStart w:id="68" w:name="_Toc8055"/>
      <w:bookmarkStart w:id="69" w:name="_Toc21794"/>
      <w:r>
        <w:rPr>
          <w:rFonts w:hint="eastAsia" w:eastAsia="方正仿宋_GBK"/>
          <w:kern w:val="2"/>
          <w:sz w:val="32"/>
          <w:szCs w:val="32"/>
          <w:highlight w:val="none"/>
          <w:lang w:val="en-US" w:eastAsia="zh-CN" w:bidi="ar-SA"/>
        </w:rPr>
        <w:t>10.住房保障支出（类）住房改革支出（款）住房公积金（项）：反映行政事业单位按人力资源和社会保障部、财政部规定的基本工资和津贴补贴以及规定比例为职工缴纳的住房公积金。</w:t>
      </w:r>
      <w:bookmarkEnd w:id="67"/>
      <w:bookmarkEnd w:id="68"/>
      <w:bookmarkEnd w:id="69"/>
    </w:p>
    <w:p w14:paraId="0A0B223A">
      <w:pPr>
        <w:spacing w:line="560" w:lineRule="exact"/>
        <w:ind w:firstLine="641"/>
        <w:rPr>
          <w:rFonts w:hint="eastAsia" w:eastAsia="方正仿宋_GBK"/>
          <w:kern w:val="2"/>
          <w:sz w:val="32"/>
          <w:szCs w:val="32"/>
          <w:highlight w:val="none"/>
          <w:lang w:val="en-US" w:eastAsia="zh-CN" w:bidi="ar-SA"/>
        </w:rPr>
      </w:pPr>
      <w:bookmarkStart w:id="70" w:name="_Toc20609"/>
      <w:bookmarkStart w:id="71" w:name="_Toc19371"/>
      <w:r>
        <w:rPr>
          <w:rFonts w:hint="eastAsia" w:eastAsia="方正仿宋_GBK"/>
          <w:kern w:val="2"/>
          <w:sz w:val="32"/>
          <w:szCs w:val="32"/>
          <w:highlight w:val="none"/>
          <w:lang w:val="en-US" w:eastAsia="zh-CN" w:bidi="ar-SA"/>
        </w:rPr>
        <w:t>11.社会保障和就业（类）人力资源和社会保障管理事务（款）其他人力资源和社会保障管理事务支出（项）：</w:t>
      </w:r>
      <w:bookmarkStart w:id="72" w:name="_Toc24727"/>
      <w:r>
        <w:rPr>
          <w:rFonts w:hint="eastAsia" w:eastAsia="方正仿宋_GBK"/>
          <w:kern w:val="2"/>
          <w:sz w:val="32"/>
          <w:szCs w:val="32"/>
          <w:highlight w:val="none"/>
          <w:lang w:val="en-US" w:eastAsia="zh-CN" w:bidi="ar-SA"/>
        </w:rPr>
        <w:t>反映除上述项目以外的其他用于社会保障和就业方面的支出。</w:t>
      </w:r>
      <w:bookmarkEnd w:id="70"/>
      <w:bookmarkEnd w:id="71"/>
    </w:p>
    <w:p w14:paraId="4AA95063">
      <w:pPr>
        <w:spacing w:line="560" w:lineRule="exact"/>
        <w:ind w:firstLine="641"/>
        <w:rPr>
          <w:rFonts w:hint="eastAsia" w:eastAsia="方正仿宋_GBK"/>
          <w:kern w:val="2"/>
          <w:sz w:val="32"/>
          <w:szCs w:val="32"/>
          <w:highlight w:val="none"/>
          <w:lang w:val="en-US" w:eastAsia="zh-CN" w:bidi="ar-SA"/>
        </w:rPr>
      </w:pPr>
      <w:bookmarkStart w:id="73" w:name="_Toc26510"/>
      <w:bookmarkStart w:id="74" w:name="_Toc11846"/>
      <w:r>
        <w:rPr>
          <w:rFonts w:hint="eastAsia" w:eastAsia="方正仿宋_GBK"/>
          <w:kern w:val="2"/>
          <w:sz w:val="32"/>
          <w:szCs w:val="32"/>
          <w:highlight w:val="none"/>
          <w:lang w:val="en-US" w:eastAsia="zh-CN" w:bidi="ar-SA"/>
        </w:rPr>
        <w:t>12.基本支出：指为保障机构正常运转、完成日常工作任务而发生的人员支出和公用支出。</w:t>
      </w:r>
      <w:bookmarkEnd w:id="72"/>
      <w:bookmarkEnd w:id="73"/>
      <w:bookmarkEnd w:id="74"/>
    </w:p>
    <w:p w14:paraId="46F5E532">
      <w:pPr>
        <w:spacing w:line="560" w:lineRule="exact"/>
        <w:ind w:firstLine="641"/>
        <w:rPr>
          <w:rFonts w:hint="eastAsia" w:eastAsia="方正仿宋_GBK"/>
          <w:kern w:val="2"/>
          <w:sz w:val="32"/>
          <w:szCs w:val="32"/>
          <w:highlight w:val="none"/>
          <w:lang w:val="en-US" w:eastAsia="zh-CN" w:bidi="ar-SA"/>
        </w:rPr>
      </w:pPr>
      <w:bookmarkStart w:id="75" w:name="_Toc21363"/>
      <w:bookmarkStart w:id="76" w:name="_Toc29464"/>
      <w:bookmarkStart w:id="77" w:name="_Toc18351"/>
      <w:r>
        <w:rPr>
          <w:rFonts w:hint="eastAsia" w:eastAsia="方正仿宋_GBK"/>
          <w:kern w:val="2"/>
          <w:sz w:val="32"/>
          <w:szCs w:val="32"/>
          <w:highlight w:val="none"/>
          <w:lang w:val="en-US" w:eastAsia="zh-CN" w:bidi="ar-SA"/>
        </w:rPr>
        <w:t>13.项目支出：指在基本支出之外为完成特定行政任务和事业发展目标所发生的支出。</w:t>
      </w:r>
      <w:bookmarkEnd w:id="75"/>
      <w:bookmarkEnd w:id="76"/>
      <w:bookmarkEnd w:id="77"/>
    </w:p>
    <w:p w14:paraId="29C3A347">
      <w:pPr>
        <w:spacing w:line="560" w:lineRule="exact"/>
        <w:ind w:firstLine="641"/>
        <w:rPr>
          <w:rFonts w:hint="eastAsia" w:eastAsia="方正仿宋_GBK"/>
          <w:kern w:val="2"/>
          <w:sz w:val="32"/>
          <w:szCs w:val="32"/>
          <w:highlight w:val="none"/>
          <w:lang w:val="en-US" w:eastAsia="zh-CN" w:bidi="ar-SA"/>
        </w:rPr>
      </w:pPr>
      <w:bookmarkStart w:id="78" w:name="_Toc13997"/>
      <w:bookmarkStart w:id="79" w:name="_Toc12502"/>
      <w:bookmarkStart w:id="80" w:name="_Toc23264"/>
      <w:r>
        <w:rPr>
          <w:rFonts w:hint="eastAsia" w:eastAsia="方正仿宋_GBK"/>
          <w:kern w:val="2"/>
          <w:sz w:val="32"/>
          <w:szCs w:val="32"/>
          <w:highlight w:val="none"/>
          <w:lang w:val="en-US" w:eastAsia="zh-CN" w:bidi="ar-SA"/>
        </w:rPr>
        <w:t>14. “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bookmarkEnd w:id="78"/>
      <w:bookmarkEnd w:id="79"/>
      <w:bookmarkEnd w:id="80"/>
    </w:p>
    <w:p w14:paraId="2547A75D">
      <w:pPr>
        <w:pStyle w:val="5"/>
        <w:suppressAutoHyphens/>
        <w:spacing w:before="0" w:beforeLines="-2147483648" w:after="0" w:line="0" w:lineRule="atLeast"/>
        <w:jc w:val="both"/>
        <w:outlineLvl w:val="0"/>
        <w:rPr>
          <w:rFonts w:hint="eastAsia" w:ascii="Times New Roman" w:hAnsi="Times New Roman" w:eastAsia="方正小标宋_GBK" w:cs="Times New Roman"/>
          <w:b/>
          <w:kern w:val="2"/>
          <w:sz w:val="44"/>
          <w:szCs w:val="44"/>
          <w:lang w:val="en-US" w:eastAsia="zh-CN"/>
        </w:rPr>
      </w:pPr>
    </w:p>
    <w:p w14:paraId="0904B813">
      <w:pPr>
        <w:pStyle w:val="5"/>
        <w:suppressAutoHyphens/>
        <w:spacing w:before="0" w:beforeLines="-2147483648" w:after="0" w:line="0" w:lineRule="atLeast"/>
        <w:jc w:val="center"/>
        <w:outlineLvl w:val="0"/>
        <w:rPr>
          <w:rFonts w:hint="eastAsia" w:ascii="Times New Roman" w:hAnsi="Times New Roman" w:eastAsia="方正小标宋_GBK" w:cs="Times New Roman"/>
          <w:b/>
          <w:kern w:val="2"/>
          <w:sz w:val="44"/>
          <w:szCs w:val="44"/>
          <w:lang w:val="en-US" w:eastAsia="zh-CN"/>
        </w:rPr>
      </w:pPr>
    </w:p>
    <w:p w14:paraId="7D7BFCDF">
      <w:pPr>
        <w:pStyle w:val="5"/>
        <w:suppressAutoHyphens/>
        <w:spacing w:before="0" w:beforeLines="-2147483648" w:after="0" w:line="0" w:lineRule="atLeast"/>
        <w:jc w:val="center"/>
        <w:outlineLvl w:val="0"/>
        <w:rPr>
          <w:rFonts w:hint="eastAsia" w:ascii="Times New Roman" w:hAnsi="Times New Roman" w:eastAsia="方正小标宋_GBK" w:cs="Times New Roman"/>
          <w:b/>
          <w:kern w:val="2"/>
          <w:sz w:val="44"/>
          <w:szCs w:val="44"/>
          <w:lang w:val="en-US" w:eastAsia="zh-CN"/>
        </w:rPr>
      </w:pPr>
    </w:p>
    <w:p w14:paraId="52AFB254">
      <w:pPr>
        <w:jc w:val="center"/>
        <w:rPr>
          <w:rFonts w:hint="eastAsia" w:eastAsia="方正黑体_GBK"/>
          <w:color w:val="auto"/>
          <w:kern w:val="2"/>
          <w:sz w:val="32"/>
          <w:szCs w:val="32"/>
          <w:lang w:val="en-US" w:eastAsia="zh-CN" w:bidi="ar-SA"/>
        </w:rPr>
      </w:pPr>
    </w:p>
    <w:p w14:paraId="29F450CA">
      <w:pPr>
        <w:jc w:val="center"/>
        <w:rPr>
          <w:rFonts w:hint="default" w:eastAsia="方正黑体_GBK"/>
          <w:color w:val="auto"/>
          <w:kern w:val="2"/>
          <w:sz w:val="32"/>
          <w:szCs w:val="32"/>
          <w:lang w:val="zh-CN" w:eastAsia="zh-CN" w:bidi="ar-SA"/>
        </w:rPr>
      </w:pPr>
      <w:r>
        <w:rPr>
          <w:rFonts w:hint="eastAsia" w:eastAsia="方正黑体_GBK"/>
          <w:color w:val="auto"/>
          <w:kern w:val="2"/>
          <w:sz w:val="32"/>
          <w:szCs w:val="32"/>
          <w:lang w:val="en-US" w:eastAsia="zh-CN" w:bidi="ar-SA"/>
        </w:rPr>
        <w:t>第四部分  附件</w:t>
      </w:r>
      <w:bookmarkEnd w:id="43"/>
    </w:p>
    <w:p w14:paraId="748A3290">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部门预算项目支出绩效自评表（2025年度）</w:t>
      </w:r>
      <w:r>
        <w:rPr>
          <w:rFonts w:hint="eastAsia" w:eastAsia="方正仿宋_GBK" w:cs="Times New Roman"/>
          <w:kern w:val="2"/>
          <w:sz w:val="32"/>
          <w:szCs w:val="32"/>
          <w:lang w:val="en-US" w:eastAsia="zh-CN" w:bidi="ar-SA"/>
        </w:rPr>
        <w:t xml:space="preserve"> 见附件3</w:t>
      </w:r>
    </w:p>
    <w:p w14:paraId="37032FE5">
      <w:pPr>
        <w:pStyle w:val="5"/>
        <w:numPr>
          <w:ilvl w:val="0"/>
          <w:numId w:val="3"/>
        </w:numPr>
        <w:spacing w:beforeLines="-2147483648" w:line="0" w:lineRule="atLeast"/>
        <w:jc w:val="center"/>
        <w:outlineLvl w:val="0"/>
        <w:rPr>
          <w:rFonts w:hint="default" w:ascii="Times New Roman" w:hAnsi="Times New Roman" w:eastAsia="方正小标宋_GBK" w:cs="Times New Roman"/>
          <w:b/>
          <w:kern w:val="2"/>
          <w:sz w:val="44"/>
          <w:szCs w:val="44"/>
          <w:lang w:val="en-US" w:eastAsia="zh-CN"/>
        </w:rPr>
        <w:sectPr>
          <w:footerReference r:id="rId8" w:type="default"/>
          <w:pgSz w:w="11906" w:h="16838"/>
          <w:pgMar w:top="1440" w:right="1800" w:bottom="1440" w:left="1800" w:header="851" w:footer="992" w:gutter="0"/>
          <w:pgNumType w:fmt="numberInDash" w:start="1"/>
          <w:cols w:space="425" w:num="1"/>
          <w:docGrid w:type="lines" w:linePitch="312" w:charSpace="0"/>
        </w:sectPr>
      </w:pPr>
      <w:bookmarkStart w:id="81" w:name="_Toc15396618"/>
    </w:p>
    <w:p w14:paraId="13912913">
      <w:pPr>
        <w:jc w:val="center"/>
        <w:rPr>
          <w:rFonts w:hint="default" w:eastAsia="方正黑体_GBK"/>
          <w:color w:val="auto"/>
          <w:kern w:val="2"/>
          <w:sz w:val="32"/>
          <w:szCs w:val="32"/>
          <w:lang w:val="en-US" w:eastAsia="zh-CN" w:bidi="ar-SA"/>
        </w:rPr>
      </w:pPr>
      <w:r>
        <w:rPr>
          <w:rFonts w:hint="eastAsia" w:eastAsia="方正黑体_GBK"/>
          <w:color w:val="auto"/>
          <w:kern w:val="2"/>
          <w:sz w:val="32"/>
          <w:szCs w:val="32"/>
          <w:lang w:val="en-US" w:eastAsia="zh-CN" w:bidi="ar-SA"/>
        </w:rPr>
        <w:t>第五部分 附表</w:t>
      </w:r>
      <w:bookmarkEnd w:id="44"/>
      <w:bookmarkEnd w:id="81"/>
      <w:bookmarkStart w:id="82" w:name="_Toc15396619"/>
    </w:p>
    <w:p w14:paraId="25B24A9C">
      <w:pPr>
        <w:pStyle w:val="14"/>
        <w:adjustRightInd w:val="0"/>
        <w:snapToGrid w:val="0"/>
        <w:spacing w:line="560" w:lineRule="exact"/>
        <w:jc w:val="left"/>
        <w:rPr>
          <w:rFonts w:eastAsia="仿宋_GB2312" w:cs="仿宋_GB2312"/>
          <w:sz w:val="32"/>
          <w:szCs w:val="32"/>
        </w:rPr>
      </w:pPr>
    </w:p>
    <w:p w14:paraId="2FD66B12">
      <w:pPr>
        <w:pStyle w:val="14"/>
        <w:adjustRightInd w:val="0"/>
        <w:snapToGrid w:val="0"/>
        <w:spacing w:line="560" w:lineRule="exact"/>
        <w:ind w:left="200"/>
        <w:jc w:val="left"/>
        <w:rPr>
          <w:rFonts w:hint="eastAsia" w:eastAsia="方正仿宋_GBK"/>
          <w:sz w:val="32"/>
          <w:szCs w:val="32"/>
          <w:lang w:val="en-US" w:eastAsia="zh-CN"/>
        </w:rPr>
      </w:pPr>
      <w:r>
        <w:rPr>
          <w:rFonts w:hint="eastAsia" w:eastAsia="方正仿宋_GBK"/>
          <w:sz w:val="32"/>
          <w:szCs w:val="32"/>
          <w:lang w:val="en-US" w:eastAsia="zh-CN"/>
        </w:rPr>
        <w:t>一、收入支出决算总表</w:t>
      </w:r>
      <w:bookmarkEnd w:id="82"/>
    </w:p>
    <w:p w14:paraId="08E8469F">
      <w:pPr>
        <w:pStyle w:val="14"/>
        <w:adjustRightInd w:val="0"/>
        <w:snapToGrid w:val="0"/>
        <w:spacing w:line="560" w:lineRule="exact"/>
        <w:ind w:left="200"/>
        <w:jc w:val="left"/>
        <w:rPr>
          <w:rFonts w:hint="eastAsia" w:eastAsia="方正仿宋_GBK"/>
          <w:sz w:val="32"/>
          <w:szCs w:val="32"/>
          <w:lang w:val="en-US" w:eastAsia="zh-CN"/>
        </w:rPr>
      </w:pPr>
      <w:bookmarkStart w:id="83" w:name="_Toc15396620"/>
      <w:r>
        <w:rPr>
          <w:rFonts w:hint="eastAsia" w:eastAsia="方正仿宋_GBK"/>
          <w:sz w:val="32"/>
          <w:szCs w:val="32"/>
          <w:lang w:val="en-US" w:eastAsia="zh-CN"/>
        </w:rPr>
        <w:t>二、收入决算表</w:t>
      </w:r>
      <w:bookmarkEnd w:id="83"/>
    </w:p>
    <w:p w14:paraId="4508BF7C">
      <w:pPr>
        <w:pStyle w:val="14"/>
        <w:adjustRightInd w:val="0"/>
        <w:snapToGrid w:val="0"/>
        <w:spacing w:line="560" w:lineRule="exact"/>
        <w:ind w:left="200"/>
        <w:jc w:val="left"/>
        <w:rPr>
          <w:rFonts w:hint="eastAsia" w:eastAsia="方正仿宋_GBK"/>
          <w:sz w:val="32"/>
          <w:szCs w:val="32"/>
          <w:lang w:val="en-US" w:eastAsia="zh-CN"/>
        </w:rPr>
      </w:pPr>
      <w:bookmarkStart w:id="84" w:name="_Toc15396621"/>
      <w:r>
        <w:rPr>
          <w:rFonts w:hint="eastAsia" w:eastAsia="方正仿宋_GBK"/>
          <w:sz w:val="32"/>
          <w:szCs w:val="32"/>
          <w:lang w:val="en-US" w:eastAsia="zh-CN"/>
        </w:rPr>
        <w:t>三、支出决算表</w:t>
      </w:r>
      <w:bookmarkEnd w:id="84"/>
    </w:p>
    <w:p w14:paraId="76E9A07A">
      <w:pPr>
        <w:pStyle w:val="14"/>
        <w:adjustRightInd w:val="0"/>
        <w:snapToGrid w:val="0"/>
        <w:spacing w:line="560" w:lineRule="exact"/>
        <w:ind w:left="200"/>
        <w:jc w:val="left"/>
        <w:rPr>
          <w:rFonts w:hint="eastAsia" w:eastAsia="方正仿宋_GBK"/>
          <w:sz w:val="32"/>
          <w:szCs w:val="32"/>
          <w:lang w:val="en-US" w:eastAsia="zh-CN"/>
        </w:rPr>
      </w:pPr>
      <w:bookmarkStart w:id="85" w:name="_Toc15396622"/>
      <w:r>
        <w:rPr>
          <w:rFonts w:hint="eastAsia" w:eastAsia="方正仿宋_GBK"/>
          <w:sz w:val="32"/>
          <w:szCs w:val="32"/>
          <w:lang w:val="en-US" w:eastAsia="zh-CN"/>
        </w:rPr>
        <w:t>四、财政拨款收入支出决算总表</w:t>
      </w:r>
      <w:bookmarkEnd w:id="85"/>
    </w:p>
    <w:p w14:paraId="57997560">
      <w:pPr>
        <w:pStyle w:val="14"/>
        <w:adjustRightInd w:val="0"/>
        <w:snapToGrid w:val="0"/>
        <w:spacing w:line="560" w:lineRule="exact"/>
        <w:ind w:left="200"/>
        <w:jc w:val="left"/>
        <w:rPr>
          <w:rFonts w:hint="eastAsia" w:eastAsia="方正仿宋_GBK"/>
          <w:sz w:val="32"/>
          <w:szCs w:val="32"/>
          <w:lang w:val="en-US" w:eastAsia="zh-CN"/>
        </w:rPr>
      </w:pPr>
      <w:bookmarkStart w:id="86" w:name="_Toc15396623"/>
      <w:r>
        <w:rPr>
          <w:rFonts w:hint="eastAsia" w:eastAsia="方正仿宋_GBK"/>
          <w:sz w:val="32"/>
          <w:szCs w:val="32"/>
          <w:lang w:val="en-US" w:eastAsia="zh-CN"/>
        </w:rPr>
        <w:t>五、财政拨款支出决算明细表</w:t>
      </w:r>
      <w:bookmarkEnd w:id="86"/>
      <w:bookmarkStart w:id="87" w:name="_Toc15396624"/>
    </w:p>
    <w:p w14:paraId="0EB7BE52">
      <w:pPr>
        <w:pStyle w:val="14"/>
        <w:adjustRightInd w:val="0"/>
        <w:snapToGrid w:val="0"/>
        <w:spacing w:line="560" w:lineRule="exact"/>
        <w:ind w:left="200"/>
        <w:jc w:val="left"/>
        <w:rPr>
          <w:rFonts w:hint="eastAsia" w:eastAsia="方正仿宋_GBK"/>
          <w:sz w:val="32"/>
          <w:szCs w:val="32"/>
          <w:lang w:val="en-US" w:eastAsia="zh-CN"/>
        </w:rPr>
      </w:pPr>
      <w:r>
        <w:rPr>
          <w:rFonts w:hint="eastAsia" w:eastAsia="方正仿宋_GBK"/>
          <w:sz w:val="32"/>
          <w:szCs w:val="32"/>
          <w:lang w:val="en-US" w:eastAsia="zh-CN"/>
        </w:rPr>
        <w:t>六、一般公共预算财政拨款支出决算表</w:t>
      </w:r>
      <w:bookmarkEnd w:id="87"/>
    </w:p>
    <w:p w14:paraId="130CA47E">
      <w:pPr>
        <w:pStyle w:val="14"/>
        <w:adjustRightInd w:val="0"/>
        <w:snapToGrid w:val="0"/>
        <w:spacing w:line="560" w:lineRule="exact"/>
        <w:ind w:left="200"/>
        <w:jc w:val="left"/>
        <w:rPr>
          <w:rFonts w:hint="eastAsia" w:eastAsia="方正仿宋_GBK"/>
          <w:sz w:val="32"/>
          <w:szCs w:val="32"/>
          <w:lang w:val="en-US" w:eastAsia="zh-CN"/>
        </w:rPr>
      </w:pPr>
      <w:bookmarkStart w:id="88" w:name="_Toc15396625"/>
      <w:r>
        <w:rPr>
          <w:rFonts w:hint="eastAsia" w:eastAsia="方正仿宋_GBK"/>
          <w:sz w:val="32"/>
          <w:szCs w:val="32"/>
          <w:lang w:val="en-US" w:eastAsia="zh-CN"/>
        </w:rPr>
        <w:t>七、一般公共预算财政拨款支出决算明细表</w:t>
      </w:r>
      <w:bookmarkEnd w:id="88"/>
    </w:p>
    <w:p w14:paraId="540A3010">
      <w:pPr>
        <w:pStyle w:val="14"/>
        <w:adjustRightInd w:val="0"/>
        <w:snapToGrid w:val="0"/>
        <w:spacing w:line="560" w:lineRule="exact"/>
        <w:ind w:left="200"/>
        <w:jc w:val="left"/>
        <w:rPr>
          <w:rFonts w:hint="eastAsia" w:eastAsia="方正仿宋_GBK"/>
          <w:sz w:val="32"/>
          <w:szCs w:val="32"/>
          <w:lang w:val="en-US" w:eastAsia="zh-CN"/>
        </w:rPr>
      </w:pPr>
      <w:bookmarkStart w:id="89" w:name="_Toc15396626"/>
      <w:r>
        <w:rPr>
          <w:rFonts w:hint="eastAsia" w:eastAsia="方正仿宋_GBK"/>
          <w:sz w:val="32"/>
          <w:szCs w:val="32"/>
          <w:lang w:val="en-US" w:eastAsia="zh-CN"/>
        </w:rPr>
        <w:t>八、一般公共预算财政拨款基本支出决算表</w:t>
      </w:r>
      <w:bookmarkEnd w:id="89"/>
    </w:p>
    <w:p w14:paraId="2B9605F3">
      <w:pPr>
        <w:pStyle w:val="14"/>
        <w:adjustRightInd w:val="0"/>
        <w:snapToGrid w:val="0"/>
        <w:spacing w:line="560" w:lineRule="exact"/>
        <w:ind w:left="200"/>
        <w:jc w:val="left"/>
        <w:rPr>
          <w:rFonts w:hint="eastAsia" w:eastAsia="方正仿宋_GBK"/>
          <w:sz w:val="32"/>
          <w:szCs w:val="32"/>
          <w:lang w:val="en-US" w:eastAsia="zh-CN"/>
        </w:rPr>
      </w:pPr>
      <w:bookmarkStart w:id="90" w:name="_Toc15396627"/>
      <w:r>
        <w:rPr>
          <w:rFonts w:hint="eastAsia" w:eastAsia="方正仿宋_GBK"/>
          <w:sz w:val="32"/>
          <w:szCs w:val="32"/>
          <w:lang w:val="en-US" w:eastAsia="zh-CN"/>
        </w:rPr>
        <w:t>九、一般公共预算财政拨款项目支出决算表</w:t>
      </w:r>
      <w:bookmarkEnd w:id="90"/>
    </w:p>
    <w:p w14:paraId="5B8E7AA7">
      <w:pPr>
        <w:pStyle w:val="14"/>
        <w:adjustRightInd w:val="0"/>
        <w:snapToGrid w:val="0"/>
        <w:spacing w:line="560" w:lineRule="exact"/>
        <w:ind w:left="200"/>
        <w:jc w:val="left"/>
        <w:rPr>
          <w:rFonts w:hint="eastAsia" w:eastAsia="方正仿宋_GBK"/>
          <w:sz w:val="32"/>
          <w:szCs w:val="32"/>
          <w:lang w:val="en-US" w:eastAsia="zh-CN"/>
        </w:rPr>
      </w:pPr>
      <w:bookmarkStart w:id="91" w:name="_Toc15396628"/>
      <w:r>
        <w:rPr>
          <w:rFonts w:hint="eastAsia" w:eastAsia="方正仿宋_GBK"/>
          <w:sz w:val="32"/>
          <w:szCs w:val="32"/>
          <w:lang w:val="en-US" w:eastAsia="zh-CN"/>
        </w:rPr>
        <w:t>十、</w:t>
      </w:r>
      <w:bookmarkEnd w:id="91"/>
      <w:r>
        <w:rPr>
          <w:rFonts w:hint="eastAsia" w:eastAsia="方正仿宋_GBK"/>
          <w:sz w:val="32"/>
          <w:szCs w:val="32"/>
          <w:lang w:val="en-US" w:eastAsia="zh-CN"/>
        </w:rPr>
        <w:t>政府性基金预算财政拨款收入支出决算表</w:t>
      </w:r>
    </w:p>
    <w:p w14:paraId="0D1E4D63">
      <w:pPr>
        <w:pStyle w:val="14"/>
        <w:adjustRightInd w:val="0"/>
        <w:snapToGrid w:val="0"/>
        <w:spacing w:line="560" w:lineRule="exact"/>
        <w:ind w:left="200"/>
        <w:jc w:val="left"/>
        <w:rPr>
          <w:rFonts w:hint="eastAsia" w:eastAsia="方正仿宋_GBK"/>
          <w:sz w:val="32"/>
          <w:szCs w:val="32"/>
          <w:lang w:val="en-US" w:eastAsia="zh-CN"/>
        </w:rPr>
      </w:pPr>
      <w:bookmarkStart w:id="92" w:name="_Toc15396629"/>
      <w:r>
        <w:rPr>
          <w:rFonts w:hint="eastAsia" w:eastAsia="方正仿宋_GBK"/>
          <w:sz w:val="32"/>
          <w:szCs w:val="32"/>
          <w:lang w:val="en-US" w:eastAsia="zh-CN"/>
        </w:rPr>
        <w:t>十一、</w:t>
      </w:r>
      <w:bookmarkEnd w:id="92"/>
      <w:r>
        <w:rPr>
          <w:rFonts w:hint="eastAsia" w:eastAsia="方正仿宋_GBK"/>
          <w:sz w:val="32"/>
          <w:szCs w:val="32"/>
          <w:lang w:val="en-US" w:eastAsia="zh-CN"/>
        </w:rPr>
        <w:t>国有资本经营预算财政拨款收入支出决算表</w:t>
      </w:r>
    </w:p>
    <w:p w14:paraId="510FDC1D">
      <w:pPr>
        <w:pStyle w:val="14"/>
        <w:adjustRightInd w:val="0"/>
        <w:snapToGrid w:val="0"/>
        <w:spacing w:line="560" w:lineRule="exact"/>
        <w:ind w:left="200"/>
        <w:jc w:val="left"/>
        <w:rPr>
          <w:rFonts w:hint="eastAsia" w:eastAsia="方正仿宋_GBK"/>
          <w:sz w:val="32"/>
          <w:szCs w:val="32"/>
          <w:lang w:val="en-US" w:eastAsia="zh-CN"/>
        </w:rPr>
      </w:pPr>
      <w:bookmarkStart w:id="93" w:name="_Toc15396630"/>
      <w:r>
        <w:rPr>
          <w:rFonts w:hint="eastAsia" w:eastAsia="方正仿宋_GBK"/>
          <w:sz w:val="32"/>
          <w:szCs w:val="32"/>
          <w:lang w:val="en-US" w:eastAsia="zh-CN"/>
        </w:rPr>
        <w:t>十二、</w:t>
      </w:r>
      <w:bookmarkEnd w:id="93"/>
      <w:r>
        <w:rPr>
          <w:rFonts w:hint="eastAsia" w:eastAsia="方正仿宋_GBK"/>
          <w:sz w:val="32"/>
          <w:szCs w:val="32"/>
          <w:lang w:val="en-US" w:eastAsia="zh-CN"/>
        </w:rPr>
        <w:t>国有资本经营预算财政拨款支出决算表</w:t>
      </w:r>
    </w:p>
    <w:p w14:paraId="74F627F7">
      <w:pPr>
        <w:pStyle w:val="14"/>
        <w:adjustRightInd w:val="0"/>
        <w:snapToGrid w:val="0"/>
        <w:spacing w:line="560" w:lineRule="exact"/>
        <w:ind w:left="200"/>
        <w:jc w:val="left"/>
        <w:rPr>
          <w:rFonts w:hint="eastAsia" w:eastAsia="方正仿宋_GBK"/>
          <w:sz w:val="32"/>
          <w:szCs w:val="32"/>
          <w:lang w:val="en-US" w:eastAsia="zh-CN"/>
        </w:rPr>
      </w:pPr>
      <w:bookmarkStart w:id="94" w:name="_Toc15396631"/>
      <w:r>
        <w:rPr>
          <w:rFonts w:hint="eastAsia" w:eastAsia="方正仿宋_GBK"/>
          <w:sz w:val="32"/>
          <w:szCs w:val="32"/>
          <w:lang w:val="en-US" w:eastAsia="zh-CN"/>
        </w:rPr>
        <w:t>十三、</w:t>
      </w:r>
      <w:bookmarkEnd w:id="94"/>
      <w:r>
        <w:rPr>
          <w:rFonts w:hint="eastAsia" w:eastAsia="方正仿宋_GBK"/>
          <w:sz w:val="32"/>
          <w:szCs w:val="32"/>
          <w:lang w:val="en-US" w:eastAsia="zh-CN"/>
        </w:rPr>
        <w:t>财政拨款“三公”经费支出决算表</w:t>
      </w:r>
    </w:p>
    <w:p w14:paraId="5A01A75B"/>
    <w:sectPr>
      <w:footerReference r:id="rId9"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_GBK">
    <w:panose1 w:val="03000509000000000000"/>
    <w:charset w:val="86"/>
    <w:family w:val="script"/>
    <w:pitch w:val="default"/>
    <w:sig w:usb0="00000001" w:usb1="080E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78376">
    <w:pPr>
      <w:pStyle w:val="10"/>
      <w:jc w:val="center"/>
    </w:pPr>
  </w:p>
  <w:p w14:paraId="6507F8A6">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099A8">
    <w:pPr>
      <w:pStyle w:val="10"/>
      <w:jc w:val="center"/>
    </w:pPr>
  </w:p>
  <w:p w14:paraId="14934B46">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863D0">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E03499">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5E03499">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708D4">
    <w:pPr>
      <w:pStyle w:val="10"/>
      <w:jc w:val="center"/>
    </w:pPr>
  </w:p>
  <w:p w14:paraId="16CADC16">
    <w:pPr>
      <w:pStyle w:val="10"/>
      <w:rPr>
        <w:rFonts w:hint="default" w:ascii="Times New Roman" w:hAnsi="Times New Roman" w:eastAsia="宋体" w:cs="Times New Roman"/>
        <w:sz w:val="24"/>
        <w:szCs w:val="24"/>
        <w:lang w:val="en-US" w:eastAsia="zh-CN"/>
      </w:rPr>
    </w:pPr>
    <w:r>
      <w:rPr>
        <w:rFonts w:hint="eastAsia"/>
        <w:lang w:val="en-US" w:eastAsia="zh-CN"/>
      </w:rPr>
      <w:t xml:space="preserve">                                                                                    </w:t>
    </w:r>
    <w:r>
      <w:rPr>
        <w:rFonts w:hint="default" w:ascii="Times New Roman" w:hAnsi="Times New Roman" w:cs="Times New Roman"/>
        <w:sz w:val="24"/>
        <w:szCs w:val="24"/>
        <w:lang w:val="en-US"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784B6">
    <w:pPr>
      <w:pStyle w:val="10"/>
      <w:framePr w:wrap="around" w:vAnchor="text" w:hAnchor="margin" w:xAlign="outside" w:y="1"/>
    </w:pPr>
  </w:p>
  <w:p w14:paraId="18BFEE85">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-132080</wp:posOffset>
              </wp:positionV>
              <wp:extent cx="337820" cy="249555"/>
              <wp:effectExtent l="0" t="0" r="0" b="0"/>
              <wp:wrapNone/>
              <wp:docPr id="4" name="文本框 4"/>
              <wp:cNvGraphicFramePr/>
              <a:graphic xmlns:a="http://schemas.openxmlformats.org/drawingml/2006/main">
                <a:graphicData uri="http://schemas.microsoft.com/office/word/2010/wordprocessingShape">
                  <wps:wsp>
                    <wps:cNvSpPr txBox="1"/>
                    <wps:spPr>
                      <a:xfrm>
                        <a:off x="0" y="0"/>
                        <a:ext cx="337820" cy="2495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AA58C8">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0.4pt;height:19.65pt;width:26.6pt;mso-position-horizontal:outside;mso-position-horizontal-relative:margin;z-index:251660288;mso-width-relative:page;mso-height-relative:page;" filled="f" stroked="f" coordsize="21600,21600" o:gfxdata="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EgIPnVAAAABgEAAA8AAAAAAAAAAQAgAAAAIgAAAGRycy9kb3ducmV2&#10;LnhtbFBLAQIUABQAAAAIAIdO4kDWFQLyOAIAAGEEAAAOAAAAAAAAAAEAIAAAACQBAABkcnMvZTJv&#10;RG9jLnhtbFBLBQYAAAAABgAGAFkBAADOBQAAAAA=&#10;">
              <v:fill on="f" focussize="0,0"/>
              <v:stroke on="f" weight="0.5pt"/>
              <v:imagedata o:title=""/>
              <o:lock v:ext="edit" aspectratio="f"/>
              <v:textbox inset="0mm,0mm,0mm,0mm">
                <w:txbxContent>
                  <w:p w14:paraId="1DAA58C8">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E54D5">
    <w:pPr>
      <w:pStyle w:val="10"/>
      <w:framePr w:wrap="around" w:vAnchor="text" w:hAnchor="margin" w:xAlign="outside" w:y="1"/>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-13-</w:t>
    </w:r>
  </w:p>
  <w:p w14:paraId="70D8B851">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550E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3E4FD6"/>
    <w:multiLevelType w:val="singleLevel"/>
    <w:tmpl w:val="293E4FD6"/>
    <w:lvl w:ilvl="0" w:tentative="0">
      <w:start w:val="5"/>
      <w:numFmt w:val="chineseCounting"/>
      <w:suff w:val="space"/>
      <w:lvlText w:val="第%1部分"/>
      <w:lvlJc w:val="left"/>
      <w:rPr>
        <w:rFonts w:hint="eastAsia"/>
      </w:rPr>
    </w:lvl>
  </w:abstractNum>
  <w:abstractNum w:abstractNumId="1">
    <w:nsid w:val="2DD2B928"/>
    <w:multiLevelType w:val="singleLevel"/>
    <w:tmpl w:val="2DD2B928"/>
    <w:lvl w:ilvl="0" w:tentative="0">
      <w:start w:val="2"/>
      <w:numFmt w:val="chineseCounting"/>
      <w:suff w:val="space"/>
      <w:lvlText w:val="第%1部分"/>
      <w:lvlJc w:val="left"/>
      <w:rPr>
        <w:rFonts w:hint="eastAsia"/>
      </w:rPr>
    </w:lvl>
  </w:abstractNum>
  <w:abstractNum w:abstractNumId="2">
    <w:nsid w:val="5FDEBB11"/>
    <w:multiLevelType w:val="singleLevel"/>
    <w:tmpl w:val="5FDEBB11"/>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A5857"/>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9D6123"/>
    <w:rsid w:val="02FEBE30"/>
    <w:rsid w:val="03103BAE"/>
    <w:rsid w:val="04987AAA"/>
    <w:rsid w:val="05CC6462"/>
    <w:rsid w:val="05F257ED"/>
    <w:rsid w:val="061E35DE"/>
    <w:rsid w:val="066E0107"/>
    <w:rsid w:val="06A63891"/>
    <w:rsid w:val="07010DF9"/>
    <w:rsid w:val="072A4F50"/>
    <w:rsid w:val="07322345"/>
    <w:rsid w:val="07996868"/>
    <w:rsid w:val="07996F6E"/>
    <w:rsid w:val="07B54D24"/>
    <w:rsid w:val="07DFD8BA"/>
    <w:rsid w:val="08AD1D66"/>
    <w:rsid w:val="08BB280E"/>
    <w:rsid w:val="08DB07E4"/>
    <w:rsid w:val="09867E8F"/>
    <w:rsid w:val="09903745"/>
    <w:rsid w:val="0A2032A3"/>
    <w:rsid w:val="0B982C8D"/>
    <w:rsid w:val="0C6C4794"/>
    <w:rsid w:val="0C796C68"/>
    <w:rsid w:val="0CA8290A"/>
    <w:rsid w:val="0D35B1ED"/>
    <w:rsid w:val="0DE07E2B"/>
    <w:rsid w:val="0E56100F"/>
    <w:rsid w:val="0F8E03AD"/>
    <w:rsid w:val="0F98263C"/>
    <w:rsid w:val="101860EC"/>
    <w:rsid w:val="10C055FF"/>
    <w:rsid w:val="10D174D2"/>
    <w:rsid w:val="11772AA4"/>
    <w:rsid w:val="118107EC"/>
    <w:rsid w:val="12FC5EFD"/>
    <w:rsid w:val="13924307"/>
    <w:rsid w:val="13D50BC4"/>
    <w:rsid w:val="14022904"/>
    <w:rsid w:val="152F2A07"/>
    <w:rsid w:val="165E0673"/>
    <w:rsid w:val="16BB723D"/>
    <w:rsid w:val="186504BB"/>
    <w:rsid w:val="1938089F"/>
    <w:rsid w:val="19A445FC"/>
    <w:rsid w:val="1A677A79"/>
    <w:rsid w:val="1AA9696A"/>
    <w:rsid w:val="1B740D02"/>
    <w:rsid w:val="1B7D550C"/>
    <w:rsid w:val="1BD21EF1"/>
    <w:rsid w:val="1BE8440E"/>
    <w:rsid w:val="1D155CEE"/>
    <w:rsid w:val="1E0D7198"/>
    <w:rsid w:val="1E740ACF"/>
    <w:rsid w:val="1FF35744"/>
    <w:rsid w:val="1FF6BC77"/>
    <w:rsid w:val="21962A9E"/>
    <w:rsid w:val="21AE7C77"/>
    <w:rsid w:val="22BC3C41"/>
    <w:rsid w:val="22C73781"/>
    <w:rsid w:val="23860B96"/>
    <w:rsid w:val="240371BF"/>
    <w:rsid w:val="2570150A"/>
    <w:rsid w:val="260F557C"/>
    <w:rsid w:val="281408E2"/>
    <w:rsid w:val="29644526"/>
    <w:rsid w:val="29FD04D3"/>
    <w:rsid w:val="2BFF7BC6"/>
    <w:rsid w:val="2C8A61B5"/>
    <w:rsid w:val="2C9F4FC9"/>
    <w:rsid w:val="2D2E01CF"/>
    <w:rsid w:val="2DF04E50"/>
    <w:rsid w:val="2E0C4DEE"/>
    <w:rsid w:val="2E9545B0"/>
    <w:rsid w:val="2F040D46"/>
    <w:rsid w:val="2FAE5751"/>
    <w:rsid w:val="2FB1A395"/>
    <w:rsid w:val="2FD9A7D8"/>
    <w:rsid w:val="312940F7"/>
    <w:rsid w:val="319F7F4E"/>
    <w:rsid w:val="32133C07"/>
    <w:rsid w:val="321B2544"/>
    <w:rsid w:val="3304709D"/>
    <w:rsid w:val="3397438D"/>
    <w:rsid w:val="34281836"/>
    <w:rsid w:val="349D6851"/>
    <w:rsid w:val="35307C36"/>
    <w:rsid w:val="35BA6CAF"/>
    <w:rsid w:val="364D14C1"/>
    <w:rsid w:val="36AA5135"/>
    <w:rsid w:val="36BE0DA7"/>
    <w:rsid w:val="36E637B1"/>
    <w:rsid w:val="376B6AA6"/>
    <w:rsid w:val="376D39B2"/>
    <w:rsid w:val="37C70758"/>
    <w:rsid w:val="37E16F03"/>
    <w:rsid w:val="37F53A3B"/>
    <w:rsid w:val="385B709E"/>
    <w:rsid w:val="389B6C89"/>
    <w:rsid w:val="38D469F0"/>
    <w:rsid w:val="390A404C"/>
    <w:rsid w:val="39202E0C"/>
    <w:rsid w:val="392A3A18"/>
    <w:rsid w:val="39627CCD"/>
    <w:rsid w:val="397BAF1F"/>
    <w:rsid w:val="3AB79AF3"/>
    <w:rsid w:val="3B7EF35A"/>
    <w:rsid w:val="3B8778CC"/>
    <w:rsid w:val="3B9FDB6C"/>
    <w:rsid w:val="3BF5BC2F"/>
    <w:rsid w:val="3CEBA265"/>
    <w:rsid w:val="3D921CE2"/>
    <w:rsid w:val="3D98207C"/>
    <w:rsid w:val="3D9B0D99"/>
    <w:rsid w:val="3DEE7CF3"/>
    <w:rsid w:val="3DF02244"/>
    <w:rsid w:val="3E416DD8"/>
    <w:rsid w:val="3E78745D"/>
    <w:rsid w:val="3F402B4A"/>
    <w:rsid w:val="3F620D12"/>
    <w:rsid w:val="3FF4CAE0"/>
    <w:rsid w:val="3FF7B227"/>
    <w:rsid w:val="40DC2D46"/>
    <w:rsid w:val="40E54C45"/>
    <w:rsid w:val="418B16AA"/>
    <w:rsid w:val="418E2292"/>
    <w:rsid w:val="42A41642"/>
    <w:rsid w:val="43A407DF"/>
    <w:rsid w:val="44515BEA"/>
    <w:rsid w:val="44E268DA"/>
    <w:rsid w:val="4525796B"/>
    <w:rsid w:val="453F7E5B"/>
    <w:rsid w:val="486A6C7A"/>
    <w:rsid w:val="49176D9B"/>
    <w:rsid w:val="4A627F82"/>
    <w:rsid w:val="4AE83E04"/>
    <w:rsid w:val="4B0E749A"/>
    <w:rsid w:val="4B4F25DA"/>
    <w:rsid w:val="4BDA0CFB"/>
    <w:rsid w:val="4BE068DB"/>
    <w:rsid w:val="4C3B3017"/>
    <w:rsid w:val="4D3C0CCC"/>
    <w:rsid w:val="4D577224"/>
    <w:rsid w:val="4DBF1CEB"/>
    <w:rsid w:val="4E317FF7"/>
    <w:rsid w:val="4EAB630A"/>
    <w:rsid w:val="4ECE2238"/>
    <w:rsid w:val="4F833267"/>
    <w:rsid w:val="4FE9BD67"/>
    <w:rsid w:val="4FFB052F"/>
    <w:rsid w:val="51D51818"/>
    <w:rsid w:val="525564B4"/>
    <w:rsid w:val="53083A92"/>
    <w:rsid w:val="537E6D0A"/>
    <w:rsid w:val="53AF27A2"/>
    <w:rsid w:val="53E43F94"/>
    <w:rsid w:val="53EE2AC7"/>
    <w:rsid w:val="53F74C96"/>
    <w:rsid w:val="543C32FB"/>
    <w:rsid w:val="54D46392"/>
    <w:rsid w:val="56E47B74"/>
    <w:rsid w:val="57BD3DD4"/>
    <w:rsid w:val="57C9597B"/>
    <w:rsid w:val="58013022"/>
    <w:rsid w:val="59C97EB4"/>
    <w:rsid w:val="5AF92295"/>
    <w:rsid w:val="5B035E82"/>
    <w:rsid w:val="5B3479A1"/>
    <w:rsid w:val="5B9444F1"/>
    <w:rsid w:val="5BDD79E6"/>
    <w:rsid w:val="5BF561CA"/>
    <w:rsid w:val="5BFF5DFC"/>
    <w:rsid w:val="5CD71FC4"/>
    <w:rsid w:val="5D1F11B5"/>
    <w:rsid w:val="5DAE1B18"/>
    <w:rsid w:val="5DB61A46"/>
    <w:rsid w:val="5DE7D9E5"/>
    <w:rsid w:val="5ECEC941"/>
    <w:rsid w:val="5F493CB7"/>
    <w:rsid w:val="5F9A5E4E"/>
    <w:rsid w:val="5FBF9FF3"/>
    <w:rsid w:val="5FCD4E2C"/>
    <w:rsid w:val="5FD15F49"/>
    <w:rsid w:val="5FEF394A"/>
    <w:rsid w:val="5FF67715"/>
    <w:rsid w:val="611A3150"/>
    <w:rsid w:val="622814F0"/>
    <w:rsid w:val="62483940"/>
    <w:rsid w:val="62BF3928"/>
    <w:rsid w:val="63622375"/>
    <w:rsid w:val="647F5392"/>
    <w:rsid w:val="65343016"/>
    <w:rsid w:val="658C24FB"/>
    <w:rsid w:val="65BE7A0C"/>
    <w:rsid w:val="661A3845"/>
    <w:rsid w:val="664B1D71"/>
    <w:rsid w:val="66DA2D9F"/>
    <w:rsid w:val="66E07204"/>
    <w:rsid w:val="672D7CE1"/>
    <w:rsid w:val="67AA3209"/>
    <w:rsid w:val="681C4F0D"/>
    <w:rsid w:val="683466D5"/>
    <w:rsid w:val="68A5389A"/>
    <w:rsid w:val="69046D0F"/>
    <w:rsid w:val="690C5D9D"/>
    <w:rsid w:val="698D0931"/>
    <w:rsid w:val="6A993CED"/>
    <w:rsid w:val="6AB204F0"/>
    <w:rsid w:val="6B053271"/>
    <w:rsid w:val="6B3727C0"/>
    <w:rsid w:val="6BCE6674"/>
    <w:rsid w:val="6C4A05C8"/>
    <w:rsid w:val="6C8742B8"/>
    <w:rsid w:val="6C8A170F"/>
    <w:rsid w:val="6CB54609"/>
    <w:rsid w:val="6D7C07FF"/>
    <w:rsid w:val="6DBF5E93"/>
    <w:rsid w:val="6DFF077E"/>
    <w:rsid w:val="6E7E3605"/>
    <w:rsid w:val="6E7FDCC7"/>
    <w:rsid w:val="6E850629"/>
    <w:rsid w:val="6ED6A62E"/>
    <w:rsid w:val="6EE00B15"/>
    <w:rsid w:val="6F255735"/>
    <w:rsid w:val="6F544B20"/>
    <w:rsid w:val="6F6FB3EB"/>
    <w:rsid w:val="6F784160"/>
    <w:rsid w:val="6F8731EA"/>
    <w:rsid w:val="6FCE6052"/>
    <w:rsid w:val="6FD57C00"/>
    <w:rsid w:val="6FEFFFD8"/>
    <w:rsid w:val="6FF5CC65"/>
    <w:rsid w:val="6FF62C2D"/>
    <w:rsid w:val="6FFB47EC"/>
    <w:rsid w:val="6FFF034A"/>
    <w:rsid w:val="70496804"/>
    <w:rsid w:val="71021178"/>
    <w:rsid w:val="712A28F1"/>
    <w:rsid w:val="715C0E4B"/>
    <w:rsid w:val="72233669"/>
    <w:rsid w:val="72734D90"/>
    <w:rsid w:val="7332FE48"/>
    <w:rsid w:val="73734595"/>
    <w:rsid w:val="7375655F"/>
    <w:rsid w:val="73AB61DA"/>
    <w:rsid w:val="73AD73D5"/>
    <w:rsid w:val="73B6EB34"/>
    <w:rsid w:val="73FA497D"/>
    <w:rsid w:val="74212A95"/>
    <w:rsid w:val="744731E5"/>
    <w:rsid w:val="74527205"/>
    <w:rsid w:val="74BBD01D"/>
    <w:rsid w:val="74ED5379"/>
    <w:rsid w:val="74FC2395"/>
    <w:rsid w:val="75DEEEC2"/>
    <w:rsid w:val="76E3355F"/>
    <w:rsid w:val="76FF5125"/>
    <w:rsid w:val="776F6FFA"/>
    <w:rsid w:val="778769C8"/>
    <w:rsid w:val="77DC22F5"/>
    <w:rsid w:val="79086DAD"/>
    <w:rsid w:val="793F76D1"/>
    <w:rsid w:val="795C61F7"/>
    <w:rsid w:val="79974F09"/>
    <w:rsid w:val="79A731EA"/>
    <w:rsid w:val="79D7FD79"/>
    <w:rsid w:val="79EE5BA4"/>
    <w:rsid w:val="7A894339"/>
    <w:rsid w:val="7AFF7572"/>
    <w:rsid w:val="7B6C7DFB"/>
    <w:rsid w:val="7BA23C69"/>
    <w:rsid w:val="7BBFBED0"/>
    <w:rsid w:val="7BC3E394"/>
    <w:rsid w:val="7C1F3737"/>
    <w:rsid w:val="7CBFC87B"/>
    <w:rsid w:val="7CFE0F48"/>
    <w:rsid w:val="7D7EC23E"/>
    <w:rsid w:val="7D916348"/>
    <w:rsid w:val="7DFF1847"/>
    <w:rsid w:val="7E8ADEBF"/>
    <w:rsid w:val="7ED161EB"/>
    <w:rsid w:val="7EEF11D3"/>
    <w:rsid w:val="7F0971A6"/>
    <w:rsid w:val="7F3F679B"/>
    <w:rsid w:val="7F4FC4EF"/>
    <w:rsid w:val="7F5E4D54"/>
    <w:rsid w:val="7F6E0135"/>
    <w:rsid w:val="7FA30C79"/>
    <w:rsid w:val="7FAF8ABF"/>
    <w:rsid w:val="7FB7269E"/>
    <w:rsid w:val="7FC96657"/>
    <w:rsid w:val="7FD04D6E"/>
    <w:rsid w:val="7FD67ABD"/>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7"/>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link w:val="37"/>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semiHidden/>
    <w:unhideWhenUsed/>
    <w:qFormat/>
    <w:uiPriority w:val="99"/>
    <w:rPr>
      <w:sz w:val="24"/>
    </w:rPr>
  </w:style>
  <w:style w:type="character" w:styleId="18">
    <w:name w:val="Strong"/>
    <w:basedOn w:val="17"/>
    <w:qFormat/>
    <w:uiPriority w:val="99"/>
    <w:rPr>
      <w:b/>
    </w:rPr>
  </w:style>
  <w:style w:type="character" w:styleId="19">
    <w:name w:val="page number"/>
    <w:basedOn w:val="17"/>
    <w:qFormat/>
    <w:uiPriority w:val="0"/>
  </w:style>
  <w:style w:type="character" w:styleId="20">
    <w:name w:val="Hyperlink"/>
    <w:basedOn w:val="17"/>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7"/>
    <w:semiHidden/>
    <w:qFormat/>
    <w:uiPriority w:val="99"/>
    <w:rPr>
      <w:rFonts w:ascii="Times New Roman" w:hAnsi="Times New Roman"/>
      <w:sz w:val="18"/>
      <w:szCs w:val="18"/>
    </w:rPr>
  </w:style>
  <w:style w:type="character" w:customStyle="1" w:styleId="23">
    <w:name w:val="页眉 Char"/>
    <w:link w:val="11"/>
    <w:semiHidden/>
    <w:qFormat/>
    <w:locked/>
    <w:uiPriority w:val="99"/>
    <w:rPr>
      <w:sz w:val="18"/>
    </w:rPr>
  </w:style>
  <w:style w:type="character" w:customStyle="1" w:styleId="24">
    <w:name w:val="Footer Char"/>
    <w:basedOn w:val="17"/>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7"/>
    <w:semiHidden/>
    <w:qFormat/>
    <w:uiPriority w:val="99"/>
    <w:rPr>
      <w:rFonts w:ascii="Times New Roman" w:hAnsi="Times New Roman"/>
      <w:szCs w:val="24"/>
    </w:rPr>
  </w:style>
  <w:style w:type="character" w:customStyle="1" w:styleId="27">
    <w:name w:val="正文文本 Char"/>
    <w:link w:val="5"/>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7"/>
    <w:link w:val="2"/>
    <w:qFormat/>
    <w:uiPriority w:val="9"/>
    <w:rPr>
      <w:rFonts w:ascii="Times New Roman" w:hAnsi="Times New Roman"/>
      <w:b/>
      <w:bCs/>
      <w:kern w:val="44"/>
      <w:sz w:val="44"/>
      <w:szCs w:val="44"/>
    </w:rPr>
  </w:style>
  <w:style w:type="character" w:customStyle="1" w:styleId="31">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7"/>
    <w:link w:val="9"/>
    <w:semiHidden/>
    <w:qFormat/>
    <w:uiPriority w:val="99"/>
    <w:rPr>
      <w:rFonts w:ascii="Times New Roman" w:hAnsi="Times New Roman"/>
      <w:kern w:val="2"/>
      <w:sz w:val="18"/>
      <w:szCs w:val="18"/>
    </w:rPr>
  </w:style>
  <w:style w:type="character" w:customStyle="1" w:styleId="34">
    <w:name w:val="标题 3 Char"/>
    <w:basedOn w:val="17"/>
    <w:link w:val="4"/>
    <w:qFormat/>
    <w:uiPriority w:val="9"/>
    <w:rPr>
      <w:rFonts w:ascii="Times New Roman" w:hAnsi="Times New Roman"/>
      <w:b/>
      <w:bCs/>
      <w:kern w:val="2"/>
      <w:sz w:val="32"/>
      <w:szCs w:val="32"/>
    </w:rPr>
  </w:style>
  <w:style w:type="paragraph" w:customStyle="1" w:styleId="35">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character" w:customStyle="1" w:styleId="37">
    <w:name w:val="正文首行缩进 2 Char"/>
    <w:basedOn w:val="17"/>
    <w:link w:val="7"/>
    <w:qFormat/>
    <w:uiPriority w:val="99"/>
    <w:rPr>
      <w:rFonts w:ascii="仿宋_GB2312"/>
      <w:kern w:val="2"/>
      <w:sz w:val="21"/>
      <w:szCs w:val="32"/>
    </w:rPr>
  </w:style>
  <w:style w:type="character" w:customStyle="1" w:styleId="38">
    <w:name w:val="heading 2 Char"/>
    <w:basedOn w:val="17"/>
    <w:link w:val="3"/>
    <w:qFormat/>
    <w:uiPriority w:val="0"/>
    <w:rPr>
      <w:rFonts w:ascii="Cambria" w:hAnsi="Times New Roman" w:eastAsia="宋体" w:cs="Times New Roman"/>
      <w:b/>
      <w:bCs/>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4676</Words>
  <Characters>5058</Characters>
  <Lines>63</Lines>
  <Paragraphs>17</Paragraphs>
  <TotalTime>40</TotalTime>
  <ScaleCrop>false</ScaleCrop>
  <LinksUpToDate>false</LinksUpToDate>
  <CharactersWithSpaces>5116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2026-08-27T00:27:00Z</cp:lastPrinted>
  <dcterms:modified xsi:type="dcterms:W3CDTF">2026-09-14T09:32:21Z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eyJoZGlkIjoiOWY2ZDliODJkYTYxYWUyNTY0NjYxMjQ5YTEwOGU4N2QiLCJ1c2VySWQiOiI1NTIxNjQ2OTkifQ==</vt:lpwstr>
  </property>
</Properties>
</file>