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1D60C6">
      <w:pPr>
        <w:spacing w:line="600" w:lineRule="exact"/>
        <w:rPr>
          <w:rFonts w:hint="eastAsia" w:ascii="方正黑体_GBK" w:hAnsi="方正黑体_GBK" w:eastAsia="方正黑体_GBK" w:cs="方正黑体_GBK"/>
          <w:snapToGrid w:val="0"/>
          <w:kern w:val="0"/>
          <w:sz w:val="32"/>
          <w:szCs w:val="32"/>
        </w:rPr>
      </w:pPr>
      <w:bookmarkStart w:id="0" w:name="_Toc15396475"/>
      <w:bookmarkStart w:id="1" w:name="_Toc15377193"/>
      <w:bookmarkStart w:id="2" w:name="_Toc15396597"/>
      <w:bookmarkStart w:id="3" w:name="_Toc15378441"/>
      <w:bookmarkStart w:id="4" w:name="_Toc15306267"/>
      <w:bookmarkStart w:id="5" w:name="_Toc15377425"/>
      <w:r>
        <w:rPr>
          <w:rFonts w:hint="eastAsia" w:ascii="方正黑体_GBK" w:hAnsi="方正黑体_GBK" w:eastAsia="方正黑体_GBK" w:cs="方正黑体_GBK"/>
          <w:snapToGrid w:val="0"/>
          <w:kern w:val="0"/>
          <w:sz w:val="32"/>
          <w:szCs w:val="32"/>
        </w:rPr>
        <w:t>附件1</w:t>
      </w:r>
    </w:p>
    <w:p w14:paraId="3B82B352">
      <w:pPr>
        <w:pStyle w:val="5"/>
        <w:spacing w:before="93"/>
        <w:rPr>
          <w:rFonts w:ascii="Times New Roman" w:eastAsia="方正小标宋简体"/>
          <w:kern w:val="2"/>
          <w:sz w:val="72"/>
          <w:szCs w:val="72"/>
        </w:rPr>
      </w:pPr>
    </w:p>
    <w:p w14:paraId="23173420">
      <w:pPr>
        <w:pStyle w:val="5"/>
        <w:spacing w:before="93"/>
        <w:rPr>
          <w:rFonts w:ascii="Times New Roman" w:eastAsia="方正小标宋简体"/>
          <w:kern w:val="2"/>
          <w:sz w:val="72"/>
          <w:szCs w:val="72"/>
        </w:rPr>
      </w:pPr>
    </w:p>
    <w:p w14:paraId="25EE69F9">
      <w:pPr>
        <w:pStyle w:val="5"/>
        <w:spacing w:before="93"/>
        <w:rPr>
          <w:rFonts w:ascii="Times New Roman" w:eastAsia="方正小标宋简体"/>
          <w:kern w:val="2"/>
          <w:sz w:val="72"/>
          <w:szCs w:val="72"/>
        </w:rPr>
      </w:pPr>
    </w:p>
    <w:p w14:paraId="67BE1B14">
      <w:pPr>
        <w:pStyle w:val="5"/>
        <w:spacing w:before="93"/>
        <w:rPr>
          <w:rFonts w:ascii="Times New Roman" w:eastAsia="方正小标宋简体"/>
          <w:kern w:val="2"/>
          <w:sz w:val="72"/>
          <w:szCs w:val="72"/>
        </w:rPr>
      </w:pPr>
    </w:p>
    <w:p w14:paraId="1A1CAD45">
      <w:pPr>
        <w:pStyle w:val="5"/>
        <w:spacing w:before="93"/>
        <w:jc w:val="center"/>
        <w:rPr>
          <w:rFonts w:ascii="方正小标宋_GBK" w:hAnsi="方正小标宋_GBK" w:eastAsia="方正小标宋_GBK" w:cs="方正小标宋_GBK"/>
          <w:b/>
          <w:bCs/>
          <w:kern w:val="2"/>
          <w:sz w:val="44"/>
          <w:szCs w:val="44"/>
        </w:rPr>
      </w:pPr>
      <w:bookmarkStart w:id="6" w:name="OLE_LINK9"/>
      <w:bookmarkStart w:id="7" w:name="OLE_LINK10"/>
      <w:r>
        <w:rPr>
          <w:rFonts w:hint="eastAsia" w:ascii="方正小标宋_GBK" w:hAnsi="方正小标宋_GBK" w:eastAsia="方正小标宋_GBK" w:cs="方正小标宋_GBK"/>
          <w:b/>
          <w:bCs/>
          <w:kern w:val="2"/>
          <w:sz w:val="44"/>
          <w:szCs w:val="44"/>
        </w:rPr>
        <w:t>攀枝花市殡葬服务中心</w:t>
      </w:r>
    </w:p>
    <w:p w14:paraId="605B0588">
      <w:pPr>
        <w:pStyle w:val="5"/>
        <w:spacing w:before="93"/>
        <w:jc w:val="center"/>
        <w:rPr>
          <w:rFonts w:ascii="方正小标宋_GBK" w:hAnsi="方正小标宋_GBK" w:eastAsia="方正小标宋_GBK" w:cs="方正小标宋_GBK"/>
          <w:b/>
          <w:bCs/>
          <w:kern w:val="2"/>
          <w:sz w:val="44"/>
          <w:szCs w:val="44"/>
        </w:rPr>
        <w:sectPr>
          <w:headerReference r:id="rId3" w:type="default"/>
          <w:footerReference r:id="rId5" w:type="default"/>
          <w:headerReference r:id="rId4" w:type="even"/>
          <w:footerReference r:id="rId6" w:type="even"/>
          <w:pgSz w:w="11906" w:h="16838"/>
          <w:pgMar w:top="1440" w:right="1800" w:bottom="1440" w:left="1800" w:header="851" w:footer="992" w:gutter="0"/>
          <w:pgNumType w:start="1"/>
          <w:cols w:space="425" w:num="1"/>
          <w:titlePg/>
          <w:docGrid w:type="lines" w:linePitch="312" w:charSpace="0"/>
        </w:sectPr>
      </w:pPr>
      <w:r>
        <w:rPr>
          <w:rFonts w:hint="eastAsia" w:ascii="方正小标宋_GBK" w:hAnsi="方正小标宋_GBK" w:eastAsia="方正小标宋_GBK" w:cs="方正小标宋_GBK"/>
          <w:b/>
          <w:bCs/>
          <w:kern w:val="2"/>
          <w:sz w:val="44"/>
          <w:szCs w:val="44"/>
        </w:rPr>
        <w:t>2025年度单位决算公开编制说明</w:t>
      </w:r>
    </w:p>
    <w:bookmarkEnd w:id="0"/>
    <w:bookmarkEnd w:id="1"/>
    <w:bookmarkEnd w:id="2"/>
    <w:bookmarkEnd w:id="3"/>
    <w:bookmarkEnd w:id="4"/>
    <w:bookmarkEnd w:id="5"/>
    <w:bookmarkEnd w:id="6"/>
    <w:bookmarkEnd w:id="7"/>
    <w:p w14:paraId="45CB1E56">
      <w:pPr>
        <w:widowControl/>
        <w:jc w:val="center"/>
        <w:rPr>
          <w:rFonts w:ascii="方正小标宋_GBK" w:hAnsi="方正小标宋_GBK" w:eastAsia="方正小标宋_GBK" w:cs="方正小标宋_GBK"/>
          <w:b/>
          <w:bCs/>
          <w:sz w:val="44"/>
          <w:szCs w:val="44"/>
        </w:rPr>
      </w:pPr>
      <w:r>
        <w:rPr>
          <w:rFonts w:hint="eastAsia" w:ascii="方正小标宋_GBK" w:hAnsi="方正小标宋_GBK" w:eastAsia="方正小标宋_GBK" w:cs="方正小标宋_GBK"/>
          <w:b/>
          <w:bCs/>
          <w:sz w:val="44"/>
          <w:szCs w:val="44"/>
        </w:rPr>
        <w:t>目  录</w:t>
      </w:r>
    </w:p>
    <w:p w14:paraId="0114603C">
      <w:pPr>
        <w:pStyle w:val="13"/>
      </w:pPr>
    </w:p>
    <w:p w14:paraId="79DC64C9">
      <w:pPr>
        <w:pStyle w:val="12"/>
        <w:rPr>
          <w:rFonts w:ascii="Times New Roman" w:hAnsi="Times New Roman" w:eastAsia="方正仿宋_GBK"/>
          <w:sz w:val="32"/>
          <w:szCs w:val="32"/>
        </w:rPr>
      </w:pPr>
      <w:r>
        <w:rPr>
          <w:rFonts w:ascii="Times New Roman" w:hAnsi="Times New Roman" w:eastAsia="方正仿宋_GBK"/>
          <w:sz w:val="32"/>
          <w:szCs w:val="32"/>
        </w:rPr>
        <w:t>公开时间：2026年9月</w:t>
      </w:r>
      <w:r>
        <w:rPr>
          <w:rFonts w:hint="eastAsia" w:ascii="Times New Roman" w:hAnsi="Times New Roman" w:eastAsia="方正仿宋_GBK"/>
          <w:sz w:val="32"/>
          <w:szCs w:val="32"/>
          <w:lang w:val="en-US" w:eastAsia="zh-CN"/>
        </w:rPr>
        <w:t>14</w:t>
      </w:r>
      <w:r>
        <w:rPr>
          <w:rFonts w:ascii="Times New Roman" w:hAnsi="Times New Roman" w:eastAsia="方正仿宋_GBK"/>
          <w:sz w:val="32"/>
          <w:szCs w:val="32"/>
        </w:rPr>
        <w:t>日</w:t>
      </w:r>
    </w:p>
    <w:p w14:paraId="25D96CB2"/>
    <w:p w14:paraId="252022C9">
      <w:pPr>
        <w:pStyle w:val="12"/>
        <w:adjustRightInd w:val="0"/>
        <w:snapToGrid w:val="0"/>
        <w:spacing w:before="0" w:line="560" w:lineRule="exact"/>
        <w:jc w:val="left"/>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第一部分 单位概</w:t>
      </w:r>
      <w:bookmarkStart w:id="161" w:name="_GoBack"/>
      <w:bookmarkEnd w:id="161"/>
      <w:r>
        <w:rPr>
          <w:rFonts w:hint="eastAsia" w:ascii="方正黑体_GBK" w:hAnsi="方正黑体_GBK" w:eastAsia="方正黑体_GBK" w:cs="方正黑体_GBK"/>
          <w:sz w:val="32"/>
          <w:szCs w:val="32"/>
        </w:rPr>
        <w:t>况</w:t>
      </w:r>
      <w:bookmarkStart w:id="8" w:name="OLE_LINK72"/>
      <w:bookmarkStart w:id="9" w:name="OLE_LINK73"/>
      <w:r>
        <w:rPr>
          <w:rFonts w:ascii="Times New Roman" w:hAnsi="Times New Roman" w:eastAsia="方正仿宋_GBK"/>
          <w:sz w:val="32"/>
          <w:szCs w:val="32"/>
        </w:rPr>
        <w:t>··</w:t>
      </w:r>
      <w:bookmarkStart w:id="10" w:name="OLE_LINK26"/>
      <w:bookmarkStart w:id="11" w:name="OLE_LINK27"/>
      <w:r>
        <w:rPr>
          <w:rFonts w:ascii="Times New Roman" w:hAnsi="Times New Roman" w:eastAsia="方正仿宋_GBK"/>
          <w:sz w:val="32"/>
          <w:szCs w:val="32"/>
        </w:rPr>
        <w:t>······················</w:t>
      </w:r>
      <w:bookmarkStart w:id="12" w:name="OLE_LINK11"/>
      <w:bookmarkStart w:id="13" w:name="OLE_LINK12"/>
      <w:r>
        <w:rPr>
          <w:rFonts w:ascii="Times New Roman" w:hAnsi="Times New Roman" w:eastAsia="方正仿宋_GBK"/>
          <w:sz w:val="32"/>
          <w:szCs w:val="32"/>
        </w:rPr>
        <w:t>···</w:t>
      </w:r>
      <w:bookmarkEnd w:id="12"/>
      <w:bookmarkEnd w:id="13"/>
      <w:r>
        <w:rPr>
          <w:rFonts w:ascii="Times New Roman" w:hAnsi="Times New Roman" w:eastAsia="方正仿宋_GBK"/>
          <w:sz w:val="32"/>
          <w:szCs w:val="32"/>
        </w:rPr>
        <w:t>·····</w:t>
      </w:r>
      <w:bookmarkStart w:id="14" w:name="OLE_LINK17"/>
      <w:r>
        <w:rPr>
          <w:rFonts w:ascii="Times New Roman" w:hAnsi="Times New Roman" w:eastAsia="方正仿宋_GBK"/>
          <w:sz w:val="32"/>
          <w:szCs w:val="32"/>
        </w:rPr>
        <w:t>···</w:t>
      </w:r>
      <w:bookmarkEnd w:id="14"/>
      <w:r>
        <w:rPr>
          <w:rFonts w:ascii="Times New Roman" w:hAnsi="Times New Roman" w:eastAsia="方正仿宋_GBK"/>
          <w:sz w:val="32"/>
          <w:szCs w:val="32"/>
        </w:rPr>
        <w:t>······</w:t>
      </w:r>
      <w:bookmarkStart w:id="15" w:name="OLE_LINK21"/>
      <w:bookmarkStart w:id="16" w:name="OLE_LINK18"/>
      <w:r>
        <w:rPr>
          <w:rFonts w:ascii="Times New Roman" w:hAnsi="Times New Roman" w:eastAsia="方正仿宋_GBK"/>
          <w:sz w:val="32"/>
          <w:szCs w:val="32"/>
        </w:rPr>
        <w:t>····</w:t>
      </w:r>
      <w:bookmarkEnd w:id="15"/>
      <w:bookmarkEnd w:id="16"/>
      <w:r>
        <w:rPr>
          <w:rFonts w:ascii="Times New Roman" w:hAnsi="Times New Roman" w:eastAsia="方正仿宋_GBK"/>
          <w:sz w:val="32"/>
          <w:szCs w:val="32"/>
        </w:rPr>
        <w:t>·</w:t>
      </w:r>
      <w:bookmarkStart w:id="17" w:name="OLE_LINK23"/>
      <w:bookmarkStart w:id="18" w:name="OLE_LINK22"/>
      <w:bookmarkStart w:id="19" w:name="OLE_LINK25"/>
      <w:bookmarkStart w:id="20" w:name="OLE_LINK24"/>
      <w:r>
        <w:rPr>
          <w:rFonts w:ascii="Times New Roman" w:hAnsi="Times New Roman" w:eastAsia="方正仿宋_GBK"/>
          <w:sz w:val="32"/>
          <w:szCs w:val="32"/>
        </w:rPr>
        <w:t>·</w:t>
      </w:r>
      <w:bookmarkEnd w:id="17"/>
      <w:bookmarkEnd w:id="18"/>
      <w:r>
        <w:rPr>
          <w:rFonts w:ascii="Times New Roman" w:hAnsi="Times New Roman" w:eastAsia="方正仿宋_GBK"/>
          <w:sz w:val="32"/>
          <w:szCs w:val="32"/>
        </w:rPr>
        <w:t>·</w:t>
      </w:r>
      <w:bookmarkEnd w:id="19"/>
      <w:bookmarkEnd w:id="20"/>
      <w:r>
        <w:rPr>
          <w:rFonts w:ascii="Times New Roman" w:hAnsi="Times New Roman" w:eastAsia="方正仿宋_GBK"/>
          <w:sz w:val="32"/>
          <w:szCs w:val="32"/>
        </w:rPr>
        <w:t>··</w:t>
      </w:r>
      <w:bookmarkEnd w:id="8"/>
      <w:bookmarkEnd w:id="9"/>
      <w:bookmarkEnd w:id="10"/>
      <w:bookmarkEnd w:id="11"/>
      <w:r>
        <w:rPr>
          <w:rFonts w:ascii="Times New Roman" w:hAnsi="Times New Roman" w:eastAsia="方正仿宋_GBK"/>
          <w:sz w:val="32"/>
          <w:szCs w:val="32"/>
        </w:rPr>
        <w:t>·················</w:t>
      </w:r>
      <w:r>
        <w:rPr>
          <w:rFonts w:ascii="Times New Roman" w:hAnsi="Times New Roman" w:eastAsia="方正黑体_GBK"/>
          <w:sz w:val="32"/>
          <w:szCs w:val="32"/>
        </w:rPr>
        <w:t>1</w:t>
      </w:r>
    </w:p>
    <w:p w14:paraId="1982796A">
      <w:pPr>
        <w:pStyle w:val="14"/>
        <w:adjustRightInd w:val="0"/>
        <w:snapToGrid w:val="0"/>
        <w:spacing w:line="560" w:lineRule="exact"/>
        <w:ind w:left="0" w:leftChars="0" w:firstLine="640"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一、单位职责</w:t>
      </w:r>
      <w:bookmarkStart w:id="21" w:name="OLE_LINK33"/>
      <w:bookmarkStart w:id="22" w:name="OLE_LINK30"/>
      <w:r>
        <w:rPr>
          <w:rFonts w:eastAsia="方正仿宋_GBK"/>
          <w:sz w:val="32"/>
          <w:szCs w:val="32"/>
        </w:rPr>
        <w:t>··········································</w:t>
      </w:r>
      <w:bookmarkStart w:id="23" w:name="OLE_LINK29"/>
      <w:bookmarkStart w:id="24" w:name="OLE_LINK28"/>
      <w:r>
        <w:rPr>
          <w:rFonts w:eastAsia="方正仿宋_GBK"/>
          <w:sz w:val="32"/>
          <w:szCs w:val="32"/>
        </w:rPr>
        <w:t>···</w:t>
      </w:r>
      <w:bookmarkEnd w:id="23"/>
      <w:bookmarkEnd w:id="24"/>
      <w:r>
        <w:rPr>
          <w:rFonts w:eastAsia="方正仿宋_GBK"/>
          <w:sz w:val="32"/>
          <w:szCs w:val="32"/>
        </w:rPr>
        <w:t>·····</w:t>
      </w:r>
      <w:bookmarkStart w:id="25" w:name="OLE_LINK44"/>
      <w:bookmarkStart w:id="26" w:name="OLE_LINK43"/>
      <w:r>
        <w:rPr>
          <w:rFonts w:eastAsia="方正仿宋_GBK"/>
          <w:sz w:val="32"/>
          <w:szCs w:val="32"/>
        </w:rPr>
        <w:t>·</w:t>
      </w:r>
      <w:bookmarkEnd w:id="21"/>
      <w:bookmarkEnd w:id="22"/>
      <w:bookmarkEnd w:id="25"/>
      <w:bookmarkEnd w:id="26"/>
      <w:r>
        <w:rPr>
          <w:rFonts w:eastAsia="方正仿宋_GBK"/>
          <w:sz w:val="32"/>
          <w:szCs w:val="32"/>
        </w:rPr>
        <w:t>·</w:t>
      </w:r>
      <w:r>
        <w:rPr>
          <w:rFonts w:ascii="Times New Roman" w:hAnsi="Times New Roman" w:eastAsia="方正仿宋_GBK"/>
          <w:sz w:val="32"/>
          <w:szCs w:val="32"/>
        </w:rPr>
        <w:t>·················</w:t>
      </w:r>
      <w:r>
        <w:rPr>
          <w:rFonts w:eastAsia="方正仿宋_GBK"/>
          <w:sz w:val="32"/>
          <w:szCs w:val="32"/>
        </w:rPr>
        <w:t>1</w:t>
      </w:r>
    </w:p>
    <w:p w14:paraId="5010398F">
      <w:pPr>
        <w:pStyle w:val="14"/>
        <w:adjustRightInd w:val="0"/>
        <w:snapToGrid w:val="0"/>
        <w:spacing w:line="560" w:lineRule="exact"/>
        <w:ind w:left="0" w:leftChars="0" w:firstLine="640"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二、机构设置</w:t>
      </w:r>
      <w:r>
        <w:rPr>
          <w:rFonts w:eastAsia="方正仿宋_GBK"/>
          <w:sz w:val="32"/>
          <w:szCs w:val="32"/>
        </w:rPr>
        <w:t>··</w:t>
      </w:r>
      <w:bookmarkStart w:id="27" w:name="OLE_LINK71"/>
      <w:bookmarkStart w:id="28" w:name="OLE_LINK70"/>
      <w:r>
        <w:rPr>
          <w:rFonts w:eastAsia="方正仿宋_GBK"/>
          <w:sz w:val="32"/>
          <w:szCs w:val="32"/>
        </w:rPr>
        <w:t>·········</w:t>
      </w:r>
      <w:bookmarkStart w:id="29" w:name="OLE_LINK39"/>
      <w:bookmarkStart w:id="30" w:name="OLE_LINK40"/>
      <w:r>
        <w:rPr>
          <w:rFonts w:eastAsia="方正仿宋_GBK"/>
          <w:sz w:val="32"/>
          <w:szCs w:val="32"/>
        </w:rPr>
        <w:t>···········</w:t>
      </w:r>
      <w:bookmarkStart w:id="31" w:name="OLE_LINK38"/>
      <w:r>
        <w:rPr>
          <w:rFonts w:eastAsia="方正仿宋_GBK"/>
          <w:sz w:val="32"/>
          <w:szCs w:val="32"/>
        </w:rPr>
        <w:t>····</w:t>
      </w:r>
      <w:bookmarkStart w:id="32" w:name="OLE_LINK34"/>
      <w:bookmarkStart w:id="33" w:name="OLE_LINK37"/>
      <w:r>
        <w:rPr>
          <w:rFonts w:eastAsia="方正仿宋_GBK"/>
          <w:sz w:val="32"/>
          <w:szCs w:val="32"/>
        </w:rPr>
        <w:t>························</w:t>
      </w:r>
      <w:bookmarkEnd w:id="32"/>
      <w:bookmarkEnd w:id="33"/>
      <w:bookmarkStart w:id="34" w:name="OLE_LINK46"/>
      <w:bookmarkStart w:id="35" w:name="OLE_LINK45"/>
      <w:r>
        <w:rPr>
          <w:rFonts w:eastAsia="方正仿宋_GBK"/>
          <w:sz w:val="32"/>
          <w:szCs w:val="32"/>
        </w:rPr>
        <w:t>·</w:t>
      </w:r>
      <w:bookmarkEnd w:id="29"/>
      <w:bookmarkEnd w:id="30"/>
      <w:bookmarkEnd w:id="31"/>
      <w:bookmarkEnd w:id="34"/>
      <w:bookmarkEnd w:id="35"/>
      <w:r>
        <w:rPr>
          <w:rFonts w:eastAsia="方正仿宋_GBK"/>
          <w:sz w:val="32"/>
          <w:szCs w:val="32"/>
        </w:rPr>
        <w:t>·</w:t>
      </w:r>
      <w:bookmarkEnd w:id="27"/>
      <w:bookmarkEnd w:id="28"/>
      <w:r>
        <w:rPr>
          <w:rFonts w:ascii="Times New Roman" w:hAnsi="Times New Roman" w:eastAsia="方正仿宋_GBK"/>
          <w:sz w:val="32"/>
          <w:szCs w:val="32"/>
        </w:rPr>
        <w:t>·················</w:t>
      </w:r>
      <w:r>
        <w:rPr>
          <w:rFonts w:eastAsia="方正仿宋_GBK"/>
          <w:sz w:val="32"/>
          <w:szCs w:val="32"/>
        </w:rPr>
        <w:t>1</w:t>
      </w:r>
    </w:p>
    <w:p w14:paraId="3709F871">
      <w:pPr>
        <w:pStyle w:val="14"/>
        <w:adjustRightInd w:val="0"/>
        <w:snapToGrid w:val="0"/>
        <w:spacing w:line="560" w:lineRule="exact"/>
        <w:ind w:left="0" w:leftChars="0"/>
        <w:jc w:val="left"/>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第二部分 2025年度部门决算情况说明</w:t>
      </w:r>
      <w:r>
        <w:rPr>
          <w:rFonts w:eastAsia="方正仿宋_GBK"/>
          <w:sz w:val="32"/>
          <w:szCs w:val="32"/>
        </w:rPr>
        <w:t>·······················</w:t>
      </w:r>
      <w:bookmarkStart w:id="36" w:name="OLE_LINK47"/>
      <w:bookmarkStart w:id="37" w:name="OLE_LINK48"/>
      <w:r>
        <w:rPr>
          <w:rFonts w:eastAsia="方正仿宋_GBK"/>
          <w:sz w:val="32"/>
          <w:szCs w:val="32"/>
        </w:rPr>
        <w:t>·</w:t>
      </w:r>
      <w:bookmarkEnd w:id="36"/>
      <w:bookmarkEnd w:id="37"/>
      <w:r>
        <w:rPr>
          <w:rFonts w:eastAsia="方正仿宋_GBK"/>
          <w:sz w:val="32"/>
          <w:szCs w:val="32"/>
        </w:rPr>
        <w:t>·</w:t>
      </w:r>
      <w:r>
        <w:rPr>
          <w:rFonts w:ascii="Times New Roman" w:hAnsi="Times New Roman" w:eastAsia="方正仿宋_GBK"/>
          <w:sz w:val="32"/>
          <w:szCs w:val="32"/>
        </w:rPr>
        <w:t>········</w:t>
      </w:r>
      <w:r>
        <w:rPr>
          <w:rFonts w:eastAsia="方正黑体_GBK"/>
          <w:sz w:val="32"/>
          <w:szCs w:val="32"/>
        </w:rPr>
        <w:t>2</w:t>
      </w:r>
    </w:p>
    <w:p w14:paraId="18ACD6FA">
      <w:pPr>
        <w:pStyle w:val="14"/>
        <w:adjustRightInd w:val="0"/>
        <w:snapToGrid w:val="0"/>
        <w:spacing w:line="560" w:lineRule="exact"/>
        <w:ind w:left="0" w:leftChars="0" w:firstLine="640"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一、收入支出决算总体情况说明</w:t>
      </w:r>
      <w:r>
        <w:rPr>
          <w:rFonts w:eastAsia="方正仿宋_GBK"/>
          <w:sz w:val="32"/>
          <w:szCs w:val="32"/>
        </w:rPr>
        <w:t>··························</w:t>
      </w:r>
      <w:bookmarkStart w:id="38" w:name="OLE_LINK49"/>
      <w:bookmarkStart w:id="39" w:name="OLE_LINK50"/>
      <w:r>
        <w:rPr>
          <w:rFonts w:eastAsia="方正仿宋_GBK"/>
          <w:sz w:val="32"/>
          <w:szCs w:val="32"/>
        </w:rPr>
        <w:t>·</w:t>
      </w:r>
      <w:bookmarkEnd w:id="38"/>
      <w:bookmarkEnd w:id="39"/>
      <w:r>
        <w:rPr>
          <w:rFonts w:eastAsia="方正仿宋_GBK"/>
          <w:sz w:val="32"/>
          <w:szCs w:val="32"/>
        </w:rPr>
        <w:t>·</w:t>
      </w:r>
      <w:r>
        <w:rPr>
          <w:rFonts w:ascii="Times New Roman" w:hAnsi="Times New Roman" w:eastAsia="方正仿宋_GBK"/>
          <w:sz w:val="32"/>
          <w:szCs w:val="32"/>
        </w:rPr>
        <w:t>·········</w:t>
      </w:r>
      <w:r>
        <w:rPr>
          <w:rFonts w:eastAsia="方正仿宋_GBK"/>
          <w:sz w:val="32"/>
          <w:szCs w:val="32"/>
        </w:rPr>
        <w:t>2</w:t>
      </w:r>
    </w:p>
    <w:p w14:paraId="45AA3C74">
      <w:pPr>
        <w:pStyle w:val="14"/>
        <w:adjustRightInd w:val="0"/>
        <w:snapToGrid w:val="0"/>
        <w:spacing w:line="560" w:lineRule="exact"/>
        <w:ind w:left="0" w:leftChars="0" w:firstLine="640"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二、收入决算情况说明</w:t>
      </w:r>
      <w:r>
        <w:rPr>
          <w:rFonts w:eastAsia="方正仿宋_GBK"/>
          <w:sz w:val="32"/>
          <w:szCs w:val="32"/>
        </w:rPr>
        <w:t>·····</w:t>
      </w:r>
      <w:bookmarkStart w:id="40" w:name="OLE_LINK41"/>
      <w:bookmarkStart w:id="41" w:name="OLE_LINK42"/>
      <w:r>
        <w:rPr>
          <w:rFonts w:eastAsia="方正仿宋_GBK"/>
          <w:sz w:val="32"/>
          <w:szCs w:val="32"/>
        </w:rPr>
        <w:t>·································</w:t>
      </w:r>
      <w:bookmarkStart w:id="42" w:name="OLE_LINK52"/>
      <w:bookmarkStart w:id="43" w:name="OLE_LINK51"/>
      <w:r>
        <w:rPr>
          <w:rFonts w:eastAsia="方正仿宋_GBK"/>
          <w:sz w:val="32"/>
          <w:szCs w:val="32"/>
        </w:rPr>
        <w:t>·</w:t>
      </w:r>
      <w:bookmarkEnd w:id="40"/>
      <w:bookmarkEnd w:id="41"/>
      <w:bookmarkEnd w:id="42"/>
      <w:bookmarkEnd w:id="43"/>
      <w:r>
        <w:rPr>
          <w:rFonts w:eastAsia="方正仿宋_GBK"/>
          <w:sz w:val="32"/>
          <w:szCs w:val="32"/>
        </w:rPr>
        <w:t>·</w:t>
      </w:r>
      <w:r>
        <w:rPr>
          <w:rFonts w:ascii="Times New Roman" w:hAnsi="Times New Roman" w:eastAsia="方正仿宋_GBK"/>
          <w:sz w:val="32"/>
          <w:szCs w:val="32"/>
        </w:rPr>
        <w:t>·············</w:t>
      </w:r>
      <w:r>
        <w:rPr>
          <w:rFonts w:eastAsia="方正仿宋_GBK"/>
          <w:sz w:val="32"/>
          <w:szCs w:val="32"/>
        </w:rPr>
        <w:t>2</w:t>
      </w:r>
    </w:p>
    <w:p w14:paraId="6450F91B">
      <w:pPr>
        <w:pStyle w:val="14"/>
        <w:adjustRightInd w:val="0"/>
        <w:snapToGrid w:val="0"/>
        <w:spacing w:line="560" w:lineRule="exact"/>
        <w:ind w:left="0" w:leftChars="0" w:firstLine="640"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三、支出决算情况说明预算</w:t>
      </w:r>
      <w:r>
        <w:rPr>
          <w:rFonts w:eastAsia="方正仿宋_GBK"/>
          <w:sz w:val="32"/>
          <w:szCs w:val="32"/>
        </w:rPr>
        <w:t>··</w:t>
      </w:r>
      <w:bookmarkStart w:id="44" w:name="OLE_LINK69"/>
      <w:bookmarkStart w:id="45" w:name="OLE_LINK68"/>
      <w:r>
        <w:rPr>
          <w:rFonts w:eastAsia="方正仿宋_GBK"/>
          <w:sz w:val="32"/>
          <w:szCs w:val="32"/>
        </w:rPr>
        <w:t>············</w:t>
      </w:r>
      <w:bookmarkStart w:id="46" w:name="OLE_LINK63"/>
      <w:bookmarkStart w:id="47" w:name="OLE_LINK62"/>
      <w:r>
        <w:rPr>
          <w:rFonts w:eastAsia="方正仿宋_GBK"/>
          <w:sz w:val="32"/>
          <w:szCs w:val="32"/>
        </w:rPr>
        <w:t>···</w:t>
      </w:r>
      <w:bookmarkStart w:id="48" w:name="OLE_LINK53"/>
      <w:bookmarkStart w:id="49" w:name="OLE_LINK54"/>
      <w:r>
        <w:rPr>
          <w:rFonts w:eastAsia="方正仿宋_GBK"/>
          <w:sz w:val="32"/>
          <w:szCs w:val="32"/>
        </w:rPr>
        <w:t>················</w:t>
      </w:r>
      <w:bookmarkEnd w:id="46"/>
      <w:bookmarkEnd w:id="47"/>
      <w:r>
        <w:rPr>
          <w:rFonts w:eastAsia="方正仿宋_GBK"/>
          <w:sz w:val="32"/>
          <w:szCs w:val="32"/>
        </w:rPr>
        <w:t>·</w:t>
      </w:r>
      <w:bookmarkEnd w:id="44"/>
      <w:bookmarkEnd w:id="45"/>
      <w:bookmarkEnd w:id="48"/>
      <w:bookmarkEnd w:id="49"/>
      <w:r>
        <w:rPr>
          <w:rFonts w:ascii="Times New Roman" w:hAnsi="Times New Roman" w:eastAsia="方正仿宋_GBK"/>
          <w:sz w:val="32"/>
          <w:szCs w:val="32"/>
        </w:rPr>
        <w:t>···········</w:t>
      </w:r>
      <w:r>
        <w:rPr>
          <w:rFonts w:eastAsia="方正仿宋_GBK"/>
          <w:sz w:val="32"/>
          <w:szCs w:val="32"/>
        </w:rPr>
        <w:t>3</w:t>
      </w:r>
    </w:p>
    <w:p w14:paraId="4FF832FA">
      <w:pPr>
        <w:pStyle w:val="14"/>
        <w:adjustRightInd w:val="0"/>
        <w:snapToGrid w:val="0"/>
        <w:spacing w:line="560" w:lineRule="exact"/>
        <w:ind w:left="0" w:leftChars="0" w:firstLine="640"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四、财政拨款收入支出决算总体情况说明</w:t>
      </w:r>
      <w:r>
        <w:rPr>
          <w:rFonts w:eastAsia="方正仿宋_GBK"/>
          <w:sz w:val="32"/>
          <w:szCs w:val="32"/>
        </w:rPr>
        <w:t>·</w:t>
      </w:r>
      <w:bookmarkStart w:id="50" w:name="OLE_LINK60"/>
      <w:bookmarkStart w:id="51" w:name="OLE_LINK61"/>
      <w:r>
        <w:rPr>
          <w:rFonts w:eastAsia="方正仿宋_GBK"/>
          <w:sz w:val="32"/>
          <w:szCs w:val="32"/>
        </w:rPr>
        <w:t>····</w:t>
      </w:r>
      <w:bookmarkStart w:id="52" w:name="OLE_LINK56"/>
      <w:bookmarkStart w:id="53" w:name="OLE_LINK55"/>
      <w:r>
        <w:rPr>
          <w:rFonts w:eastAsia="方正仿宋_GBK"/>
          <w:sz w:val="32"/>
          <w:szCs w:val="32"/>
        </w:rPr>
        <w:t>···········</w:t>
      </w:r>
      <w:bookmarkEnd w:id="50"/>
      <w:bookmarkEnd w:id="51"/>
      <w:r>
        <w:rPr>
          <w:rFonts w:ascii="Times New Roman" w:hAnsi="Times New Roman" w:eastAsia="方正仿宋_GBK"/>
          <w:sz w:val="32"/>
          <w:szCs w:val="32"/>
        </w:rPr>
        <w:t>·····</w:t>
      </w:r>
      <w:bookmarkEnd w:id="52"/>
      <w:bookmarkEnd w:id="53"/>
      <w:r>
        <w:rPr>
          <w:rFonts w:eastAsia="方正仿宋_GBK"/>
          <w:sz w:val="32"/>
          <w:szCs w:val="32"/>
        </w:rPr>
        <w:t>3</w:t>
      </w:r>
    </w:p>
    <w:p w14:paraId="7B645DA7">
      <w:pPr>
        <w:pStyle w:val="14"/>
        <w:adjustRightInd w:val="0"/>
        <w:snapToGrid w:val="0"/>
        <w:spacing w:line="560" w:lineRule="exact"/>
        <w:ind w:left="0" w:leftChars="0" w:firstLine="640"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五、一般公共预算财政拨款支出决算情况说明</w:t>
      </w:r>
      <w:r>
        <w:rPr>
          <w:rFonts w:eastAsia="方正仿宋_GBK"/>
          <w:sz w:val="32"/>
          <w:szCs w:val="32"/>
        </w:rPr>
        <w:t>·····</w:t>
      </w:r>
      <w:bookmarkStart w:id="54" w:name="OLE_LINK57"/>
      <w:r>
        <w:rPr>
          <w:rFonts w:eastAsia="方正仿宋_GBK"/>
          <w:sz w:val="32"/>
          <w:szCs w:val="32"/>
        </w:rPr>
        <w:t>···</w:t>
      </w:r>
      <w:bookmarkEnd w:id="54"/>
      <w:bookmarkStart w:id="55" w:name="OLE_LINK58"/>
      <w:bookmarkStart w:id="56" w:name="OLE_LINK59"/>
      <w:r>
        <w:rPr>
          <w:rFonts w:eastAsia="方正仿宋_GBK"/>
          <w:sz w:val="32"/>
          <w:szCs w:val="32"/>
        </w:rPr>
        <w:t>·</w:t>
      </w:r>
      <w:bookmarkEnd w:id="55"/>
      <w:bookmarkEnd w:id="56"/>
      <w:r>
        <w:rPr>
          <w:rFonts w:ascii="Times New Roman" w:hAnsi="Times New Roman" w:eastAsia="方正仿宋_GBK"/>
          <w:sz w:val="32"/>
          <w:szCs w:val="32"/>
        </w:rPr>
        <w:t>····</w:t>
      </w:r>
      <w:r>
        <w:rPr>
          <w:rFonts w:eastAsia="方正仿宋_GBK"/>
          <w:sz w:val="32"/>
          <w:szCs w:val="32"/>
        </w:rPr>
        <w:t>4</w:t>
      </w:r>
    </w:p>
    <w:p w14:paraId="433A0084">
      <w:pPr>
        <w:pStyle w:val="14"/>
        <w:adjustRightInd w:val="0"/>
        <w:snapToGrid w:val="0"/>
        <w:spacing w:line="560" w:lineRule="exact"/>
        <w:ind w:left="0" w:leftChars="0" w:firstLine="640"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六、一般公共预算财政拨款基本支出决算情况说明</w:t>
      </w:r>
      <w:r>
        <w:rPr>
          <w:rFonts w:eastAsia="方正仿宋_GBK"/>
          <w:sz w:val="32"/>
          <w:szCs w:val="32"/>
        </w:rPr>
        <w:t>·····7</w:t>
      </w:r>
    </w:p>
    <w:p w14:paraId="708A452F">
      <w:pPr>
        <w:pStyle w:val="14"/>
        <w:adjustRightInd w:val="0"/>
        <w:snapToGrid w:val="0"/>
        <w:spacing w:line="560" w:lineRule="exact"/>
        <w:ind w:left="0" w:leftChars="0" w:firstLine="640"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七、财政拨款“三公”经费支出决算情况说明</w:t>
      </w:r>
      <w:r>
        <w:rPr>
          <w:rFonts w:eastAsia="方正仿宋_GBK"/>
          <w:sz w:val="32"/>
          <w:szCs w:val="32"/>
        </w:rPr>
        <w:t>·············7</w:t>
      </w:r>
    </w:p>
    <w:p w14:paraId="56F9446F">
      <w:pPr>
        <w:pStyle w:val="14"/>
        <w:adjustRightInd w:val="0"/>
        <w:snapToGrid w:val="0"/>
        <w:spacing w:line="560" w:lineRule="exact"/>
        <w:ind w:left="0" w:leftChars="0" w:firstLine="640" w:firstLineChars="200"/>
        <w:jc w:val="left"/>
        <w:rPr>
          <w:rFonts w:eastAsia="方正仿宋_GBK"/>
          <w:sz w:val="32"/>
          <w:szCs w:val="32"/>
        </w:rPr>
      </w:pPr>
      <w:r>
        <w:rPr>
          <w:rFonts w:hint="eastAsia" w:ascii="方正仿宋_GBK" w:hAnsi="方正仿宋_GBK" w:eastAsia="方正仿宋_GBK" w:cs="方正仿宋_GBK"/>
          <w:sz w:val="32"/>
          <w:szCs w:val="32"/>
        </w:rPr>
        <w:t>八、政府性基金预算支出决算情况说明</w:t>
      </w:r>
      <w:r>
        <w:rPr>
          <w:rFonts w:eastAsia="方正仿宋_GBK"/>
          <w:sz w:val="32"/>
          <w:szCs w:val="32"/>
        </w:rPr>
        <w:t>··</w:t>
      </w:r>
      <w:bookmarkStart w:id="57" w:name="OLE_LINK65"/>
      <w:bookmarkStart w:id="58" w:name="OLE_LINK64"/>
      <w:r>
        <w:rPr>
          <w:rFonts w:eastAsia="方正仿宋_GBK"/>
          <w:sz w:val="32"/>
          <w:szCs w:val="32"/>
        </w:rPr>
        <w:t>·················</w:t>
      </w:r>
      <w:bookmarkEnd w:id="57"/>
      <w:bookmarkEnd w:id="58"/>
      <w:r>
        <w:rPr>
          <w:rFonts w:eastAsia="方正仿宋_GBK"/>
          <w:sz w:val="32"/>
          <w:szCs w:val="32"/>
        </w:rPr>
        <w:t>·</w:t>
      </w:r>
      <w:r>
        <w:rPr>
          <w:rFonts w:ascii="Times New Roman" w:hAnsi="Times New Roman" w:eastAsia="方正仿宋_GBK"/>
          <w:sz w:val="32"/>
          <w:szCs w:val="32"/>
        </w:rPr>
        <w:t>·</w:t>
      </w:r>
      <w:r>
        <w:rPr>
          <w:rFonts w:eastAsia="方正仿宋_GBK"/>
          <w:sz w:val="32"/>
          <w:szCs w:val="32"/>
        </w:rPr>
        <w:t>····9</w:t>
      </w:r>
    </w:p>
    <w:p w14:paraId="68E20302">
      <w:pPr>
        <w:pStyle w:val="14"/>
        <w:adjustRightInd w:val="0"/>
        <w:snapToGrid w:val="0"/>
        <w:spacing w:line="560" w:lineRule="exact"/>
        <w:ind w:left="0" w:leftChars="0" w:firstLine="640"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九、国有资本经营预算支出决算情况说明</w:t>
      </w:r>
      <w:r>
        <w:rPr>
          <w:rFonts w:eastAsia="方正仿宋_GBK"/>
          <w:sz w:val="32"/>
          <w:szCs w:val="32"/>
        </w:rPr>
        <w:t>·····················9</w:t>
      </w:r>
    </w:p>
    <w:p w14:paraId="1546C5FE">
      <w:pPr>
        <w:pStyle w:val="14"/>
        <w:adjustRightInd w:val="0"/>
        <w:snapToGrid w:val="0"/>
        <w:spacing w:line="560" w:lineRule="exact"/>
        <w:ind w:left="0" w:leftChars="0" w:firstLine="640"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十、其他重要事项的情况说明</w:t>
      </w:r>
      <w:r>
        <w:rPr>
          <w:rFonts w:eastAsia="方正仿宋_GBK"/>
          <w:sz w:val="32"/>
          <w:szCs w:val="32"/>
        </w:rPr>
        <w:t>········································</w:t>
      </w:r>
      <w:r>
        <w:rPr>
          <w:rFonts w:ascii="Times New Roman" w:hAnsi="Times New Roman" w:eastAsia="方正仿宋_GBK"/>
          <w:sz w:val="32"/>
          <w:szCs w:val="32"/>
        </w:rPr>
        <w:t>·</w:t>
      </w:r>
      <w:r>
        <w:rPr>
          <w:rFonts w:eastAsia="方正仿宋_GBK"/>
          <w:sz w:val="32"/>
          <w:szCs w:val="32"/>
        </w:rPr>
        <w:t>9</w:t>
      </w:r>
    </w:p>
    <w:p w14:paraId="5067B8F0">
      <w:pPr>
        <w:pStyle w:val="12"/>
        <w:adjustRightInd w:val="0"/>
        <w:snapToGrid w:val="0"/>
        <w:spacing w:before="0" w:line="560" w:lineRule="exact"/>
        <w:jc w:val="left"/>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第三部分 名词解释</w:t>
      </w:r>
      <w:r>
        <w:rPr>
          <w:rFonts w:ascii="Times New Roman" w:hAnsi="Times New Roman" w:eastAsia="方正仿宋_GBK"/>
          <w:sz w:val="32"/>
          <w:szCs w:val="32"/>
        </w:rPr>
        <w:t>············································</w:t>
      </w:r>
      <w:bookmarkStart w:id="59" w:name="OLE_LINK84"/>
      <w:bookmarkStart w:id="60" w:name="OLE_LINK85"/>
      <w:r>
        <w:rPr>
          <w:rFonts w:ascii="Times New Roman" w:hAnsi="Times New Roman" w:eastAsia="方正仿宋_GBK"/>
          <w:sz w:val="32"/>
          <w:szCs w:val="32"/>
        </w:rPr>
        <w:t>····</w:t>
      </w:r>
      <w:bookmarkEnd w:id="59"/>
      <w:bookmarkEnd w:id="60"/>
      <w:r>
        <w:rPr>
          <w:rFonts w:ascii="Times New Roman" w:hAnsi="Times New Roman" w:eastAsia="方正仿宋_GBK"/>
          <w:sz w:val="32"/>
          <w:szCs w:val="32"/>
        </w:rPr>
        <w:t>·················</w:t>
      </w:r>
      <w:r>
        <w:rPr>
          <w:rFonts w:ascii="Times New Roman" w:hAnsi="Times New Roman" w:eastAsia="方正黑体_GBK"/>
          <w:sz w:val="32"/>
          <w:szCs w:val="32"/>
        </w:rPr>
        <w:t>11</w:t>
      </w:r>
    </w:p>
    <w:p w14:paraId="7CE49814">
      <w:pPr>
        <w:pStyle w:val="12"/>
        <w:adjustRightInd w:val="0"/>
        <w:snapToGrid w:val="0"/>
        <w:spacing w:before="0" w:line="560" w:lineRule="exact"/>
        <w:jc w:val="left"/>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第四部分 附件</w:t>
      </w:r>
      <w:bookmarkStart w:id="61" w:name="OLE_LINK76"/>
      <w:bookmarkStart w:id="62" w:name="OLE_LINK77"/>
      <w:r>
        <w:rPr>
          <w:rFonts w:ascii="Times New Roman" w:hAnsi="Times New Roman" w:eastAsia="方正仿宋_GBK"/>
          <w:sz w:val="32"/>
          <w:szCs w:val="32"/>
        </w:rPr>
        <w:t>·······</w:t>
      </w:r>
      <w:bookmarkStart w:id="63" w:name="OLE_LINK82"/>
      <w:bookmarkStart w:id="64" w:name="OLE_LINK83"/>
      <w:r>
        <w:rPr>
          <w:rFonts w:ascii="Times New Roman" w:hAnsi="Times New Roman" w:eastAsia="方正仿宋_GBK"/>
          <w:sz w:val="32"/>
          <w:szCs w:val="32"/>
        </w:rPr>
        <w:t>······························</w:t>
      </w:r>
      <w:bookmarkStart w:id="65" w:name="OLE_LINK75"/>
      <w:bookmarkStart w:id="66" w:name="OLE_LINK74"/>
      <w:r>
        <w:rPr>
          <w:rFonts w:ascii="Times New Roman" w:hAnsi="Times New Roman" w:eastAsia="方正仿宋_GBK"/>
          <w:sz w:val="32"/>
          <w:szCs w:val="32"/>
        </w:rPr>
        <w:t>·······</w:t>
      </w:r>
      <w:bookmarkEnd w:id="65"/>
      <w:bookmarkEnd w:id="66"/>
      <w:r>
        <w:rPr>
          <w:rFonts w:ascii="Times New Roman" w:hAnsi="Times New Roman" w:eastAsia="方正仿宋_GBK"/>
          <w:sz w:val="32"/>
          <w:szCs w:val="32"/>
        </w:rPr>
        <w:t>···········</w:t>
      </w:r>
      <w:bookmarkEnd w:id="61"/>
      <w:bookmarkEnd w:id="62"/>
      <w:bookmarkEnd w:id="63"/>
      <w:bookmarkEnd w:id="64"/>
      <w:r>
        <w:rPr>
          <w:rFonts w:ascii="Times New Roman" w:hAnsi="Times New Roman" w:eastAsia="方正仿宋_GBK"/>
          <w:sz w:val="32"/>
          <w:szCs w:val="32"/>
        </w:rPr>
        <w:t>··················</w:t>
      </w:r>
      <w:r>
        <w:rPr>
          <w:rFonts w:ascii="Times New Roman" w:hAnsi="Times New Roman" w:eastAsia="方正黑体_GBK"/>
          <w:sz w:val="32"/>
          <w:szCs w:val="32"/>
        </w:rPr>
        <w:t>13</w:t>
      </w:r>
    </w:p>
    <w:p w14:paraId="2AB91CCB">
      <w:pPr>
        <w:pStyle w:val="12"/>
        <w:adjustRightInd w:val="0"/>
        <w:snapToGrid w:val="0"/>
        <w:spacing w:before="0" w:line="560" w:lineRule="exact"/>
        <w:jc w:val="left"/>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第五部分 附表</w:t>
      </w:r>
      <w:r>
        <w:rPr>
          <w:rFonts w:ascii="Times New Roman" w:hAnsi="Times New Roman" w:eastAsia="方正仿宋_GBK"/>
          <w:sz w:val="32"/>
          <w:szCs w:val="32"/>
        </w:rPr>
        <w:t>················</w:t>
      </w:r>
      <w:bookmarkStart w:id="67" w:name="OLE_LINK81"/>
      <w:bookmarkStart w:id="68" w:name="OLE_LINK80"/>
      <w:r>
        <w:rPr>
          <w:rFonts w:ascii="Times New Roman" w:hAnsi="Times New Roman" w:eastAsia="方正仿宋_GBK"/>
          <w:sz w:val="32"/>
          <w:szCs w:val="32"/>
        </w:rPr>
        <w:t>····························</w:t>
      </w:r>
      <w:bookmarkStart w:id="69" w:name="OLE_LINK79"/>
      <w:bookmarkStart w:id="70" w:name="OLE_LINK78"/>
      <w:r>
        <w:rPr>
          <w:rFonts w:ascii="Times New Roman" w:hAnsi="Times New Roman" w:eastAsia="方正仿宋_GBK"/>
          <w:sz w:val="32"/>
          <w:szCs w:val="32"/>
        </w:rPr>
        <w:t>···</w:t>
      </w:r>
      <w:bookmarkEnd w:id="69"/>
      <w:bookmarkEnd w:id="70"/>
      <w:r>
        <w:rPr>
          <w:rFonts w:ascii="Times New Roman" w:hAnsi="Times New Roman" w:eastAsia="方正仿宋_GBK"/>
          <w:sz w:val="32"/>
          <w:szCs w:val="32"/>
        </w:rPr>
        <w:t>·························</w:t>
      </w:r>
      <w:bookmarkEnd w:id="67"/>
      <w:bookmarkEnd w:id="68"/>
      <w:r>
        <w:rPr>
          <w:rFonts w:ascii="Times New Roman" w:hAnsi="Times New Roman" w:eastAsia="方正仿宋_GBK"/>
          <w:sz w:val="32"/>
          <w:szCs w:val="32"/>
        </w:rPr>
        <w:t>·</w:t>
      </w:r>
      <w:r>
        <w:rPr>
          <w:rFonts w:ascii="Times New Roman" w:hAnsi="Times New Roman" w:eastAsia="方正黑体_GBK"/>
          <w:sz w:val="32"/>
          <w:szCs w:val="32"/>
        </w:rPr>
        <w:t>14</w:t>
      </w:r>
    </w:p>
    <w:p w14:paraId="34213921">
      <w:pPr>
        <w:pStyle w:val="14"/>
        <w:adjustRightInd w:val="0"/>
        <w:snapToGrid w:val="0"/>
        <w:spacing w:line="560" w:lineRule="exact"/>
        <w:ind w:left="0" w:leftChars="0" w:firstLine="640"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一、收入支出决算总表 </w:t>
      </w:r>
      <w:r>
        <w:rPr>
          <w:rFonts w:eastAsia="方正仿宋_GBK"/>
          <w:sz w:val="32"/>
          <w:szCs w:val="32"/>
        </w:rPr>
        <w:t>····································</w:t>
      </w:r>
      <w:r>
        <w:rPr>
          <w:rFonts w:ascii="Times New Roman" w:hAnsi="Times New Roman" w:eastAsia="方正仿宋_GBK"/>
          <w:sz w:val="32"/>
          <w:szCs w:val="32"/>
        </w:rPr>
        <w:t>·········</w:t>
      </w:r>
      <w:r>
        <w:rPr>
          <w:rFonts w:eastAsia="方正仿宋_GBK"/>
          <w:sz w:val="32"/>
          <w:szCs w:val="32"/>
        </w:rPr>
        <w:t>··</w:t>
      </w:r>
      <w:r>
        <w:rPr>
          <w:rFonts w:ascii="Times New Roman" w:hAnsi="Times New Roman" w:eastAsia="方正仿宋_GBK"/>
          <w:sz w:val="32"/>
          <w:szCs w:val="32"/>
        </w:rPr>
        <w:t>··</w:t>
      </w:r>
      <w:r>
        <w:rPr>
          <w:rFonts w:eastAsia="方正仿宋_GBK"/>
          <w:sz w:val="32"/>
          <w:szCs w:val="32"/>
        </w:rPr>
        <w:t>14</w:t>
      </w:r>
    </w:p>
    <w:p w14:paraId="13EC4F3B">
      <w:pPr>
        <w:pStyle w:val="14"/>
        <w:adjustRightInd w:val="0"/>
        <w:snapToGrid w:val="0"/>
        <w:spacing w:line="560" w:lineRule="exact"/>
        <w:ind w:left="0" w:leftChars="0" w:firstLine="640"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二、收入决算表</w:t>
      </w:r>
      <w:r>
        <w:rPr>
          <w:rFonts w:eastAsia="方正仿宋_GBK"/>
          <w:sz w:val="32"/>
          <w:szCs w:val="32"/>
        </w:rPr>
        <w:t>·······</w:t>
      </w:r>
      <w:bookmarkStart w:id="71" w:name="OLE_LINK86"/>
      <w:bookmarkStart w:id="72" w:name="OLE_LINK87"/>
      <w:r>
        <w:rPr>
          <w:rFonts w:eastAsia="方正仿宋_GBK"/>
          <w:sz w:val="32"/>
          <w:szCs w:val="32"/>
        </w:rPr>
        <w:t>·······································</w:t>
      </w:r>
      <w:r>
        <w:rPr>
          <w:rFonts w:ascii="Times New Roman" w:hAnsi="Times New Roman" w:eastAsia="方正仿宋_GBK"/>
          <w:sz w:val="32"/>
          <w:szCs w:val="32"/>
        </w:rPr>
        <w:t>···············</w:t>
      </w:r>
      <w:r>
        <w:rPr>
          <w:rFonts w:eastAsia="方正仿宋_GBK"/>
          <w:sz w:val="32"/>
          <w:szCs w:val="32"/>
        </w:rPr>
        <w:t>··</w:t>
      </w:r>
      <w:bookmarkEnd w:id="71"/>
      <w:bookmarkEnd w:id="72"/>
      <w:r>
        <w:rPr>
          <w:rFonts w:eastAsia="方正仿宋_GBK"/>
          <w:sz w:val="32"/>
          <w:szCs w:val="32"/>
        </w:rPr>
        <w:t>14</w:t>
      </w:r>
    </w:p>
    <w:p w14:paraId="45C244B1">
      <w:pPr>
        <w:pStyle w:val="14"/>
        <w:adjustRightInd w:val="0"/>
        <w:snapToGrid w:val="0"/>
        <w:spacing w:line="560" w:lineRule="exact"/>
        <w:ind w:left="0" w:leftChars="0" w:firstLine="640" w:firstLineChars="200"/>
        <w:jc w:val="left"/>
        <w:rPr>
          <w:rFonts w:ascii="方正仿宋_GBK" w:hAnsi="方正仿宋_GBK" w:eastAsia="方正仿宋_GBK" w:cs="方正仿宋_GBK"/>
          <w:sz w:val="32"/>
          <w:szCs w:val="32"/>
        </w:rPr>
        <w:sectPr>
          <w:footerReference r:id="rId7" w:type="default"/>
          <w:pgSz w:w="11906" w:h="16838"/>
          <w:pgMar w:top="1440" w:right="1800" w:bottom="1440" w:left="1800" w:header="851" w:footer="992" w:gutter="0"/>
          <w:pgNumType w:start="1"/>
          <w:cols w:space="425" w:num="1"/>
          <w:docGrid w:type="lines" w:linePitch="312" w:charSpace="0"/>
        </w:sectPr>
      </w:pPr>
      <w:r>
        <w:rPr>
          <w:rFonts w:hint="eastAsia" w:ascii="方正仿宋_GBK" w:hAnsi="方正仿宋_GBK" w:eastAsia="方正仿宋_GBK" w:cs="方正仿宋_GBK"/>
          <w:sz w:val="32"/>
          <w:szCs w:val="32"/>
        </w:rPr>
        <w:t xml:space="preserve">     </w:t>
      </w:r>
    </w:p>
    <w:p w14:paraId="36218C6A">
      <w:pPr>
        <w:pStyle w:val="14"/>
        <w:adjustRightInd w:val="0"/>
        <w:snapToGrid w:val="0"/>
        <w:spacing w:line="560" w:lineRule="exact"/>
        <w:ind w:left="0" w:leftChars="0" w:firstLine="640"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三、支出决算表</w:t>
      </w:r>
      <w:r>
        <w:rPr>
          <w:rFonts w:eastAsia="方正仿宋_GBK"/>
          <w:sz w:val="32"/>
          <w:szCs w:val="32"/>
        </w:rPr>
        <w:t>·····················</w:t>
      </w:r>
      <w:bookmarkStart w:id="73" w:name="OLE_LINK91"/>
      <w:bookmarkStart w:id="74" w:name="OLE_LINK90"/>
      <w:r>
        <w:rPr>
          <w:rFonts w:eastAsia="方正仿宋_GBK"/>
          <w:sz w:val="32"/>
          <w:szCs w:val="32"/>
        </w:rPr>
        <w:t>··········</w:t>
      </w:r>
      <w:bookmarkStart w:id="75" w:name="OLE_LINK88"/>
      <w:bookmarkStart w:id="76" w:name="OLE_LINK89"/>
      <w:r>
        <w:rPr>
          <w:rFonts w:eastAsia="方正仿宋_GBK"/>
          <w:sz w:val="32"/>
          <w:szCs w:val="32"/>
        </w:rPr>
        <w:t>········</w:t>
      </w:r>
      <w:bookmarkEnd w:id="75"/>
      <w:bookmarkEnd w:id="76"/>
      <w:r>
        <w:rPr>
          <w:rFonts w:eastAsia="方正仿宋_GBK"/>
          <w:sz w:val="32"/>
          <w:szCs w:val="32"/>
        </w:rPr>
        <w:t>·····</w:t>
      </w:r>
      <w:r>
        <w:rPr>
          <w:rFonts w:ascii="Times New Roman" w:hAnsi="Times New Roman" w:eastAsia="方正仿宋_GBK"/>
          <w:sz w:val="32"/>
          <w:szCs w:val="32"/>
        </w:rPr>
        <w:t>··</w:t>
      </w:r>
      <w:r>
        <w:rPr>
          <w:rFonts w:eastAsia="方正仿宋_GBK"/>
          <w:sz w:val="32"/>
          <w:szCs w:val="32"/>
        </w:rPr>
        <w:t>·</w:t>
      </w:r>
      <w:r>
        <w:rPr>
          <w:rFonts w:ascii="Times New Roman" w:hAnsi="Times New Roman" w:eastAsia="方正仿宋_GBK"/>
          <w:sz w:val="32"/>
          <w:szCs w:val="32"/>
        </w:rPr>
        <w:t>··</w:t>
      </w:r>
      <w:r>
        <w:rPr>
          <w:rFonts w:eastAsia="方正仿宋_GBK"/>
          <w:sz w:val="32"/>
          <w:szCs w:val="32"/>
        </w:rPr>
        <w:t>·</w:t>
      </w:r>
      <w:r>
        <w:rPr>
          <w:rFonts w:ascii="Times New Roman" w:hAnsi="Times New Roman" w:eastAsia="方正仿宋_GBK"/>
          <w:sz w:val="32"/>
          <w:szCs w:val="32"/>
        </w:rPr>
        <w:t>········</w:t>
      </w:r>
      <w:r>
        <w:rPr>
          <w:rFonts w:eastAsia="方正仿宋_GBK"/>
          <w:sz w:val="32"/>
          <w:szCs w:val="32"/>
        </w:rPr>
        <w:t>·</w:t>
      </w:r>
      <w:r>
        <w:rPr>
          <w:rFonts w:ascii="Times New Roman" w:hAnsi="Times New Roman" w:eastAsia="方正仿宋_GBK"/>
          <w:sz w:val="32"/>
          <w:szCs w:val="32"/>
        </w:rPr>
        <w:t>··</w:t>
      </w:r>
      <w:r>
        <w:rPr>
          <w:rFonts w:eastAsia="方正仿宋_GBK"/>
          <w:sz w:val="32"/>
          <w:szCs w:val="32"/>
        </w:rPr>
        <w:t>··</w:t>
      </w:r>
      <w:bookmarkEnd w:id="73"/>
      <w:bookmarkEnd w:id="74"/>
      <w:r>
        <w:rPr>
          <w:rFonts w:eastAsia="方正仿宋_GBK"/>
          <w:sz w:val="32"/>
          <w:szCs w:val="32"/>
        </w:rPr>
        <w:t>14</w:t>
      </w:r>
    </w:p>
    <w:p w14:paraId="3EA29C83">
      <w:pPr>
        <w:pStyle w:val="14"/>
        <w:adjustRightInd w:val="0"/>
        <w:snapToGrid w:val="0"/>
        <w:spacing w:line="560" w:lineRule="exact"/>
        <w:ind w:left="0" w:leftChars="0" w:firstLine="640"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四、财政拨款收入支出决算总表</w:t>
      </w:r>
      <w:r>
        <w:rPr>
          <w:rFonts w:eastAsia="方正仿宋_GBK"/>
          <w:sz w:val="32"/>
          <w:szCs w:val="32"/>
        </w:rPr>
        <w:t>···············</w:t>
      </w:r>
      <w:r>
        <w:rPr>
          <w:rFonts w:ascii="Times New Roman" w:hAnsi="Times New Roman" w:eastAsia="方正仿宋_GBK"/>
          <w:sz w:val="32"/>
          <w:szCs w:val="32"/>
        </w:rPr>
        <w:t>··</w:t>
      </w:r>
      <w:r>
        <w:rPr>
          <w:rFonts w:eastAsia="方正仿宋_GBK"/>
          <w:sz w:val="32"/>
          <w:szCs w:val="32"/>
        </w:rPr>
        <w:t>···</w:t>
      </w:r>
      <w:r>
        <w:rPr>
          <w:rFonts w:ascii="Times New Roman" w:hAnsi="Times New Roman" w:eastAsia="方正仿宋_GBK"/>
          <w:sz w:val="32"/>
          <w:szCs w:val="32"/>
        </w:rPr>
        <w:t>·</w:t>
      </w:r>
      <w:r>
        <w:rPr>
          <w:rFonts w:eastAsia="方正仿宋_GBK"/>
          <w:sz w:val="32"/>
          <w:szCs w:val="32"/>
        </w:rPr>
        <w:t>··</w:t>
      </w:r>
      <w:r>
        <w:rPr>
          <w:rFonts w:ascii="Times New Roman" w:hAnsi="Times New Roman" w:eastAsia="方正仿宋_GBK"/>
          <w:sz w:val="32"/>
          <w:szCs w:val="32"/>
        </w:rPr>
        <w:t>··</w:t>
      </w:r>
      <w:r>
        <w:rPr>
          <w:rFonts w:eastAsia="方正仿宋_GBK"/>
          <w:sz w:val="32"/>
          <w:szCs w:val="32"/>
        </w:rPr>
        <w:t>······</w:t>
      </w:r>
      <w:r>
        <w:rPr>
          <w:rFonts w:ascii="Times New Roman" w:hAnsi="Times New Roman" w:eastAsia="方正仿宋_GBK"/>
          <w:sz w:val="32"/>
          <w:szCs w:val="32"/>
        </w:rPr>
        <w:t>··</w:t>
      </w:r>
      <w:r>
        <w:rPr>
          <w:rFonts w:eastAsia="方正仿宋_GBK"/>
          <w:sz w:val="32"/>
          <w:szCs w:val="32"/>
        </w:rPr>
        <w:t>··14</w:t>
      </w:r>
    </w:p>
    <w:p w14:paraId="4C92321C">
      <w:pPr>
        <w:pStyle w:val="14"/>
        <w:adjustRightInd w:val="0"/>
        <w:snapToGrid w:val="0"/>
        <w:spacing w:line="560" w:lineRule="exact"/>
        <w:ind w:left="0" w:leftChars="0" w:firstLine="640"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五、财政拨款支出决算明细表</w:t>
      </w:r>
      <w:r>
        <w:rPr>
          <w:rFonts w:eastAsia="方正仿宋_GBK"/>
          <w:sz w:val="32"/>
          <w:szCs w:val="32"/>
        </w:rPr>
        <w:t>··········</w:t>
      </w:r>
      <w:bookmarkStart w:id="77" w:name="OLE_LINK100"/>
      <w:r>
        <w:rPr>
          <w:rFonts w:eastAsia="方正仿宋_GBK"/>
          <w:sz w:val="32"/>
          <w:szCs w:val="32"/>
        </w:rPr>
        <w:t>·</w:t>
      </w:r>
      <w:bookmarkStart w:id="78" w:name="OLE_LINK93"/>
      <w:bookmarkStart w:id="79" w:name="OLE_LINK92"/>
      <w:r>
        <w:rPr>
          <w:rFonts w:eastAsia="方正仿宋_GBK"/>
          <w:sz w:val="32"/>
          <w:szCs w:val="32"/>
        </w:rPr>
        <w:t>··············</w:t>
      </w:r>
      <w:r>
        <w:rPr>
          <w:rFonts w:ascii="Times New Roman" w:hAnsi="Times New Roman" w:eastAsia="方正仿宋_GBK"/>
          <w:sz w:val="32"/>
          <w:szCs w:val="32"/>
        </w:rPr>
        <w:t>····</w:t>
      </w:r>
      <w:r>
        <w:rPr>
          <w:rFonts w:eastAsia="方正仿宋_GBK"/>
          <w:sz w:val="32"/>
          <w:szCs w:val="32"/>
        </w:rPr>
        <w:t>···</w:t>
      </w:r>
      <w:bookmarkEnd w:id="77"/>
      <w:bookmarkEnd w:id="78"/>
      <w:bookmarkEnd w:id="79"/>
      <w:r>
        <w:rPr>
          <w:rFonts w:ascii="Times New Roman" w:hAnsi="Times New Roman" w:eastAsia="方正仿宋_GBK"/>
          <w:sz w:val="32"/>
          <w:szCs w:val="32"/>
        </w:rPr>
        <w:t>··</w:t>
      </w:r>
      <w:r>
        <w:rPr>
          <w:rFonts w:eastAsia="方正仿宋_GBK"/>
          <w:sz w:val="32"/>
          <w:szCs w:val="32"/>
        </w:rPr>
        <w:t>··</w:t>
      </w:r>
      <w:r>
        <w:rPr>
          <w:rFonts w:ascii="Times New Roman" w:hAnsi="Times New Roman" w:eastAsia="方正仿宋_GBK"/>
          <w:sz w:val="32"/>
          <w:szCs w:val="32"/>
        </w:rPr>
        <w:t>··</w:t>
      </w:r>
      <w:r>
        <w:rPr>
          <w:rFonts w:eastAsia="方正仿宋_GBK"/>
          <w:sz w:val="32"/>
          <w:szCs w:val="32"/>
        </w:rPr>
        <w:t>·14</w:t>
      </w:r>
    </w:p>
    <w:p w14:paraId="62BB7DDE">
      <w:pPr>
        <w:pStyle w:val="14"/>
        <w:adjustRightInd w:val="0"/>
        <w:snapToGrid w:val="0"/>
        <w:spacing w:line="560" w:lineRule="exact"/>
        <w:ind w:left="0" w:leftChars="0" w:firstLine="640"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六、一般公共预算财政拨款支出决算表</w:t>
      </w:r>
      <w:r>
        <w:rPr>
          <w:rFonts w:eastAsia="方正仿宋_GBK"/>
          <w:sz w:val="32"/>
          <w:szCs w:val="32"/>
        </w:rPr>
        <w:t>······</w:t>
      </w:r>
      <w:bookmarkStart w:id="80" w:name="OLE_LINK94"/>
      <w:bookmarkStart w:id="81" w:name="OLE_LINK95"/>
      <w:r>
        <w:rPr>
          <w:rFonts w:eastAsia="方正仿宋_GBK"/>
          <w:sz w:val="32"/>
          <w:szCs w:val="32"/>
        </w:rPr>
        <w:t>····</w:t>
      </w:r>
      <w:r>
        <w:rPr>
          <w:rFonts w:ascii="Times New Roman" w:hAnsi="Times New Roman" w:eastAsia="方正仿宋_GBK"/>
          <w:sz w:val="32"/>
          <w:szCs w:val="32"/>
        </w:rPr>
        <w:t>··</w:t>
      </w:r>
      <w:r>
        <w:rPr>
          <w:rFonts w:eastAsia="方正仿宋_GBK"/>
          <w:sz w:val="32"/>
          <w:szCs w:val="32"/>
        </w:rPr>
        <w:t>··</w:t>
      </w:r>
      <w:r>
        <w:rPr>
          <w:rFonts w:ascii="Times New Roman" w:hAnsi="Times New Roman" w:eastAsia="方正仿宋_GBK"/>
          <w:sz w:val="32"/>
          <w:szCs w:val="32"/>
        </w:rPr>
        <w:t>··</w:t>
      </w:r>
      <w:r>
        <w:rPr>
          <w:rFonts w:eastAsia="方正仿宋_GBK"/>
          <w:sz w:val="32"/>
          <w:szCs w:val="32"/>
        </w:rPr>
        <w:t>·····</w:t>
      </w:r>
      <w:bookmarkEnd w:id="80"/>
      <w:bookmarkEnd w:id="81"/>
      <w:r>
        <w:rPr>
          <w:rFonts w:eastAsia="方正仿宋_GBK"/>
          <w:sz w:val="32"/>
          <w:szCs w:val="32"/>
        </w:rPr>
        <w:t>··14</w:t>
      </w:r>
    </w:p>
    <w:p w14:paraId="37A51FEE">
      <w:pPr>
        <w:pStyle w:val="14"/>
        <w:adjustRightInd w:val="0"/>
        <w:snapToGrid w:val="0"/>
        <w:spacing w:line="560" w:lineRule="exact"/>
        <w:ind w:left="0" w:leftChars="0" w:firstLine="640"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七、一般公共预算财政拨款支出决算明细表</w:t>
      </w:r>
      <w:r>
        <w:rPr>
          <w:rFonts w:eastAsia="方正仿宋_GBK"/>
          <w:sz w:val="32"/>
          <w:szCs w:val="32"/>
        </w:rPr>
        <w:t>········</w:t>
      </w:r>
      <w:r>
        <w:rPr>
          <w:rFonts w:ascii="Times New Roman" w:hAnsi="Times New Roman" w:eastAsia="方正仿宋_GBK"/>
          <w:sz w:val="32"/>
          <w:szCs w:val="32"/>
        </w:rPr>
        <w:t>··</w:t>
      </w:r>
      <w:r>
        <w:rPr>
          <w:rFonts w:eastAsia="方正仿宋_GBK"/>
          <w:sz w:val="32"/>
          <w:szCs w:val="32"/>
        </w:rPr>
        <w:t>·····14</w:t>
      </w:r>
    </w:p>
    <w:p w14:paraId="0CBB3111">
      <w:pPr>
        <w:pStyle w:val="14"/>
        <w:adjustRightInd w:val="0"/>
        <w:snapToGrid w:val="0"/>
        <w:spacing w:line="560" w:lineRule="exact"/>
        <w:ind w:left="0" w:leftChars="0" w:firstLine="640"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八、一般公共预算财政拨款基本支出决算明细表</w:t>
      </w:r>
      <w:r>
        <w:rPr>
          <w:rFonts w:eastAsia="方正仿宋_GBK"/>
          <w:sz w:val="32"/>
          <w:szCs w:val="32"/>
        </w:rPr>
        <w:t>···</w:t>
      </w:r>
      <w:r>
        <w:rPr>
          <w:rFonts w:ascii="Times New Roman" w:hAnsi="Times New Roman" w:eastAsia="方正仿宋_GBK"/>
          <w:sz w:val="32"/>
          <w:szCs w:val="32"/>
        </w:rPr>
        <w:t>··</w:t>
      </w:r>
      <w:r>
        <w:rPr>
          <w:rFonts w:eastAsia="方正仿宋_GBK"/>
          <w:sz w:val="32"/>
          <w:szCs w:val="32"/>
        </w:rPr>
        <w:t>··14</w:t>
      </w:r>
    </w:p>
    <w:p w14:paraId="39F94809">
      <w:pPr>
        <w:pStyle w:val="14"/>
        <w:adjustRightInd w:val="0"/>
        <w:snapToGrid w:val="0"/>
        <w:spacing w:line="560" w:lineRule="exact"/>
        <w:ind w:left="0" w:leftChars="0" w:firstLine="640"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九、一般公共预算财政拨款项目支出决算表</w:t>
      </w:r>
      <w:r>
        <w:rPr>
          <w:rFonts w:eastAsia="方正仿宋_GBK"/>
          <w:sz w:val="32"/>
          <w:szCs w:val="32"/>
        </w:rPr>
        <w:t>··</w:t>
      </w:r>
      <w:bookmarkStart w:id="82" w:name="OLE_LINK96"/>
      <w:bookmarkStart w:id="83" w:name="OLE_LINK97"/>
      <w:r>
        <w:rPr>
          <w:rFonts w:eastAsia="方正仿宋_GBK"/>
          <w:sz w:val="32"/>
          <w:szCs w:val="32"/>
        </w:rPr>
        <w:t>·········</w:t>
      </w:r>
      <w:bookmarkEnd w:id="82"/>
      <w:bookmarkEnd w:id="83"/>
      <w:r>
        <w:rPr>
          <w:rFonts w:ascii="Times New Roman" w:hAnsi="Times New Roman" w:eastAsia="方正仿宋_GBK"/>
          <w:sz w:val="32"/>
          <w:szCs w:val="32"/>
        </w:rPr>
        <w:t>··</w:t>
      </w:r>
      <w:r>
        <w:rPr>
          <w:rFonts w:eastAsia="方正仿宋_GBK"/>
          <w:sz w:val="32"/>
          <w:szCs w:val="32"/>
        </w:rPr>
        <w:t>··14</w:t>
      </w:r>
    </w:p>
    <w:p w14:paraId="44BE6F7B">
      <w:pPr>
        <w:pStyle w:val="14"/>
        <w:adjustRightInd w:val="0"/>
        <w:snapToGrid w:val="0"/>
        <w:spacing w:line="560" w:lineRule="exact"/>
        <w:ind w:left="0" w:leftChars="0" w:firstLine="640"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十、政府性基金预算财政拨款收入支出决算表</w:t>
      </w:r>
      <w:r>
        <w:rPr>
          <w:rFonts w:eastAsia="方正仿宋_GBK"/>
          <w:sz w:val="32"/>
          <w:szCs w:val="32"/>
        </w:rPr>
        <w:t>·····</w:t>
      </w:r>
      <w:bookmarkStart w:id="84" w:name="OLE_LINK99"/>
      <w:bookmarkStart w:id="85" w:name="OLE_LINK98"/>
      <w:r>
        <w:rPr>
          <w:rFonts w:eastAsia="方正仿宋_GBK"/>
          <w:sz w:val="32"/>
          <w:szCs w:val="32"/>
        </w:rPr>
        <w:t>··</w:t>
      </w:r>
      <w:r>
        <w:rPr>
          <w:rFonts w:ascii="Times New Roman" w:hAnsi="Times New Roman" w:eastAsia="方正仿宋_GBK"/>
          <w:sz w:val="32"/>
          <w:szCs w:val="32"/>
        </w:rPr>
        <w:t>··</w:t>
      </w:r>
      <w:r>
        <w:rPr>
          <w:rFonts w:eastAsia="方正仿宋_GBK"/>
          <w:sz w:val="32"/>
          <w:szCs w:val="32"/>
        </w:rPr>
        <w:t>··</w:t>
      </w:r>
      <w:bookmarkEnd w:id="84"/>
      <w:bookmarkEnd w:id="85"/>
      <w:r>
        <w:rPr>
          <w:rFonts w:eastAsia="方正仿宋_GBK"/>
          <w:sz w:val="32"/>
          <w:szCs w:val="32"/>
        </w:rPr>
        <w:t>14</w:t>
      </w:r>
    </w:p>
    <w:p w14:paraId="53D0955F">
      <w:pPr>
        <w:pStyle w:val="14"/>
        <w:adjustRightInd w:val="0"/>
        <w:snapToGrid w:val="0"/>
        <w:spacing w:line="560" w:lineRule="exact"/>
        <w:ind w:left="0" w:leftChars="0" w:firstLine="640"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十一、国有资本经营预算财政拨款收入支出决算表</w:t>
      </w:r>
      <w:r>
        <w:rPr>
          <w:rFonts w:eastAsia="方正仿宋_GBK"/>
          <w:sz w:val="32"/>
          <w:szCs w:val="32"/>
        </w:rPr>
        <w:t>···14</w:t>
      </w:r>
    </w:p>
    <w:p w14:paraId="4E39AFAD">
      <w:pPr>
        <w:pStyle w:val="14"/>
        <w:adjustRightInd w:val="0"/>
        <w:snapToGrid w:val="0"/>
        <w:spacing w:line="560" w:lineRule="exact"/>
        <w:ind w:left="0" w:leftChars="0" w:firstLine="640"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十二、国有资本经营预算财政拨款支出决算表</w:t>
      </w:r>
      <w:r>
        <w:rPr>
          <w:rFonts w:eastAsia="方正仿宋_GBK"/>
          <w:sz w:val="32"/>
          <w:szCs w:val="32"/>
        </w:rPr>
        <w:t>·····</w:t>
      </w:r>
      <w:r>
        <w:rPr>
          <w:rFonts w:ascii="Times New Roman" w:hAnsi="Times New Roman" w:eastAsia="方正仿宋_GBK"/>
          <w:sz w:val="32"/>
          <w:szCs w:val="32"/>
        </w:rPr>
        <w:t>··</w:t>
      </w:r>
      <w:r>
        <w:rPr>
          <w:rFonts w:eastAsia="方正仿宋_GBK"/>
          <w:sz w:val="32"/>
          <w:szCs w:val="32"/>
        </w:rPr>
        <w:t>····14</w:t>
      </w:r>
    </w:p>
    <w:p w14:paraId="1903F78C">
      <w:pPr>
        <w:pStyle w:val="14"/>
        <w:adjustRightInd w:val="0"/>
        <w:snapToGrid w:val="0"/>
        <w:spacing w:line="560" w:lineRule="exact"/>
        <w:ind w:left="0" w:leftChars="0" w:firstLine="640"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十三、财政拨款“三公”经费支出决算表</w:t>
      </w:r>
      <w:r>
        <w:rPr>
          <w:rFonts w:eastAsia="方正仿宋_GBK"/>
          <w:sz w:val="32"/>
          <w:szCs w:val="32"/>
        </w:rPr>
        <w:t>···············</w:t>
      </w:r>
      <w:bookmarkStart w:id="86" w:name="OLE_LINK102"/>
      <w:bookmarkStart w:id="87" w:name="OLE_LINK101"/>
      <w:r>
        <w:rPr>
          <w:rFonts w:eastAsia="方正仿宋_GBK"/>
          <w:sz w:val="32"/>
          <w:szCs w:val="32"/>
        </w:rPr>
        <w:t>··</w:t>
      </w:r>
      <w:bookmarkEnd w:id="86"/>
      <w:bookmarkEnd w:id="87"/>
      <w:r>
        <w:rPr>
          <w:rFonts w:eastAsia="方正仿宋_GBK"/>
          <w:sz w:val="32"/>
          <w:szCs w:val="32"/>
        </w:rPr>
        <w:t>··14</w:t>
      </w:r>
    </w:p>
    <w:p w14:paraId="5ECCD3E7">
      <w:pPr>
        <w:pStyle w:val="2"/>
        <w:spacing w:before="0" w:after="0" w:line="600" w:lineRule="exact"/>
        <w:jc w:val="center"/>
        <w:rPr>
          <w:rFonts w:ascii="方正小标宋_GBK" w:hAnsi="方正小标宋_GBK" w:eastAsia="方正小标宋_GBK" w:cs="方正小标宋_GBK"/>
          <w:bCs w:val="0"/>
        </w:rPr>
        <w:sectPr>
          <w:footerReference r:id="rId8" w:type="default"/>
          <w:pgSz w:w="11906" w:h="16838"/>
          <w:pgMar w:top="1440" w:right="1800" w:bottom="1440" w:left="1800" w:header="851" w:footer="992" w:gutter="0"/>
          <w:pgNumType w:start="1"/>
          <w:cols w:space="425" w:num="1"/>
          <w:docGrid w:type="lines" w:linePitch="312" w:charSpace="0"/>
        </w:sectPr>
      </w:pPr>
      <w:bookmarkStart w:id="88" w:name="_Toc15396599"/>
      <w:bookmarkStart w:id="89" w:name="_Toc15377196"/>
    </w:p>
    <w:p w14:paraId="36DCA6AA">
      <w:pPr>
        <w:pStyle w:val="2"/>
        <w:spacing w:before="0" w:after="0" w:line="600" w:lineRule="exact"/>
        <w:jc w:val="center"/>
        <w:rPr>
          <w:rStyle w:val="28"/>
          <w:rFonts w:ascii="方正小标宋_GBK" w:hAnsi="方正小标宋_GBK" w:eastAsia="方正小标宋_GBK" w:cs="方正小标宋_GBK"/>
          <w:b/>
          <w:bCs w:val="0"/>
        </w:rPr>
      </w:pPr>
      <w:r>
        <w:rPr>
          <w:rFonts w:hint="eastAsia" w:ascii="方正小标宋_GBK" w:hAnsi="方正小标宋_GBK" w:eastAsia="方正小标宋_GBK" w:cs="方正小标宋_GBK"/>
          <w:bCs w:val="0"/>
        </w:rPr>
        <w:t xml:space="preserve">第一部分  </w:t>
      </w:r>
      <w:r>
        <w:rPr>
          <w:rStyle w:val="28"/>
          <w:rFonts w:hint="eastAsia" w:ascii="方正小标宋_GBK" w:hAnsi="方正小标宋_GBK" w:eastAsia="方正小标宋_GBK" w:cs="方正小标宋_GBK"/>
          <w:b/>
          <w:bCs w:val="0"/>
        </w:rPr>
        <w:t>部门概况</w:t>
      </w:r>
      <w:bookmarkEnd w:id="88"/>
      <w:bookmarkEnd w:id="89"/>
    </w:p>
    <w:p w14:paraId="48A22D57">
      <w:pPr>
        <w:widowControl/>
        <w:spacing w:line="600" w:lineRule="exact"/>
        <w:jc w:val="left"/>
        <w:rPr>
          <w:rFonts w:eastAsia="黑体"/>
          <w:sz w:val="32"/>
          <w:szCs w:val="32"/>
        </w:rPr>
      </w:pPr>
    </w:p>
    <w:p w14:paraId="1D39BE99">
      <w:pPr>
        <w:pStyle w:val="3"/>
        <w:spacing w:before="0" w:after="0" w:line="600" w:lineRule="exact"/>
        <w:ind w:left="-660" w:firstLine="1280" w:firstLineChars="400"/>
        <w:rPr>
          <w:rFonts w:ascii="方正黑体_GBK" w:hAnsi="方正黑体_GBK" w:eastAsia="方正黑体_GBK" w:cs="方正黑体_GBK"/>
          <w:b w:val="0"/>
        </w:rPr>
      </w:pPr>
      <w:r>
        <w:rPr>
          <w:rFonts w:hint="eastAsia" w:ascii="方正黑体_GBK" w:hAnsi="方正黑体_GBK" w:eastAsia="方正黑体_GBK" w:cs="方正黑体_GBK"/>
          <w:b w:val="0"/>
        </w:rPr>
        <w:t>一、单位职责</w:t>
      </w:r>
    </w:p>
    <w:p w14:paraId="5227A557">
      <w:pPr>
        <w:pStyle w:val="3"/>
        <w:spacing w:before="0" w:after="0" w:line="600" w:lineRule="exact"/>
        <w:ind w:firstLine="640" w:firstLineChars="200"/>
        <w:rPr>
          <w:rStyle w:val="29"/>
          <w:rFonts w:ascii="方正仿宋_GBK" w:hAnsi="方正仿宋_GBK" w:eastAsia="方正仿宋_GBK" w:cs="方正仿宋_GBK"/>
          <w:b w:val="0"/>
          <w:bCs w:val="0"/>
        </w:rPr>
      </w:pPr>
      <w:r>
        <w:rPr>
          <w:rStyle w:val="29"/>
          <w:rFonts w:hint="eastAsia" w:ascii="方正仿宋_GBK" w:hAnsi="方正仿宋_GBK" w:eastAsia="方正仿宋_GBK" w:cs="方正仿宋_GBK"/>
          <w:b w:val="0"/>
          <w:bCs w:val="0"/>
        </w:rPr>
        <w:t>（一）负责宣传、贯彻落实殡葬改革的法律法规和方针政策；承担遗体接运、暂存、火化和骨灰寄存等基本殡葬服务和骨灰安葬服务；执行惠民殡葬政策，开展节地生态安葬，推行殡葬移风易俗；丰富和完善殡葬服务，提供非基本殡葬服务。</w:t>
      </w:r>
    </w:p>
    <w:p w14:paraId="691236CD">
      <w:pPr>
        <w:pStyle w:val="3"/>
        <w:spacing w:before="0" w:after="0" w:line="600" w:lineRule="exact"/>
        <w:ind w:firstLine="640" w:firstLineChars="200"/>
        <w:rPr>
          <w:rStyle w:val="29"/>
          <w:rFonts w:ascii="方正仿宋_GBK" w:hAnsi="方正仿宋_GBK" w:eastAsia="方正仿宋_GBK" w:cs="方正仿宋_GBK"/>
          <w:b w:val="0"/>
          <w:bCs w:val="0"/>
        </w:rPr>
      </w:pPr>
      <w:r>
        <w:rPr>
          <w:rStyle w:val="29"/>
          <w:rFonts w:hint="eastAsia" w:ascii="方正仿宋_GBK" w:hAnsi="方正仿宋_GBK" w:eastAsia="方正仿宋_GBK" w:cs="方正仿宋_GBK"/>
          <w:b w:val="0"/>
          <w:bCs w:val="0"/>
        </w:rPr>
        <w:t>（二）完成市民政局交办的其他任务。</w:t>
      </w:r>
      <w:bookmarkStart w:id="90" w:name="_Toc15396601"/>
      <w:bookmarkStart w:id="91" w:name="_Toc15377200"/>
    </w:p>
    <w:p w14:paraId="699CDDD4">
      <w:pPr>
        <w:pStyle w:val="3"/>
        <w:spacing w:before="0" w:after="0" w:line="600" w:lineRule="exact"/>
        <w:ind w:firstLine="640" w:firstLineChars="200"/>
        <w:rPr>
          <w:rStyle w:val="29"/>
          <w:rFonts w:ascii="方正黑体_GBK" w:hAnsi="方正黑体_GBK" w:eastAsia="方正黑体_GBK" w:cs="方正黑体_GBK"/>
          <w:b w:val="0"/>
          <w:bCs w:val="0"/>
        </w:rPr>
      </w:pPr>
      <w:r>
        <w:rPr>
          <w:rFonts w:hint="eastAsia" w:ascii="方正黑体_GBK" w:hAnsi="方正黑体_GBK" w:eastAsia="方正黑体_GBK" w:cs="方正黑体_GBK"/>
          <w:b w:val="0"/>
        </w:rPr>
        <w:t>二、机</w:t>
      </w:r>
      <w:r>
        <w:rPr>
          <w:rStyle w:val="29"/>
          <w:rFonts w:hint="eastAsia" w:ascii="方正黑体_GBK" w:hAnsi="方正黑体_GBK" w:eastAsia="方正黑体_GBK" w:cs="方正黑体_GBK"/>
          <w:b w:val="0"/>
          <w:bCs w:val="0"/>
        </w:rPr>
        <w:t>构设置</w:t>
      </w:r>
      <w:bookmarkEnd w:id="90"/>
      <w:bookmarkEnd w:id="91"/>
    </w:p>
    <w:p w14:paraId="61B1DC7F">
      <w:pPr>
        <w:pStyle w:val="3"/>
        <w:spacing w:before="0" w:after="0" w:line="600" w:lineRule="exact"/>
        <w:ind w:firstLine="640" w:firstLineChars="200"/>
        <w:rPr>
          <w:rStyle w:val="29"/>
          <w:rFonts w:hint="default" w:ascii="Times New Roman" w:hAnsi="Times New Roman" w:eastAsia="方正仿宋_GBK" w:cs="Times New Roman"/>
          <w:b w:val="0"/>
          <w:bCs w:val="0"/>
        </w:rPr>
      </w:pPr>
      <w:r>
        <w:rPr>
          <w:rStyle w:val="29"/>
          <w:rFonts w:hint="default" w:ascii="Times New Roman" w:hAnsi="Times New Roman" w:eastAsia="方正仿宋_GBK" w:cs="Times New Roman"/>
          <w:b w:val="0"/>
          <w:bCs w:val="0"/>
        </w:rPr>
        <w:t>攀枝花市殡葬服务中心是攀枝花市民政局下属公益二类事业单位，共设置办公室、火化股、驾驶股、业务股、公墓股5个股室。</w:t>
      </w:r>
    </w:p>
    <w:p w14:paraId="3192F215">
      <w:pPr>
        <w:widowControl/>
        <w:spacing w:line="600" w:lineRule="exact"/>
        <w:jc w:val="left"/>
        <w:rPr>
          <w:rFonts w:ascii="方正仿宋_GBK" w:hAnsi="方正仿宋_GBK" w:eastAsia="方正仿宋_GBK" w:cs="方正仿宋_GBK"/>
          <w:kern w:val="0"/>
          <w:sz w:val="32"/>
          <w:szCs w:val="32"/>
        </w:rPr>
      </w:pPr>
      <w:r>
        <w:rPr>
          <w:rFonts w:hint="eastAsia" w:ascii="方正仿宋_GBK" w:hAnsi="方正仿宋_GBK" w:eastAsia="方正仿宋_GBK" w:cs="方正仿宋_GBK"/>
          <w:sz w:val="32"/>
          <w:szCs w:val="32"/>
        </w:rPr>
        <w:br w:type="page"/>
      </w:r>
    </w:p>
    <w:p w14:paraId="691B625F">
      <w:pPr>
        <w:pStyle w:val="2"/>
        <w:spacing w:before="0" w:after="0" w:line="600" w:lineRule="exact"/>
        <w:jc w:val="center"/>
        <w:rPr>
          <w:rFonts w:ascii="方正小标宋_GBK" w:hAnsi="方正小标宋_GBK" w:eastAsia="方正小标宋_GBK" w:cs="方正小标宋_GBK"/>
          <w:bCs w:val="0"/>
        </w:rPr>
      </w:pPr>
      <w:bookmarkStart w:id="92" w:name="_Toc15377204"/>
      <w:bookmarkStart w:id="93" w:name="_Toc15396602"/>
      <w:r>
        <w:rPr>
          <w:rFonts w:hint="eastAsia" w:ascii="方正小标宋_GBK" w:hAnsi="方正小标宋_GBK" w:eastAsia="方正小标宋_GBK" w:cs="方正小标宋_GBK"/>
          <w:bCs w:val="0"/>
        </w:rPr>
        <w:t>第二部分  2025年度部门决算情况说明</w:t>
      </w:r>
      <w:bookmarkEnd w:id="92"/>
      <w:bookmarkEnd w:id="93"/>
    </w:p>
    <w:p w14:paraId="05D8CEE8">
      <w:pPr>
        <w:spacing w:line="600" w:lineRule="exact"/>
      </w:pPr>
    </w:p>
    <w:p w14:paraId="20D6678A">
      <w:pPr>
        <w:pStyle w:val="27"/>
        <w:spacing w:line="600" w:lineRule="exact"/>
        <w:ind w:firstLine="640"/>
        <w:outlineLvl w:val="1"/>
        <w:rPr>
          <w:rStyle w:val="29"/>
          <w:rFonts w:ascii="方正黑体_GBK" w:hAnsi="方正黑体_GBK" w:eastAsia="方正黑体_GBK" w:cs="方正黑体_GBK"/>
          <w:b w:val="0"/>
          <w:bCs w:val="0"/>
        </w:rPr>
      </w:pPr>
      <w:bookmarkStart w:id="94" w:name="_Toc15396603"/>
      <w:bookmarkStart w:id="95" w:name="_Toc15377205"/>
      <w:r>
        <w:rPr>
          <w:rFonts w:hint="eastAsia" w:ascii="方正黑体_GBK" w:hAnsi="方正黑体_GBK" w:eastAsia="方正黑体_GBK" w:cs="方正黑体_GBK"/>
          <w:sz w:val="32"/>
          <w:szCs w:val="32"/>
        </w:rPr>
        <w:t>一、收</w:t>
      </w:r>
      <w:r>
        <w:rPr>
          <w:rStyle w:val="29"/>
          <w:rFonts w:hint="eastAsia" w:ascii="方正黑体_GBK" w:hAnsi="方正黑体_GBK" w:eastAsia="方正黑体_GBK" w:cs="方正黑体_GBK"/>
          <w:b w:val="0"/>
          <w:bCs w:val="0"/>
        </w:rPr>
        <w:t>入支出决算总体情况说明</w:t>
      </w:r>
      <w:bookmarkEnd w:id="94"/>
      <w:bookmarkEnd w:id="95"/>
    </w:p>
    <w:p w14:paraId="25017036">
      <w:pPr>
        <w:pStyle w:val="27"/>
        <w:spacing w:line="600" w:lineRule="exact"/>
        <w:ind w:firstLine="640"/>
        <w:outlineLvl w:val="1"/>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2025年度收入、支出总计均为1234.05万元。与上年度相比，收入、支出总计各减少214.29万元，下降14.8%。主要变动原因是</w:t>
      </w:r>
      <w:bookmarkStart w:id="96" w:name="OLE_LINK2"/>
      <w:bookmarkStart w:id="97" w:name="OLE_LINK1"/>
      <w:r>
        <w:rPr>
          <w:rFonts w:hint="default" w:ascii="Times New Roman" w:hAnsi="Times New Roman" w:eastAsia="方正仿宋_GBK" w:cs="Times New Roman"/>
          <w:sz w:val="32"/>
          <w:szCs w:val="32"/>
        </w:rPr>
        <w:t>殡葬业务运行费支出减少</w:t>
      </w:r>
      <w:bookmarkEnd w:id="96"/>
      <w:bookmarkEnd w:id="97"/>
      <w:r>
        <w:rPr>
          <w:rFonts w:hint="default" w:ascii="Times New Roman" w:hAnsi="Times New Roman" w:eastAsia="方正仿宋_GBK" w:cs="Times New Roman"/>
          <w:sz w:val="32"/>
          <w:szCs w:val="32"/>
        </w:rPr>
        <w:t>。</w:t>
      </w:r>
    </w:p>
    <w:p w14:paraId="13973AD8">
      <w:pPr>
        <w:pStyle w:val="27"/>
        <w:spacing w:line="600" w:lineRule="exact"/>
        <w:ind w:firstLine="640"/>
        <w:outlineLvl w:val="1"/>
        <w:rPr>
          <w:rFonts w:eastAsia="仿宋_GB2312" w:cs="仿宋_GB2312"/>
          <w:sz w:val="32"/>
          <w:szCs w:val="32"/>
        </w:rPr>
      </w:pPr>
      <w:r>
        <w:rPr>
          <w:rFonts w:eastAsia="仿宋_GB2312" w:cs="仿宋_GB2312"/>
          <w:sz w:val="32"/>
          <w:szCs w:val="32"/>
        </w:rPr>
        <w:drawing>
          <wp:anchor distT="0" distB="0" distL="0" distR="0" simplePos="0" relativeHeight="251659264" behindDoc="1" locked="0" layoutInCell="1" allowOverlap="1">
            <wp:simplePos x="0" y="0"/>
            <wp:positionH relativeFrom="column">
              <wp:posOffset>454025</wp:posOffset>
            </wp:positionH>
            <wp:positionV relativeFrom="paragraph">
              <wp:posOffset>247650</wp:posOffset>
            </wp:positionV>
            <wp:extent cx="4648200" cy="2743200"/>
            <wp:effectExtent l="19050" t="0" r="19050" b="0"/>
            <wp:wrapNone/>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46EDB628">
      <w:pPr>
        <w:pStyle w:val="27"/>
        <w:spacing w:line="600" w:lineRule="exact"/>
        <w:ind w:firstLine="1120" w:firstLineChars="350"/>
        <w:outlineLvl w:val="1"/>
        <w:rPr>
          <w:rFonts w:eastAsia="仿宋_GB2312" w:cs="仿宋_GB2312"/>
          <w:sz w:val="32"/>
          <w:szCs w:val="32"/>
        </w:rPr>
      </w:pPr>
    </w:p>
    <w:p w14:paraId="11D3C7A4">
      <w:pPr>
        <w:pStyle w:val="27"/>
        <w:spacing w:line="600" w:lineRule="exact"/>
        <w:ind w:firstLine="1120" w:firstLineChars="350"/>
        <w:outlineLvl w:val="1"/>
        <w:rPr>
          <w:rFonts w:eastAsia="仿宋_GB2312" w:cs="仿宋_GB2312"/>
          <w:sz w:val="32"/>
          <w:szCs w:val="32"/>
        </w:rPr>
      </w:pPr>
    </w:p>
    <w:p w14:paraId="6ABAFF6B">
      <w:pPr>
        <w:pStyle w:val="27"/>
        <w:spacing w:line="600" w:lineRule="exact"/>
        <w:ind w:firstLine="1120" w:firstLineChars="350"/>
        <w:outlineLvl w:val="1"/>
        <w:rPr>
          <w:rFonts w:eastAsia="仿宋_GB2312" w:cs="仿宋_GB2312"/>
          <w:sz w:val="32"/>
          <w:szCs w:val="32"/>
        </w:rPr>
      </w:pPr>
    </w:p>
    <w:p w14:paraId="5B8DE09E">
      <w:pPr>
        <w:pStyle w:val="27"/>
        <w:spacing w:line="600" w:lineRule="exact"/>
        <w:ind w:firstLine="1120" w:firstLineChars="350"/>
        <w:outlineLvl w:val="1"/>
        <w:rPr>
          <w:rFonts w:eastAsia="仿宋_GB2312" w:cs="仿宋_GB2312"/>
          <w:sz w:val="32"/>
          <w:szCs w:val="32"/>
        </w:rPr>
      </w:pPr>
    </w:p>
    <w:p w14:paraId="7ACA972B">
      <w:pPr>
        <w:pStyle w:val="27"/>
        <w:spacing w:line="600" w:lineRule="exact"/>
        <w:ind w:firstLine="1120" w:firstLineChars="350"/>
        <w:outlineLvl w:val="1"/>
        <w:rPr>
          <w:rFonts w:eastAsia="仿宋_GB2312" w:cs="仿宋_GB2312"/>
          <w:sz w:val="32"/>
          <w:szCs w:val="32"/>
        </w:rPr>
      </w:pPr>
    </w:p>
    <w:p w14:paraId="3AA34C97">
      <w:pPr>
        <w:pStyle w:val="27"/>
        <w:spacing w:line="600" w:lineRule="exact"/>
        <w:ind w:firstLine="1120" w:firstLineChars="350"/>
        <w:outlineLvl w:val="1"/>
        <w:rPr>
          <w:rFonts w:eastAsia="仿宋_GB2312" w:cs="仿宋_GB2312"/>
          <w:sz w:val="32"/>
          <w:szCs w:val="32"/>
        </w:rPr>
      </w:pPr>
    </w:p>
    <w:p w14:paraId="26C1DB56">
      <w:pPr>
        <w:pStyle w:val="27"/>
        <w:spacing w:line="600" w:lineRule="exact"/>
        <w:ind w:firstLine="1120" w:firstLineChars="350"/>
        <w:outlineLvl w:val="1"/>
        <w:rPr>
          <w:rFonts w:eastAsia="仿宋_GB2312" w:cs="仿宋_GB2312"/>
          <w:sz w:val="32"/>
          <w:szCs w:val="32"/>
        </w:rPr>
      </w:pPr>
    </w:p>
    <w:p w14:paraId="5C5CBF7B">
      <w:pPr>
        <w:pStyle w:val="27"/>
        <w:spacing w:line="600" w:lineRule="exact"/>
        <w:ind w:firstLine="1120" w:firstLineChars="350"/>
        <w:outlineLvl w:val="1"/>
        <w:rPr>
          <w:rFonts w:eastAsia="方正仿宋_GBK"/>
          <w:sz w:val="32"/>
          <w:szCs w:val="32"/>
        </w:rPr>
      </w:pPr>
      <w:r>
        <w:rPr>
          <w:rFonts w:eastAsia="方正仿宋_GBK"/>
          <w:sz w:val="32"/>
          <w:szCs w:val="32"/>
        </w:rPr>
        <w:t>（图1：收入、支出决算总计变动情况图）</w:t>
      </w:r>
    </w:p>
    <w:p w14:paraId="12BD4F27">
      <w:pPr>
        <w:pStyle w:val="27"/>
        <w:spacing w:line="600" w:lineRule="exact"/>
        <w:ind w:firstLine="640"/>
        <w:outlineLvl w:val="1"/>
        <w:rPr>
          <w:rFonts w:ascii="方正黑体_GBK" w:hAnsi="方正黑体_GBK" w:eastAsia="方正黑体_GBK" w:cs="方正黑体_GBK"/>
          <w:sz w:val="32"/>
          <w:szCs w:val="32"/>
        </w:rPr>
      </w:pPr>
      <w:bookmarkStart w:id="98" w:name="_Toc15396604"/>
      <w:bookmarkStart w:id="99" w:name="_Toc15377206"/>
      <w:r>
        <w:rPr>
          <w:rFonts w:hint="eastAsia" w:ascii="方正黑体_GBK" w:hAnsi="方正黑体_GBK" w:eastAsia="方正黑体_GBK" w:cs="方正黑体_GBK"/>
          <w:sz w:val="32"/>
          <w:szCs w:val="32"/>
        </w:rPr>
        <w:t>二、收入决算情况说明</w:t>
      </w:r>
      <w:bookmarkEnd w:id="98"/>
      <w:bookmarkEnd w:id="99"/>
    </w:p>
    <w:p w14:paraId="3525E0B3">
      <w:pPr>
        <w:pStyle w:val="27"/>
        <w:spacing w:line="600" w:lineRule="exact"/>
        <w:ind w:firstLine="640"/>
        <w:outlineLvl w:val="1"/>
        <w:rPr>
          <w:rFonts w:eastAsia="仿宋_GB2312" w:cs="仿宋_GB2312"/>
          <w:sz w:val="32"/>
          <w:szCs w:val="32"/>
        </w:rPr>
      </w:pPr>
      <w:r>
        <w:rPr>
          <w:rFonts w:eastAsia="方正仿宋_GBK"/>
          <w:sz w:val="32"/>
          <w:szCs w:val="32"/>
        </w:rPr>
        <w:t>2025年度本年收入合计1234.05万元，其中：一般公共预算财政拨款收入1209.65万元，占98%；政府性基金预算财政拨款收入24.4万元，占</w:t>
      </w:r>
      <w:r>
        <w:rPr>
          <w:rFonts w:hint="eastAsia" w:eastAsia="方正仿宋_GBK"/>
          <w:sz w:val="32"/>
          <w:szCs w:val="32"/>
        </w:rPr>
        <w:t>2</w:t>
      </w:r>
      <w:r>
        <w:rPr>
          <w:rFonts w:eastAsia="方正仿宋_GBK"/>
          <w:sz w:val="32"/>
          <w:szCs w:val="32"/>
        </w:rPr>
        <w:t>%。</w:t>
      </w:r>
    </w:p>
    <w:p w14:paraId="6487720C">
      <w:pPr>
        <w:spacing w:line="360" w:lineRule="auto"/>
        <w:ind w:firstLine="210" w:firstLineChars="100"/>
        <w:outlineLvl w:val="1"/>
        <w:rPr>
          <w:rFonts w:eastAsia="方正仿宋_GBK"/>
          <w:sz w:val="32"/>
          <w:szCs w:val="32"/>
        </w:rPr>
      </w:pPr>
      <w:r>
        <w:drawing>
          <wp:inline distT="0" distB="0" distL="0" distR="0">
            <wp:extent cx="4648200" cy="2743200"/>
            <wp:effectExtent l="19050" t="0" r="19050" b="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73CE8F2">
      <w:pPr>
        <w:pStyle w:val="27"/>
        <w:spacing w:line="600" w:lineRule="exact"/>
        <w:ind w:firstLine="2080" w:firstLineChars="650"/>
        <w:outlineLvl w:val="1"/>
        <w:rPr>
          <w:rFonts w:eastAsia="方正仿宋_GBK"/>
          <w:sz w:val="32"/>
          <w:szCs w:val="32"/>
        </w:rPr>
      </w:pPr>
      <w:r>
        <w:rPr>
          <w:rFonts w:eastAsia="方正仿宋_GBK"/>
          <w:sz w:val="32"/>
          <w:szCs w:val="32"/>
        </w:rPr>
        <w:t>（图2：收入决算结构图）</w:t>
      </w:r>
    </w:p>
    <w:p w14:paraId="71435567">
      <w:pPr>
        <w:pStyle w:val="27"/>
        <w:spacing w:line="600" w:lineRule="exact"/>
        <w:ind w:firstLine="640"/>
        <w:outlineLvl w:val="1"/>
        <w:rPr>
          <w:rStyle w:val="29"/>
          <w:rFonts w:ascii="Times New Roman" w:hAnsi="Times New Roman" w:eastAsia="黑体"/>
          <w:b w:val="0"/>
        </w:rPr>
      </w:pPr>
      <w:bookmarkStart w:id="100" w:name="_Toc15377207"/>
      <w:bookmarkStart w:id="101" w:name="_Toc15396605"/>
      <w:r>
        <w:rPr>
          <w:rFonts w:hint="eastAsia" w:eastAsia="黑体"/>
          <w:sz w:val="32"/>
          <w:szCs w:val="32"/>
        </w:rPr>
        <w:t>三、支</w:t>
      </w:r>
      <w:r>
        <w:rPr>
          <w:rStyle w:val="29"/>
          <w:rFonts w:hint="eastAsia" w:ascii="Times New Roman" w:hAnsi="Times New Roman" w:eastAsia="黑体"/>
          <w:b w:val="0"/>
        </w:rPr>
        <w:t>出决算情况说明</w:t>
      </w:r>
      <w:bookmarkEnd w:id="100"/>
      <w:bookmarkEnd w:id="101"/>
    </w:p>
    <w:p w14:paraId="50F4A972">
      <w:pPr>
        <w:pStyle w:val="27"/>
        <w:spacing w:line="600" w:lineRule="exact"/>
        <w:ind w:firstLine="640"/>
        <w:outlineLvl w:val="1"/>
        <w:rPr>
          <w:rFonts w:eastAsia="仿宋_GB2312" w:cs="仿宋_GB2312"/>
          <w:sz w:val="32"/>
          <w:szCs w:val="32"/>
        </w:rPr>
      </w:pPr>
      <w:r>
        <w:rPr>
          <w:rFonts w:hint="eastAsia" w:eastAsia="仿宋_GB2312" w:cs="仿宋_GB2312"/>
          <w:sz w:val="32"/>
          <w:szCs w:val="32"/>
        </w:rPr>
        <w:t>2025年度本年支出合计1234.05万元，其中：基本支出672.02万元，占54.5%；项目支出562.03万元，占45.5%。</w:t>
      </w:r>
    </w:p>
    <w:p w14:paraId="3B8B0CC1">
      <w:pPr>
        <w:pStyle w:val="27"/>
        <w:spacing w:line="360" w:lineRule="auto"/>
        <w:ind w:firstLine="640"/>
        <w:outlineLvl w:val="1"/>
        <w:rPr>
          <w:rFonts w:eastAsia="仿宋_GB2312" w:cs="仿宋_GB2312"/>
          <w:sz w:val="32"/>
          <w:szCs w:val="32"/>
        </w:rPr>
      </w:pPr>
      <w:r>
        <w:rPr>
          <w:rFonts w:eastAsia="仿宋_GB2312" w:cs="仿宋_GB2312"/>
          <w:sz w:val="32"/>
          <w:szCs w:val="32"/>
        </w:rPr>
        <w:drawing>
          <wp:inline distT="0" distB="0" distL="0" distR="0">
            <wp:extent cx="4648200" cy="2743200"/>
            <wp:effectExtent l="19050" t="0" r="19050" b="0"/>
            <wp:docPr id="8"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D2AF19E">
      <w:pPr>
        <w:pStyle w:val="27"/>
        <w:spacing w:line="600" w:lineRule="exact"/>
        <w:ind w:firstLine="1440" w:firstLineChars="450"/>
        <w:outlineLvl w:val="1"/>
        <w:rPr>
          <w:rFonts w:eastAsia="仿宋_GB2312" w:cs="仿宋_GB2312"/>
          <w:sz w:val="32"/>
          <w:szCs w:val="32"/>
        </w:rPr>
      </w:pPr>
      <w:r>
        <w:rPr>
          <w:rFonts w:hint="eastAsia" w:eastAsia="仿宋_GB2312" w:cs="仿宋_GB2312"/>
          <w:sz w:val="32"/>
          <w:szCs w:val="32"/>
        </w:rPr>
        <w:t>（图3：支出决算结构图）</w:t>
      </w:r>
    </w:p>
    <w:p w14:paraId="5B6C790B">
      <w:pPr>
        <w:spacing w:line="600" w:lineRule="exact"/>
        <w:ind w:firstLine="640" w:firstLineChars="200"/>
        <w:outlineLvl w:val="1"/>
        <w:rPr>
          <w:rStyle w:val="29"/>
          <w:rFonts w:ascii="Times New Roman" w:hAnsi="Times New Roman" w:eastAsia="黑体"/>
          <w:b w:val="0"/>
        </w:rPr>
      </w:pPr>
      <w:bookmarkStart w:id="102" w:name="_Toc15396606"/>
      <w:bookmarkStart w:id="103" w:name="_Toc15377208"/>
      <w:r>
        <w:rPr>
          <w:rFonts w:hint="eastAsia" w:eastAsia="黑体"/>
          <w:sz w:val="32"/>
          <w:szCs w:val="32"/>
        </w:rPr>
        <w:t>四、财</w:t>
      </w:r>
      <w:r>
        <w:rPr>
          <w:rStyle w:val="29"/>
          <w:rFonts w:hint="eastAsia" w:ascii="Times New Roman" w:hAnsi="Times New Roman" w:eastAsia="黑体"/>
          <w:b w:val="0"/>
        </w:rPr>
        <w:t>政拨款收入支出决算总体情况说明</w:t>
      </w:r>
      <w:bookmarkEnd w:id="102"/>
      <w:bookmarkEnd w:id="103"/>
    </w:p>
    <w:p w14:paraId="20A9E522">
      <w:pPr>
        <w:spacing w:line="600" w:lineRule="exact"/>
        <w:ind w:firstLine="640"/>
        <w:rPr>
          <w:rFonts w:eastAsia="方正仿宋_GBK"/>
          <w:sz w:val="32"/>
          <w:szCs w:val="32"/>
        </w:rPr>
      </w:pPr>
      <w:r>
        <w:rPr>
          <w:rFonts w:eastAsia="方正仿宋_GBK"/>
          <w:sz w:val="32"/>
          <w:szCs w:val="32"/>
        </w:rPr>
        <w:t>2025年度财政拨款收入、支出总计均为1234.05万元。与上年度相比，财政拨款收入、支出总计各减少214.29万元，下降14.8%。主要变动原因是殡葬业务运行费支出减少。</w:t>
      </w:r>
    </w:p>
    <w:p w14:paraId="67B3E174">
      <w:pPr>
        <w:pStyle w:val="7"/>
        <w:spacing w:after="0" w:line="360" w:lineRule="auto"/>
        <w:ind w:left="0" w:leftChars="0"/>
      </w:pPr>
      <w:r>
        <w:drawing>
          <wp:inline distT="0" distB="0" distL="0" distR="0">
            <wp:extent cx="4648200" cy="2990850"/>
            <wp:effectExtent l="19050" t="0" r="19050" b="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C480A83">
      <w:pPr>
        <w:spacing w:line="600" w:lineRule="exact"/>
        <w:ind w:firstLine="1120" w:firstLineChars="350"/>
        <w:rPr>
          <w:rFonts w:eastAsia="方正仿宋_GBK"/>
          <w:sz w:val="32"/>
          <w:szCs w:val="32"/>
        </w:rPr>
      </w:pPr>
      <w:r>
        <w:rPr>
          <w:rFonts w:eastAsia="方正仿宋_GBK"/>
          <w:sz w:val="32"/>
          <w:szCs w:val="32"/>
        </w:rPr>
        <w:t>（图4：财政拨款收、支决算总计变动情况）</w:t>
      </w:r>
    </w:p>
    <w:p w14:paraId="0DE362C2">
      <w:pPr>
        <w:spacing w:line="600" w:lineRule="exact"/>
        <w:ind w:firstLine="640" w:firstLineChars="200"/>
        <w:outlineLvl w:val="1"/>
        <w:rPr>
          <w:rStyle w:val="29"/>
          <w:rFonts w:ascii="方正黑体_GBK" w:hAnsi="方正黑体_GBK" w:eastAsia="方正黑体_GBK" w:cs="方正黑体_GBK"/>
          <w:b w:val="0"/>
        </w:rPr>
      </w:pPr>
      <w:bookmarkStart w:id="104" w:name="_Toc15377209"/>
      <w:bookmarkStart w:id="105" w:name="_Toc15396607"/>
      <w:r>
        <w:rPr>
          <w:rFonts w:hint="eastAsia" w:ascii="方正黑体_GBK" w:hAnsi="方正黑体_GBK" w:eastAsia="方正黑体_GBK" w:cs="方正黑体_GBK"/>
          <w:sz w:val="32"/>
          <w:szCs w:val="32"/>
        </w:rPr>
        <w:t>五、</w:t>
      </w:r>
      <w:r>
        <w:rPr>
          <w:rFonts w:hint="eastAsia" w:ascii="方正黑体_GBK" w:hAnsi="方正黑体_GBK" w:eastAsia="方正黑体_GBK" w:cs="方正黑体_GBK"/>
          <w:b/>
          <w:sz w:val="32"/>
          <w:szCs w:val="32"/>
        </w:rPr>
        <w:t>一</w:t>
      </w:r>
      <w:r>
        <w:rPr>
          <w:rStyle w:val="29"/>
          <w:rFonts w:hint="eastAsia" w:ascii="方正黑体_GBK" w:hAnsi="方正黑体_GBK" w:eastAsia="方正黑体_GBK" w:cs="方正黑体_GBK"/>
          <w:b w:val="0"/>
        </w:rPr>
        <w:t>般公共预算财政拨款支出决算情况说明</w:t>
      </w:r>
      <w:bookmarkEnd w:id="104"/>
      <w:bookmarkEnd w:id="105"/>
    </w:p>
    <w:p w14:paraId="292E2371">
      <w:pPr>
        <w:spacing w:line="600" w:lineRule="exact"/>
        <w:ind w:firstLine="643" w:firstLineChars="200"/>
        <w:outlineLvl w:val="2"/>
        <w:rPr>
          <w:rFonts w:eastAsia="楷体_GB2312" w:cs="楷体_GB2312"/>
          <w:b/>
          <w:sz w:val="32"/>
          <w:szCs w:val="32"/>
        </w:rPr>
      </w:pPr>
      <w:bookmarkStart w:id="106" w:name="_Toc15377210"/>
      <w:r>
        <w:rPr>
          <w:rFonts w:hint="eastAsia" w:eastAsia="楷体_GB2312" w:cs="楷体_GB2312"/>
          <w:b/>
          <w:sz w:val="32"/>
          <w:szCs w:val="32"/>
        </w:rPr>
        <w:t>（一）一般公共预算财政拨款支出决算总体情况</w:t>
      </w:r>
      <w:bookmarkEnd w:id="106"/>
    </w:p>
    <w:p w14:paraId="61D02F21">
      <w:pPr>
        <w:spacing w:line="600" w:lineRule="exact"/>
        <w:ind w:firstLine="640"/>
        <w:rPr>
          <w:rFonts w:eastAsia="仿宋_GB2312" w:cs="仿宋_GB2312"/>
          <w:sz w:val="32"/>
          <w:szCs w:val="32"/>
        </w:rPr>
      </w:pPr>
      <w:r>
        <w:rPr>
          <w:rFonts w:eastAsia="方正仿宋_GBK"/>
          <w:sz w:val="32"/>
          <w:szCs w:val="32"/>
        </w:rPr>
        <w:t>2025年度一般公共预算财政拨款支出1209.65万元，占本年支出合计的98%。与上年度相比，一般公共预算财政拨款支出减少178.69万元，下降12.</w:t>
      </w:r>
      <w:r>
        <w:rPr>
          <w:rFonts w:hint="eastAsia" w:eastAsia="方正仿宋_GBK"/>
          <w:sz w:val="32"/>
          <w:szCs w:val="32"/>
        </w:rPr>
        <w:t>9</w:t>
      </w:r>
      <w:r>
        <w:rPr>
          <w:rFonts w:eastAsia="方正仿宋_GBK"/>
          <w:sz w:val="32"/>
          <w:szCs w:val="32"/>
        </w:rPr>
        <w:t>%。主要变动原因是殡葬业务运行费支出减少。</w:t>
      </w:r>
    </w:p>
    <w:p w14:paraId="39C5E2DC">
      <w:pPr>
        <w:pStyle w:val="13"/>
        <w:jc w:val="center"/>
      </w:pPr>
      <w:r>
        <w:drawing>
          <wp:inline distT="0" distB="0" distL="0" distR="0">
            <wp:extent cx="4648200" cy="2743200"/>
            <wp:effectExtent l="4445" t="4445" r="14605" b="14605"/>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A949E2A">
      <w:pPr>
        <w:spacing w:line="600" w:lineRule="exact"/>
        <w:ind w:firstLine="640"/>
        <w:rPr>
          <w:rFonts w:eastAsia="方正仿宋_GBK"/>
          <w:sz w:val="32"/>
          <w:szCs w:val="32"/>
        </w:rPr>
      </w:pPr>
      <w:r>
        <w:rPr>
          <w:rFonts w:eastAsia="方正仿宋_GBK"/>
          <w:sz w:val="32"/>
          <w:szCs w:val="32"/>
        </w:rPr>
        <w:t>（图5：一般公共预算财政拨款支出决算变动情况）</w:t>
      </w:r>
    </w:p>
    <w:p w14:paraId="40721FF8">
      <w:pPr>
        <w:spacing w:line="600" w:lineRule="exact"/>
        <w:ind w:firstLine="643" w:firstLineChars="200"/>
        <w:outlineLvl w:val="2"/>
        <w:rPr>
          <w:rFonts w:eastAsia="楷体_GB2312" w:cs="楷体_GB2312"/>
          <w:b/>
          <w:sz w:val="32"/>
          <w:szCs w:val="32"/>
        </w:rPr>
      </w:pPr>
      <w:bookmarkStart w:id="107" w:name="_Toc15377211"/>
      <w:r>
        <w:rPr>
          <w:rFonts w:hint="eastAsia" w:eastAsia="楷体_GB2312" w:cs="楷体_GB2312"/>
          <w:b/>
          <w:sz w:val="32"/>
          <w:szCs w:val="32"/>
        </w:rPr>
        <w:t>（二）一般公共预算财政拨款支出决算结构情况</w:t>
      </w:r>
      <w:bookmarkEnd w:id="107"/>
    </w:p>
    <w:p w14:paraId="1F4A3BBD">
      <w:pPr>
        <w:spacing w:line="600" w:lineRule="exact"/>
        <w:ind w:firstLine="640"/>
        <w:rPr>
          <w:rFonts w:eastAsia="方正仿宋_GBK"/>
          <w:sz w:val="32"/>
          <w:szCs w:val="32"/>
        </w:rPr>
      </w:pPr>
      <w:r>
        <w:rPr>
          <w:rFonts w:eastAsia="方正仿宋_GBK"/>
          <w:sz w:val="32"/>
          <w:szCs w:val="32"/>
        </w:rPr>
        <w:t>2025年度一般公共预算财政拨款支出1209.65万元，主要用于以下方面：一般公共服务支出2.43万元，占0.2%；社会保障和就业支出1126.05万元，占</w:t>
      </w:r>
      <w:bookmarkStart w:id="108" w:name="OLE_LINK8"/>
      <w:bookmarkStart w:id="109" w:name="OLE_LINK7"/>
      <w:r>
        <w:rPr>
          <w:rFonts w:eastAsia="方正仿宋_GBK"/>
          <w:sz w:val="32"/>
          <w:szCs w:val="32"/>
        </w:rPr>
        <w:t>93.</w:t>
      </w:r>
      <w:r>
        <w:rPr>
          <w:rFonts w:hint="eastAsia" w:eastAsia="方正仿宋_GBK"/>
          <w:sz w:val="32"/>
          <w:szCs w:val="32"/>
        </w:rPr>
        <w:t>1</w:t>
      </w:r>
      <w:r>
        <w:rPr>
          <w:rFonts w:eastAsia="方正仿宋_GBK"/>
          <w:sz w:val="32"/>
          <w:szCs w:val="32"/>
        </w:rPr>
        <w:t>%</w:t>
      </w:r>
      <w:bookmarkEnd w:id="108"/>
      <w:bookmarkEnd w:id="109"/>
      <w:r>
        <w:rPr>
          <w:rFonts w:eastAsia="方正仿宋_GBK"/>
          <w:sz w:val="32"/>
          <w:szCs w:val="32"/>
        </w:rPr>
        <w:t>；卫生健康支出34.31万元，占2.8%；住房保障支出46.86万元，占3.</w:t>
      </w:r>
      <w:r>
        <w:rPr>
          <w:rFonts w:hint="eastAsia" w:eastAsia="方正仿宋_GBK"/>
          <w:sz w:val="32"/>
          <w:szCs w:val="32"/>
        </w:rPr>
        <w:t>9</w:t>
      </w:r>
      <w:r>
        <w:rPr>
          <w:rFonts w:eastAsia="方正仿宋_GBK"/>
          <w:sz w:val="32"/>
          <w:szCs w:val="32"/>
        </w:rPr>
        <w:t>%。</w:t>
      </w:r>
    </w:p>
    <w:p w14:paraId="6C311890">
      <w:pPr>
        <w:pStyle w:val="13"/>
        <w:jc w:val="center"/>
      </w:pPr>
      <w:r>
        <w:drawing>
          <wp:inline distT="0" distB="0" distL="0" distR="0">
            <wp:extent cx="4572000" cy="3076575"/>
            <wp:effectExtent l="19050" t="0" r="19050" b="0"/>
            <wp:docPr id="9"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0A67E0E">
      <w:pPr>
        <w:pStyle w:val="13"/>
      </w:pPr>
    </w:p>
    <w:p w14:paraId="175E12C2">
      <w:pPr>
        <w:spacing w:line="600" w:lineRule="exact"/>
        <w:ind w:firstLine="640"/>
        <w:rPr>
          <w:rFonts w:eastAsia="方正仿宋_GBK"/>
          <w:sz w:val="32"/>
          <w:szCs w:val="32"/>
        </w:rPr>
      </w:pPr>
      <w:r>
        <w:rPr>
          <w:rFonts w:eastAsia="方正仿宋_GBK"/>
          <w:sz w:val="32"/>
          <w:szCs w:val="32"/>
        </w:rPr>
        <w:t>（图6：一般公共预算财政拨款支出决算结构）</w:t>
      </w:r>
    </w:p>
    <w:p w14:paraId="35E3FA68">
      <w:pPr>
        <w:spacing w:line="600" w:lineRule="exact"/>
        <w:ind w:firstLine="643" w:firstLineChars="200"/>
        <w:outlineLvl w:val="2"/>
        <w:rPr>
          <w:rFonts w:eastAsia="楷体_GB2312" w:cs="楷体_GB2312"/>
          <w:b/>
          <w:sz w:val="32"/>
          <w:szCs w:val="32"/>
        </w:rPr>
      </w:pPr>
      <w:bookmarkStart w:id="110" w:name="_Toc15377212"/>
      <w:r>
        <w:rPr>
          <w:rFonts w:hint="eastAsia" w:eastAsia="楷体_GB2312" w:cs="楷体_GB2312"/>
          <w:b/>
          <w:sz w:val="32"/>
          <w:szCs w:val="32"/>
        </w:rPr>
        <w:t>（三）一般公共预算财政拨款支出决算具体情况</w:t>
      </w:r>
      <w:bookmarkEnd w:id="110"/>
    </w:p>
    <w:p w14:paraId="57E26348">
      <w:pPr>
        <w:spacing w:line="600" w:lineRule="exact"/>
        <w:ind w:firstLine="640"/>
        <w:rPr>
          <w:rFonts w:eastAsia="方正仿宋_GBK"/>
          <w:sz w:val="32"/>
          <w:szCs w:val="32"/>
        </w:rPr>
      </w:pPr>
      <w:bookmarkStart w:id="111" w:name="_Toc15377444"/>
      <w:bookmarkStart w:id="112" w:name="_Toc15377213"/>
      <w:bookmarkStart w:id="113" w:name="_Toc15378460"/>
      <w:r>
        <w:rPr>
          <w:rFonts w:eastAsia="方正仿宋_GBK"/>
          <w:sz w:val="32"/>
          <w:szCs w:val="32"/>
        </w:rPr>
        <w:t>2025年度一般公共预算支出决算数为1209.65万元，完成预算9</w:t>
      </w:r>
      <w:r>
        <w:rPr>
          <w:rFonts w:hint="eastAsia" w:eastAsia="方正仿宋_GBK"/>
          <w:sz w:val="32"/>
          <w:szCs w:val="32"/>
        </w:rPr>
        <w:t>8</w:t>
      </w:r>
      <w:r>
        <w:rPr>
          <w:rFonts w:eastAsia="方正仿宋_GBK"/>
          <w:sz w:val="32"/>
          <w:szCs w:val="32"/>
        </w:rPr>
        <w:t>%。其中：</w:t>
      </w:r>
      <w:bookmarkEnd w:id="111"/>
      <w:bookmarkEnd w:id="112"/>
      <w:bookmarkEnd w:id="113"/>
    </w:p>
    <w:p w14:paraId="5B1197E9">
      <w:pPr>
        <w:spacing w:line="600" w:lineRule="exact"/>
        <w:ind w:firstLine="640"/>
        <w:rPr>
          <w:rFonts w:eastAsia="方正仿宋_GBK"/>
          <w:sz w:val="32"/>
          <w:szCs w:val="32"/>
        </w:rPr>
      </w:pPr>
      <w:r>
        <w:rPr>
          <w:rFonts w:eastAsia="方正仿宋_GBK"/>
          <w:b/>
          <w:bCs/>
          <w:sz w:val="32"/>
          <w:szCs w:val="32"/>
        </w:rPr>
        <w:t>1.一般公共服务支出（类）组织事务（款）其他组织事务支出（项）：</w:t>
      </w:r>
      <w:r>
        <w:rPr>
          <w:rFonts w:eastAsia="方正仿宋_GBK"/>
          <w:sz w:val="32"/>
          <w:szCs w:val="32"/>
        </w:rPr>
        <w:t>支出决算为2.43万元，完成预算100%。</w:t>
      </w:r>
    </w:p>
    <w:p w14:paraId="6DCA1535">
      <w:pPr>
        <w:spacing w:line="600" w:lineRule="exact"/>
        <w:ind w:firstLine="643" w:firstLineChars="200"/>
        <w:rPr>
          <w:rStyle w:val="17"/>
          <w:rFonts w:eastAsia="方正仿宋_GBK"/>
          <w:b w:val="0"/>
          <w:bCs/>
          <w:sz w:val="32"/>
          <w:szCs w:val="32"/>
        </w:rPr>
      </w:pPr>
      <w:r>
        <w:rPr>
          <w:rStyle w:val="17"/>
          <w:rFonts w:eastAsia="方正仿宋_GBK"/>
          <w:sz w:val="32"/>
          <w:szCs w:val="32"/>
        </w:rPr>
        <w:t xml:space="preserve">2.社会保障和就业支出（类）行政事业单位养老支出（款） 事业单位离退休（项）: </w:t>
      </w:r>
      <w:r>
        <w:rPr>
          <w:rStyle w:val="17"/>
          <w:rFonts w:eastAsia="方正仿宋_GBK"/>
          <w:b w:val="0"/>
          <w:bCs/>
          <w:sz w:val="32"/>
          <w:szCs w:val="32"/>
        </w:rPr>
        <w:t>支出决算为32.28万元，完成预算100%，决算数等于预算数。</w:t>
      </w:r>
    </w:p>
    <w:p w14:paraId="111339D3">
      <w:pPr>
        <w:spacing w:line="600" w:lineRule="exact"/>
        <w:ind w:firstLine="643" w:firstLineChars="200"/>
        <w:rPr>
          <w:rStyle w:val="17"/>
          <w:rFonts w:eastAsia="方正仿宋_GBK"/>
          <w:b w:val="0"/>
          <w:bCs/>
          <w:sz w:val="32"/>
          <w:szCs w:val="32"/>
        </w:rPr>
      </w:pPr>
      <w:r>
        <w:rPr>
          <w:rStyle w:val="17"/>
          <w:rFonts w:eastAsia="方正仿宋_GBK"/>
          <w:sz w:val="32"/>
          <w:szCs w:val="32"/>
        </w:rPr>
        <w:t>3.社会保障和就业支出（类）</w:t>
      </w:r>
      <w:bookmarkStart w:id="114" w:name="OLE_LINK13"/>
      <w:bookmarkStart w:id="115" w:name="OLE_LINK14"/>
      <w:r>
        <w:rPr>
          <w:rStyle w:val="17"/>
          <w:rFonts w:eastAsia="方正仿宋_GBK"/>
          <w:sz w:val="32"/>
          <w:szCs w:val="32"/>
        </w:rPr>
        <w:t>行政事业单位养老支出</w:t>
      </w:r>
      <w:bookmarkEnd w:id="114"/>
      <w:bookmarkEnd w:id="115"/>
      <w:r>
        <w:rPr>
          <w:rStyle w:val="17"/>
          <w:rFonts w:eastAsia="方正仿宋_GBK"/>
          <w:sz w:val="32"/>
          <w:szCs w:val="32"/>
        </w:rPr>
        <w:t xml:space="preserve">（款） 机关事业单位基本养老保险缴费支出（项）: </w:t>
      </w:r>
      <w:r>
        <w:rPr>
          <w:rStyle w:val="17"/>
          <w:rFonts w:eastAsia="方正仿宋_GBK"/>
          <w:b w:val="0"/>
          <w:bCs/>
          <w:sz w:val="32"/>
          <w:szCs w:val="32"/>
        </w:rPr>
        <w:t>支出决算为63.48万元，完成预算100%，决算数等于预算数。</w:t>
      </w:r>
    </w:p>
    <w:p w14:paraId="50B366FB">
      <w:pPr>
        <w:spacing w:line="600" w:lineRule="exact"/>
        <w:ind w:firstLine="643" w:firstLineChars="200"/>
        <w:rPr>
          <w:rStyle w:val="17"/>
          <w:rFonts w:eastAsia="方正仿宋_GBK"/>
          <w:b w:val="0"/>
          <w:bCs/>
          <w:sz w:val="32"/>
          <w:szCs w:val="32"/>
        </w:rPr>
      </w:pPr>
      <w:r>
        <w:rPr>
          <w:rStyle w:val="17"/>
          <w:rFonts w:eastAsia="方正仿宋_GBK"/>
          <w:sz w:val="32"/>
          <w:szCs w:val="32"/>
        </w:rPr>
        <w:t>4.社会保障和就业支出（类）行政事业单位养老支出（款）机关事业单位职业年金缴费支出（项）：</w:t>
      </w:r>
      <w:r>
        <w:rPr>
          <w:rStyle w:val="17"/>
          <w:rFonts w:eastAsia="方正仿宋_GBK"/>
          <w:b w:val="0"/>
          <w:bCs/>
          <w:sz w:val="32"/>
          <w:szCs w:val="32"/>
        </w:rPr>
        <w:t>支出决算为7.75万元，完成预算100%，决算数等于预算数。</w:t>
      </w:r>
    </w:p>
    <w:p w14:paraId="63F24F56">
      <w:pPr>
        <w:spacing w:line="600" w:lineRule="exact"/>
        <w:ind w:firstLine="643" w:firstLineChars="200"/>
        <w:rPr>
          <w:rStyle w:val="17"/>
          <w:rFonts w:eastAsia="方正仿宋_GBK"/>
          <w:b w:val="0"/>
          <w:bCs/>
          <w:sz w:val="32"/>
          <w:szCs w:val="32"/>
        </w:rPr>
      </w:pPr>
      <w:r>
        <w:rPr>
          <w:rStyle w:val="17"/>
          <w:rFonts w:eastAsia="方正仿宋_GBK"/>
          <w:sz w:val="32"/>
          <w:szCs w:val="32"/>
        </w:rPr>
        <w:t>5.</w:t>
      </w:r>
      <w:r>
        <w:rPr>
          <w:rFonts w:eastAsia="方正仿宋_GBK"/>
          <w:b/>
          <w:sz w:val="32"/>
          <w:szCs w:val="32"/>
        </w:rPr>
        <w:t xml:space="preserve"> </w:t>
      </w:r>
      <w:r>
        <w:rPr>
          <w:rStyle w:val="17"/>
          <w:rFonts w:eastAsia="方正仿宋_GBK"/>
          <w:sz w:val="32"/>
          <w:szCs w:val="32"/>
        </w:rPr>
        <w:t>社会保障和就业支出（类）抚恤（款）死亡抚恤（项）：</w:t>
      </w:r>
      <w:r>
        <w:rPr>
          <w:rStyle w:val="17"/>
          <w:rFonts w:eastAsia="方正仿宋_GBK"/>
          <w:b w:val="0"/>
          <w:bCs/>
          <w:sz w:val="32"/>
          <w:szCs w:val="32"/>
        </w:rPr>
        <w:t>支出决算为7.74万元，完成预算100%，决算数等于预算数。</w:t>
      </w:r>
    </w:p>
    <w:p w14:paraId="6F9C4447">
      <w:pPr>
        <w:spacing w:line="600" w:lineRule="exact"/>
        <w:ind w:firstLine="643" w:firstLineChars="200"/>
        <w:rPr>
          <w:rStyle w:val="17"/>
          <w:rFonts w:eastAsia="方正仿宋_GBK"/>
          <w:b w:val="0"/>
          <w:bCs/>
          <w:sz w:val="32"/>
          <w:szCs w:val="32"/>
        </w:rPr>
      </w:pPr>
      <w:r>
        <w:rPr>
          <w:rStyle w:val="17"/>
          <w:rFonts w:eastAsia="方正仿宋_GBK"/>
          <w:sz w:val="32"/>
          <w:szCs w:val="32"/>
        </w:rPr>
        <w:t xml:space="preserve">6.社会保障和就业支出（类）社会福利（款）殡葬（项）: </w:t>
      </w:r>
      <w:r>
        <w:rPr>
          <w:rStyle w:val="17"/>
          <w:rFonts w:eastAsia="方正仿宋_GBK"/>
          <w:b w:val="0"/>
          <w:bCs/>
          <w:sz w:val="32"/>
          <w:szCs w:val="32"/>
        </w:rPr>
        <w:t>支出决算为1014.81万元，完成预算100%，决算数等于预算数。</w:t>
      </w:r>
    </w:p>
    <w:p w14:paraId="12D9C29F">
      <w:pPr>
        <w:spacing w:line="600" w:lineRule="exact"/>
        <w:ind w:firstLine="643" w:firstLineChars="200"/>
        <w:rPr>
          <w:rStyle w:val="17"/>
          <w:rFonts w:eastAsia="方正仿宋_GBK"/>
          <w:b w:val="0"/>
          <w:bCs/>
          <w:sz w:val="32"/>
          <w:szCs w:val="32"/>
        </w:rPr>
      </w:pPr>
      <w:r>
        <w:rPr>
          <w:rStyle w:val="17"/>
          <w:rFonts w:eastAsia="方正仿宋_GBK"/>
          <w:sz w:val="32"/>
          <w:szCs w:val="32"/>
        </w:rPr>
        <w:t>7.卫生健康支出（类）行政事业单位医疗（款）事业单位医疗（项）：</w:t>
      </w:r>
      <w:r>
        <w:rPr>
          <w:rStyle w:val="17"/>
          <w:rFonts w:eastAsia="方正仿宋_GBK"/>
          <w:b w:val="0"/>
          <w:bCs/>
          <w:sz w:val="32"/>
          <w:szCs w:val="32"/>
        </w:rPr>
        <w:t>支出决算数为30.75万元，完成预算100%，决算数等于预算数。</w:t>
      </w:r>
    </w:p>
    <w:p w14:paraId="53D3446F">
      <w:pPr>
        <w:spacing w:line="600" w:lineRule="exact"/>
        <w:ind w:firstLine="643" w:firstLineChars="200"/>
        <w:rPr>
          <w:rStyle w:val="17"/>
          <w:rFonts w:eastAsia="方正仿宋_GBK"/>
          <w:b w:val="0"/>
          <w:bCs/>
          <w:sz w:val="32"/>
          <w:szCs w:val="32"/>
        </w:rPr>
      </w:pPr>
      <w:r>
        <w:rPr>
          <w:rStyle w:val="17"/>
          <w:rFonts w:eastAsia="方正仿宋_GBK"/>
          <w:sz w:val="32"/>
          <w:szCs w:val="32"/>
        </w:rPr>
        <w:t>8.卫生健康支出（类）行政事业单位医疗（款）公务员医疗补助（项）：</w:t>
      </w:r>
      <w:r>
        <w:rPr>
          <w:rStyle w:val="17"/>
          <w:rFonts w:eastAsia="方正仿宋_GBK"/>
          <w:b w:val="0"/>
          <w:bCs/>
          <w:sz w:val="32"/>
          <w:szCs w:val="32"/>
        </w:rPr>
        <w:t>支出决算数为3.56万元，完成预算100%，决算数等于预算数。</w:t>
      </w:r>
    </w:p>
    <w:p w14:paraId="145CB397">
      <w:pPr>
        <w:spacing w:line="600" w:lineRule="exact"/>
        <w:ind w:firstLine="643" w:firstLineChars="200"/>
        <w:rPr>
          <w:rStyle w:val="17"/>
          <w:rFonts w:eastAsia="方正仿宋_GBK"/>
          <w:b w:val="0"/>
          <w:bCs/>
          <w:sz w:val="32"/>
          <w:szCs w:val="32"/>
        </w:rPr>
      </w:pPr>
      <w:r>
        <w:rPr>
          <w:rStyle w:val="17"/>
          <w:rFonts w:eastAsia="方正仿宋_GBK"/>
          <w:sz w:val="32"/>
          <w:szCs w:val="32"/>
        </w:rPr>
        <w:t xml:space="preserve">9.住房保障支出（类）住房改革支出（款）住房公积金（项）: </w:t>
      </w:r>
      <w:r>
        <w:rPr>
          <w:rStyle w:val="17"/>
          <w:rFonts w:eastAsia="方正仿宋_GBK"/>
          <w:b w:val="0"/>
          <w:bCs/>
          <w:sz w:val="32"/>
          <w:szCs w:val="32"/>
        </w:rPr>
        <w:t>支出决算为46.86万元，完成预算100%，决算数等于预算数。</w:t>
      </w:r>
    </w:p>
    <w:p w14:paraId="136838C5">
      <w:pPr>
        <w:spacing w:line="600" w:lineRule="exact"/>
        <w:ind w:firstLine="640" w:firstLineChars="200"/>
        <w:outlineLvl w:val="1"/>
        <w:rPr>
          <w:rStyle w:val="29"/>
          <w:rFonts w:ascii="方正黑体_GBK" w:hAnsi="方正黑体_GBK" w:eastAsia="方正黑体_GBK" w:cs="方正黑体_GBK"/>
          <w:b w:val="0"/>
        </w:rPr>
      </w:pPr>
      <w:bookmarkStart w:id="116" w:name="_Toc15377214"/>
      <w:bookmarkStart w:id="117" w:name="_Toc15396608"/>
      <w:r>
        <w:rPr>
          <w:rFonts w:hint="eastAsia" w:ascii="方正黑体_GBK" w:hAnsi="方正黑体_GBK" w:eastAsia="方正黑体_GBK" w:cs="方正黑体_GBK"/>
          <w:sz w:val="32"/>
          <w:szCs w:val="32"/>
        </w:rPr>
        <w:t>六、</w:t>
      </w:r>
      <w:r>
        <w:rPr>
          <w:rFonts w:hint="eastAsia" w:ascii="方正黑体_GBK" w:hAnsi="方正黑体_GBK" w:eastAsia="方正黑体_GBK" w:cs="方正黑体_GBK"/>
          <w:b/>
          <w:sz w:val="32"/>
          <w:szCs w:val="32"/>
        </w:rPr>
        <w:t>一</w:t>
      </w:r>
      <w:r>
        <w:rPr>
          <w:rStyle w:val="29"/>
          <w:rFonts w:hint="eastAsia" w:ascii="方正黑体_GBK" w:hAnsi="方正黑体_GBK" w:eastAsia="方正黑体_GBK" w:cs="方正黑体_GBK"/>
          <w:b w:val="0"/>
        </w:rPr>
        <w:t>般公共预算财政拨款基本支出决算情况说明</w:t>
      </w:r>
    </w:p>
    <w:bookmarkEnd w:id="116"/>
    <w:bookmarkEnd w:id="117"/>
    <w:p w14:paraId="58679B73">
      <w:pPr>
        <w:spacing w:line="600" w:lineRule="exact"/>
        <w:ind w:firstLine="640"/>
        <w:rPr>
          <w:rFonts w:eastAsia="方正仿宋_GBK"/>
          <w:sz w:val="32"/>
          <w:szCs w:val="32"/>
        </w:rPr>
      </w:pPr>
      <w:r>
        <w:rPr>
          <w:rFonts w:eastAsia="方正仿宋_GBK"/>
          <w:sz w:val="32"/>
          <w:szCs w:val="32"/>
        </w:rPr>
        <w:t>2025年度一般公共预算财政拨款基本支出</w:t>
      </w:r>
      <w:r>
        <w:rPr>
          <w:rFonts w:hint="eastAsia" w:eastAsia="方正仿宋_GBK"/>
          <w:sz w:val="32"/>
          <w:szCs w:val="32"/>
        </w:rPr>
        <w:t>672.02</w:t>
      </w:r>
      <w:r>
        <w:rPr>
          <w:rFonts w:eastAsia="方正仿宋_GBK"/>
          <w:sz w:val="32"/>
          <w:szCs w:val="32"/>
        </w:rPr>
        <w:t>万元，其中：</w:t>
      </w:r>
    </w:p>
    <w:p w14:paraId="61C8296B">
      <w:pPr>
        <w:spacing w:line="600" w:lineRule="exact"/>
        <w:ind w:firstLine="640"/>
        <w:rPr>
          <w:rFonts w:eastAsia="方正仿宋_GBK"/>
          <w:sz w:val="32"/>
          <w:szCs w:val="32"/>
        </w:rPr>
      </w:pPr>
      <w:r>
        <w:rPr>
          <w:rFonts w:eastAsia="方正仿宋_GBK"/>
          <w:sz w:val="32"/>
          <w:szCs w:val="32"/>
        </w:rPr>
        <w:t>人员经费</w:t>
      </w:r>
      <w:r>
        <w:rPr>
          <w:rFonts w:hint="eastAsia" w:eastAsia="方正仿宋_GBK"/>
          <w:sz w:val="32"/>
          <w:szCs w:val="32"/>
        </w:rPr>
        <w:t>628.04</w:t>
      </w:r>
      <w:r>
        <w:rPr>
          <w:rFonts w:eastAsia="方正仿宋_GBK"/>
          <w:sz w:val="32"/>
          <w:szCs w:val="32"/>
        </w:rPr>
        <w:t>万元，主要包括：基本工资、津贴补贴、绩效工资、机关事业单位基本养老保险缴费、职业年金缴费、其他社会保障缴费、其他工资福利支出、抚恤金、生活补助、医疗费补助、奖励金、住房公积金等。</w:t>
      </w:r>
      <w:r>
        <w:rPr>
          <w:rFonts w:eastAsia="方正仿宋_GBK"/>
          <w:sz w:val="32"/>
          <w:szCs w:val="32"/>
        </w:rPr>
        <w:br w:type="textWrapping"/>
      </w:r>
      <w:r>
        <w:rPr>
          <w:rFonts w:eastAsia="方正仿宋_GBK"/>
          <w:sz w:val="32"/>
          <w:szCs w:val="32"/>
        </w:rPr>
        <w:t>　　公用经费43.98万元，主要包括：办公费、水费、电费、邮电费、差旅费、公务接待费、工会经费、福利费、公务用车运行维护费、其他商品和服务支出等。</w:t>
      </w:r>
    </w:p>
    <w:p w14:paraId="36A070FB">
      <w:pPr>
        <w:spacing w:line="600" w:lineRule="exact"/>
        <w:ind w:firstLine="640"/>
        <w:outlineLvl w:val="1"/>
        <w:rPr>
          <w:rStyle w:val="29"/>
          <w:rFonts w:ascii="方正黑体_GBK" w:hAnsi="方正黑体_GBK" w:eastAsia="方正黑体_GBK" w:cs="方正黑体_GBK"/>
          <w:b w:val="0"/>
        </w:rPr>
      </w:pPr>
      <w:bookmarkStart w:id="118" w:name="_Toc15396609"/>
      <w:bookmarkStart w:id="119" w:name="_Toc15377215"/>
      <w:r>
        <w:rPr>
          <w:rFonts w:hint="eastAsia" w:ascii="方正黑体_GBK" w:hAnsi="方正黑体_GBK" w:eastAsia="方正黑体_GBK" w:cs="方正黑体_GBK"/>
          <w:sz w:val="32"/>
          <w:szCs w:val="32"/>
        </w:rPr>
        <w:t>七、</w:t>
      </w:r>
      <w:r>
        <w:rPr>
          <w:rStyle w:val="29"/>
          <w:rFonts w:hint="eastAsia" w:ascii="方正黑体_GBK" w:hAnsi="方正黑体_GBK" w:eastAsia="方正黑体_GBK" w:cs="方正黑体_GBK"/>
          <w:b w:val="0"/>
        </w:rPr>
        <w:t>财政拨款</w:t>
      </w:r>
      <w:r>
        <w:rPr>
          <w:rStyle w:val="29"/>
          <w:rFonts w:hint="eastAsia" w:ascii="方正黑体_GBK" w:hAnsi="方正黑体_GBK" w:eastAsia="方正黑体_GBK" w:cs="方正黑体_GBK"/>
        </w:rPr>
        <w:t>“</w:t>
      </w:r>
      <w:r>
        <w:rPr>
          <w:rStyle w:val="29"/>
          <w:rFonts w:hint="eastAsia" w:ascii="方正黑体_GBK" w:hAnsi="方正黑体_GBK" w:eastAsia="方正黑体_GBK" w:cs="方正黑体_GBK"/>
          <w:b w:val="0"/>
        </w:rPr>
        <w:t>三公”经费支出决算情况说明</w:t>
      </w:r>
      <w:bookmarkEnd w:id="118"/>
      <w:bookmarkEnd w:id="119"/>
    </w:p>
    <w:p w14:paraId="5B8137DA">
      <w:pPr>
        <w:spacing w:line="600" w:lineRule="exact"/>
        <w:ind w:firstLine="643" w:firstLineChars="200"/>
        <w:outlineLvl w:val="2"/>
        <w:rPr>
          <w:rFonts w:eastAsia="楷体_GB2312" w:cs="楷体_GB2312"/>
          <w:b/>
          <w:sz w:val="32"/>
          <w:szCs w:val="32"/>
        </w:rPr>
      </w:pPr>
      <w:bookmarkStart w:id="120" w:name="_Toc15377216"/>
      <w:r>
        <w:rPr>
          <w:rFonts w:hint="eastAsia" w:eastAsia="楷体_GB2312" w:cs="楷体_GB2312"/>
          <w:b/>
          <w:sz w:val="32"/>
          <w:szCs w:val="32"/>
        </w:rPr>
        <w:t>（一）财政拨款“三公”经费支出决算总体情况说明</w:t>
      </w:r>
      <w:bookmarkEnd w:id="120"/>
    </w:p>
    <w:p w14:paraId="424C34E5">
      <w:pPr>
        <w:spacing w:line="600" w:lineRule="exact"/>
        <w:ind w:firstLine="640"/>
        <w:rPr>
          <w:rFonts w:eastAsia="方正仿宋_GBK"/>
          <w:b/>
          <w:bCs/>
          <w:sz w:val="32"/>
          <w:szCs w:val="32"/>
        </w:rPr>
      </w:pPr>
      <w:r>
        <w:rPr>
          <w:rFonts w:eastAsia="方正仿宋_GBK"/>
          <w:sz w:val="32"/>
          <w:szCs w:val="32"/>
        </w:rPr>
        <w:t>2025年度财政拨款“三公”经费支出决算为9.33万元，完成预算100%，较上年度增加0.55万元，增长6.</w:t>
      </w:r>
      <w:r>
        <w:rPr>
          <w:rFonts w:hint="eastAsia" w:eastAsia="方正仿宋_GBK"/>
          <w:sz w:val="32"/>
          <w:szCs w:val="32"/>
        </w:rPr>
        <w:t>3</w:t>
      </w:r>
      <w:r>
        <w:rPr>
          <w:rFonts w:eastAsia="方正仿宋_GBK"/>
          <w:sz w:val="32"/>
          <w:szCs w:val="32"/>
        </w:rPr>
        <w:t>%</w:t>
      </w:r>
      <w:r>
        <w:rPr>
          <w:rFonts w:eastAsia="方正仿宋_GBK"/>
          <w:b/>
          <w:bCs/>
          <w:sz w:val="32"/>
          <w:szCs w:val="32"/>
        </w:rPr>
        <w:t>。</w:t>
      </w:r>
    </w:p>
    <w:p w14:paraId="62147714">
      <w:pPr>
        <w:spacing w:line="600" w:lineRule="exact"/>
        <w:ind w:firstLine="643" w:firstLineChars="200"/>
        <w:outlineLvl w:val="2"/>
        <w:rPr>
          <w:rFonts w:eastAsia="楷体_GB2312" w:cs="楷体_GB2312"/>
          <w:b/>
          <w:sz w:val="32"/>
          <w:szCs w:val="32"/>
        </w:rPr>
      </w:pPr>
      <w:bookmarkStart w:id="121" w:name="_Toc15377217"/>
      <w:r>
        <w:rPr>
          <w:rFonts w:hint="eastAsia" w:eastAsia="楷体_GB2312" w:cs="楷体_GB2312"/>
          <w:b/>
          <w:sz w:val="32"/>
          <w:szCs w:val="32"/>
        </w:rPr>
        <w:t>（二）财政拨款“三公”经费支出决算具体情况说明</w:t>
      </w:r>
      <w:bookmarkEnd w:id="121"/>
    </w:p>
    <w:p w14:paraId="6A805F26">
      <w:pPr>
        <w:spacing w:line="600" w:lineRule="exact"/>
        <w:ind w:firstLine="640"/>
        <w:rPr>
          <w:rFonts w:eastAsia="方正仿宋_GBK"/>
          <w:sz w:val="32"/>
          <w:szCs w:val="32"/>
        </w:rPr>
      </w:pPr>
      <w:r>
        <w:rPr>
          <w:rFonts w:eastAsia="方正仿宋_GBK"/>
          <w:sz w:val="32"/>
          <w:szCs w:val="32"/>
        </w:rPr>
        <w:t>2025年度财政拨款“三公”经费支出决算中，因公出国（境）费支出决算0万元，占0%；公务用车购置及运行维护费支出决算9.22万元，占99.9%；公务接待费支出决算0.1万元，占0.1%。具体情况如下：</w:t>
      </w:r>
    </w:p>
    <w:p w14:paraId="52E28D5F">
      <w:pPr>
        <w:pStyle w:val="13"/>
      </w:pPr>
    </w:p>
    <w:p w14:paraId="6240CFF7">
      <w:pPr>
        <w:pStyle w:val="7"/>
        <w:ind w:left="420"/>
      </w:pPr>
    </w:p>
    <w:p w14:paraId="0BB6FC1B"/>
    <w:p w14:paraId="03CAB324">
      <w:pPr>
        <w:pStyle w:val="13"/>
      </w:pPr>
    </w:p>
    <w:p w14:paraId="1C3BFF20">
      <w:pPr>
        <w:pStyle w:val="7"/>
        <w:ind w:left="420"/>
      </w:pPr>
    </w:p>
    <w:p w14:paraId="7D6286D7"/>
    <w:p w14:paraId="62AEA76D">
      <w:pPr>
        <w:pStyle w:val="13"/>
      </w:pPr>
    </w:p>
    <w:p w14:paraId="21CA617A">
      <w:pPr>
        <w:pStyle w:val="13"/>
        <w:spacing w:line="600" w:lineRule="exact"/>
        <w:jc w:val="center"/>
      </w:pPr>
    </w:p>
    <w:p w14:paraId="5EDB7DF3">
      <w:pPr>
        <w:pStyle w:val="13"/>
        <w:spacing w:line="600" w:lineRule="exact"/>
        <w:jc w:val="center"/>
      </w:pPr>
    </w:p>
    <w:p w14:paraId="733363DA">
      <w:pPr>
        <w:pStyle w:val="13"/>
        <w:spacing w:line="600" w:lineRule="exact"/>
        <w:jc w:val="center"/>
      </w:pPr>
    </w:p>
    <w:p w14:paraId="010E2DEE">
      <w:pPr>
        <w:pStyle w:val="13"/>
        <w:spacing w:line="600" w:lineRule="exact"/>
        <w:jc w:val="center"/>
      </w:pPr>
      <w:r>
        <w:drawing>
          <wp:anchor distT="0" distB="0" distL="0" distR="0" simplePos="0" relativeHeight="251660288" behindDoc="1" locked="0" layoutInCell="1" allowOverlap="1">
            <wp:simplePos x="0" y="0"/>
            <wp:positionH relativeFrom="column">
              <wp:posOffset>313055</wp:posOffset>
            </wp:positionH>
            <wp:positionV relativeFrom="paragraph">
              <wp:posOffset>-2438400</wp:posOffset>
            </wp:positionV>
            <wp:extent cx="4648200" cy="2743200"/>
            <wp:effectExtent l="19050" t="0" r="19050" b="0"/>
            <wp:wrapNone/>
            <wp:docPr id="1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14:paraId="6FDD59AA">
      <w:pPr>
        <w:spacing w:line="600" w:lineRule="exact"/>
        <w:ind w:firstLine="1120" w:firstLineChars="350"/>
        <w:rPr>
          <w:rFonts w:eastAsia="仿宋_GB2312" w:cs="仿宋_GB2312"/>
          <w:sz w:val="32"/>
          <w:szCs w:val="32"/>
        </w:rPr>
      </w:pPr>
      <w:r>
        <w:rPr>
          <w:rFonts w:hint="eastAsia" w:eastAsia="方正仿宋_GBK"/>
          <w:sz w:val="32"/>
          <w:szCs w:val="32"/>
          <w:lang w:eastAsia="zh-CN"/>
        </w:rPr>
        <w:t>（</w:t>
      </w:r>
      <w:r>
        <w:rPr>
          <w:rFonts w:eastAsia="方正仿宋_GBK"/>
          <w:sz w:val="32"/>
          <w:szCs w:val="32"/>
        </w:rPr>
        <w:t>图7：财政拨款“三公”经费支出结构）</w:t>
      </w:r>
    </w:p>
    <w:p w14:paraId="69AED7B6">
      <w:pPr>
        <w:spacing w:line="600" w:lineRule="exact"/>
        <w:ind w:firstLine="640"/>
        <w:rPr>
          <w:rFonts w:eastAsia="方正仿宋_GBK"/>
          <w:sz w:val="32"/>
          <w:szCs w:val="32"/>
        </w:rPr>
      </w:pPr>
      <w:r>
        <w:rPr>
          <w:rFonts w:eastAsia="方正仿宋_GBK"/>
          <w:b/>
          <w:bCs/>
          <w:sz w:val="32"/>
          <w:szCs w:val="32"/>
        </w:rPr>
        <w:t>1.因公出国（境）经费支出0万元，完成预算0%。</w:t>
      </w:r>
      <w:r>
        <w:rPr>
          <w:rFonts w:eastAsia="方正仿宋_GBK"/>
          <w:sz w:val="32"/>
          <w:szCs w:val="32"/>
        </w:rPr>
        <w:t>全年安排因公出国（境）团组0次，出国（境）0人。</w:t>
      </w:r>
    </w:p>
    <w:p w14:paraId="70DFB66F">
      <w:pPr>
        <w:spacing w:line="600" w:lineRule="exact"/>
        <w:ind w:firstLine="640"/>
        <w:rPr>
          <w:rFonts w:eastAsia="方正仿宋_GBK"/>
          <w:sz w:val="32"/>
          <w:szCs w:val="32"/>
        </w:rPr>
      </w:pPr>
      <w:r>
        <w:rPr>
          <w:rFonts w:eastAsia="方正仿宋_GBK"/>
          <w:b/>
          <w:bCs/>
          <w:sz w:val="32"/>
          <w:szCs w:val="32"/>
        </w:rPr>
        <w:t>2.公务用车购置及运行维护费支出9.22万元，完成预算100%。</w:t>
      </w:r>
      <w:bookmarkStart w:id="122" w:name="OLE_LINK15"/>
      <w:bookmarkStart w:id="123" w:name="OLE_LINK16"/>
      <w:r>
        <w:rPr>
          <w:rFonts w:eastAsia="方正仿宋_GBK"/>
          <w:sz w:val="32"/>
          <w:szCs w:val="32"/>
        </w:rPr>
        <w:t>公务用车购置及运行维护费支出</w:t>
      </w:r>
      <w:bookmarkEnd w:id="122"/>
      <w:bookmarkEnd w:id="123"/>
      <w:r>
        <w:rPr>
          <w:rFonts w:eastAsia="方正仿宋_GBK"/>
          <w:sz w:val="32"/>
          <w:szCs w:val="32"/>
        </w:rPr>
        <w:t>决算比上年度增加0.55万元，增长6.</w:t>
      </w:r>
      <w:r>
        <w:rPr>
          <w:rFonts w:hint="eastAsia" w:eastAsia="方正仿宋_GBK"/>
          <w:sz w:val="32"/>
          <w:szCs w:val="32"/>
        </w:rPr>
        <w:t>3</w:t>
      </w:r>
      <w:r>
        <w:rPr>
          <w:rFonts w:eastAsia="方正仿宋_GBK"/>
          <w:sz w:val="32"/>
          <w:szCs w:val="32"/>
        </w:rPr>
        <w:t>%。主要原因是公务用车运行维护费支出增加。</w:t>
      </w:r>
    </w:p>
    <w:p w14:paraId="0AF699E1">
      <w:pPr>
        <w:spacing w:line="600" w:lineRule="exact"/>
        <w:ind w:firstLine="640"/>
        <w:rPr>
          <w:rFonts w:eastAsia="方正仿宋_GBK"/>
          <w:sz w:val="32"/>
          <w:szCs w:val="32"/>
        </w:rPr>
      </w:pPr>
      <w:r>
        <w:rPr>
          <w:rFonts w:eastAsia="方正仿宋_GBK"/>
          <w:sz w:val="32"/>
          <w:szCs w:val="32"/>
        </w:rPr>
        <w:t>其中：公务用车购置支出0万元。全年按规定更新购置公务用车0辆，其中：轿车0辆、金额0万元，越野车0辆、金额0万元，载客汽车0辆、金额0万元。截至2025年12月31日，单位共有公务用车10辆，其中：轿车10辆、越野车0辆、载客汽车0辆。</w:t>
      </w:r>
    </w:p>
    <w:p w14:paraId="31350CF1">
      <w:pPr>
        <w:spacing w:line="600" w:lineRule="exact"/>
        <w:ind w:firstLine="640"/>
        <w:rPr>
          <w:rFonts w:eastAsia="方正仿宋_GBK"/>
          <w:sz w:val="32"/>
          <w:szCs w:val="32"/>
        </w:rPr>
      </w:pPr>
      <w:r>
        <w:rPr>
          <w:rFonts w:eastAsia="方正仿宋_GBK"/>
          <w:sz w:val="32"/>
          <w:szCs w:val="32"/>
        </w:rPr>
        <w:t>公务用车运行维护费支出9.22万元。主要用于殡葬车辆接运遗体等所需的公务用车燃料费、维修费、过路过桥费、保险费等支出。</w:t>
      </w:r>
    </w:p>
    <w:p w14:paraId="11591B32">
      <w:pPr>
        <w:spacing w:line="600" w:lineRule="exact"/>
        <w:ind w:firstLine="640"/>
        <w:rPr>
          <w:rFonts w:eastAsia="方正仿宋_GBK"/>
          <w:sz w:val="32"/>
          <w:szCs w:val="32"/>
        </w:rPr>
      </w:pPr>
      <w:r>
        <w:rPr>
          <w:rFonts w:eastAsia="方正仿宋_GBK"/>
          <w:b/>
          <w:bCs/>
          <w:sz w:val="32"/>
          <w:szCs w:val="32"/>
        </w:rPr>
        <w:t>3.公务接待费支出0.1万元，完成预算100%。</w:t>
      </w:r>
      <w:r>
        <w:rPr>
          <w:rFonts w:eastAsia="方正仿宋_GBK"/>
          <w:sz w:val="32"/>
          <w:szCs w:val="32"/>
        </w:rPr>
        <w:t>公务接待费支出决算比上年度减少0.11万元，下降52.</w:t>
      </w:r>
      <w:r>
        <w:rPr>
          <w:rFonts w:hint="eastAsia" w:eastAsia="方正仿宋_GBK"/>
          <w:sz w:val="32"/>
          <w:szCs w:val="32"/>
        </w:rPr>
        <w:t>4</w:t>
      </w:r>
      <w:r>
        <w:rPr>
          <w:rFonts w:eastAsia="方正仿宋_GBK"/>
          <w:sz w:val="32"/>
          <w:szCs w:val="32"/>
        </w:rPr>
        <w:t>%。主要原因是2025年公务接待减少。其中：</w:t>
      </w:r>
    </w:p>
    <w:p w14:paraId="15D9DC6B">
      <w:pPr>
        <w:spacing w:line="600" w:lineRule="exact"/>
        <w:ind w:firstLine="640"/>
        <w:rPr>
          <w:rFonts w:eastAsia="方正仿宋_GBK"/>
          <w:sz w:val="32"/>
          <w:szCs w:val="32"/>
        </w:rPr>
      </w:pPr>
      <w:r>
        <w:rPr>
          <w:rFonts w:eastAsia="方正仿宋_GBK"/>
          <w:sz w:val="32"/>
          <w:szCs w:val="32"/>
        </w:rPr>
        <w:t>国内公务接待支出0.1万元，主要用于用餐费。国内公务接待1批次，6人次（不包括陪同人员），共计支出0.1万元，具体内容包括：</w:t>
      </w:r>
      <w:bookmarkStart w:id="124" w:name="OLE_LINK20"/>
      <w:bookmarkStart w:id="125" w:name="OLE_LINK19"/>
      <w:r>
        <w:rPr>
          <w:rFonts w:eastAsia="方正仿宋_GBK"/>
          <w:sz w:val="32"/>
          <w:szCs w:val="32"/>
        </w:rPr>
        <w:t>接待上级检查工作0.1万元</w:t>
      </w:r>
      <w:bookmarkEnd w:id="124"/>
      <w:bookmarkEnd w:id="125"/>
      <w:r>
        <w:rPr>
          <w:rFonts w:eastAsia="方正仿宋_GBK"/>
          <w:sz w:val="32"/>
          <w:szCs w:val="32"/>
        </w:rPr>
        <w:t>。</w:t>
      </w:r>
    </w:p>
    <w:p w14:paraId="13DD682C">
      <w:pPr>
        <w:spacing w:line="600" w:lineRule="exact"/>
        <w:ind w:firstLine="640"/>
        <w:outlineLvl w:val="1"/>
        <w:rPr>
          <w:rStyle w:val="29"/>
          <w:rFonts w:ascii="方正黑体_GBK" w:hAnsi="方正黑体_GBK" w:eastAsia="方正黑体_GBK" w:cs="方正黑体_GBK"/>
        </w:rPr>
      </w:pPr>
      <w:bookmarkStart w:id="126" w:name="_Toc15377218"/>
      <w:bookmarkStart w:id="127" w:name="_Toc15396610"/>
      <w:r>
        <w:rPr>
          <w:rFonts w:hint="eastAsia" w:ascii="方正黑体_GBK" w:hAnsi="方正黑体_GBK" w:eastAsia="方正黑体_GBK" w:cs="方正黑体_GBK"/>
          <w:sz w:val="32"/>
          <w:szCs w:val="32"/>
        </w:rPr>
        <w:t>八、</w:t>
      </w:r>
      <w:r>
        <w:rPr>
          <w:rStyle w:val="29"/>
          <w:rFonts w:hint="eastAsia" w:ascii="方正黑体_GBK" w:hAnsi="方正黑体_GBK" w:eastAsia="方正黑体_GBK" w:cs="方正黑体_GBK"/>
          <w:b w:val="0"/>
        </w:rPr>
        <w:t>政府性基金预算支出决算情况说明</w:t>
      </w:r>
      <w:bookmarkEnd w:id="126"/>
      <w:bookmarkEnd w:id="127"/>
    </w:p>
    <w:p w14:paraId="2AC71055">
      <w:pPr>
        <w:spacing w:line="600" w:lineRule="exact"/>
        <w:ind w:firstLine="640"/>
        <w:rPr>
          <w:rFonts w:eastAsia="方正仿宋_GBK"/>
          <w:sz w:val="32"/>
          <w:szCs w:val="32"/>
        </w:rPr>
      </w:pPr>
      <w:r>
        <w:rPr>
          <w:rFonts w:eastAsia="方正仿宋_GBK"/>
          <w:sz w:val="32"/>
          <w:szCs w:val="32"/>
        </w:rPr>
        <w:t>2025年度政府性基金预算财政拨款支出24.4万元，占本年支出合计的</w:t>
      </w:r>
      <w:r>
        <w:rPr>
          <w:rFonts w:hint="eastAsia" w:eastAsia="方正仿宋_GBK"/>
          <w:sz w:val="32"/>
          <w:szCs w:val="32"/>
        </w:rPr>
        <w:t>2</w:t>
      </w:r>
      <w:r>
        <w:rPr>
          <w:rFonts w:eastAsia="方正仿宋_GBK"/>
          <w:sz w:val="32"/>
          <w:szCs w:val="32"/>
        </w:rPr>
        <w:t>%。与上年度相比，政府性基金预算财政拨款支出减少35.6万元，下降59.3%。主要变动原因是2025年政府性基金预算财政拨款安排减少。</w:t>
      </w:r>
    </w:p>
    <w:p w14:paraId="79A9DD0C">
      <w:pPr>
        <w:spacing w:line="600" w:lineRule="exact"/>
        <w:ind w:firstLine="640" w:firstLineChars="200"/>
        <w:outlineLvl w:val="1"/>
        <w:rPr>
          <w:rStyle w:val="29"/>
          <w:rFonts w:ascii="方正黑体_GBK" w:hAnsi="方正黑体_GBK" w:eastAsia="方正黑体_GBK" w:cs="方正黑体_GBK"/>
          <w:b w:val="0"/>
        </w:rPr>
      </w:pPr>
      <w:bookmarkStart w:id="128" w:name="_Toc15396611"/>
      <w:bookmarkStart w:id="129" w:name="_Toc15377219"/>
      <w:r>
        <w:rPr>
          <w:rStyle w:val="29"/>
          <w:rFonts w:hint="eastAsia" w:ascii="方正黑体_GBK" w:hAnsi="方正黑体_GBK" w:eastAsia="方正黑体_GBK" w:cs="方正黑体_GBK"/>
          <w:b w:val="0"/>
        </w:rPr>
        <w:t>九、国有资本经营预算支出决算情况说明</w:t>
      </w:r>
      <w:bookmarkEnd w:id="128"/>
      <w:bookmarkEnd w:id="129"/>
    </w:p>
    <w:p w14:paraId="30AF420D">
      <w:pPr>
        <w:spacing w:line="600" w:lineRule="exact"/>
        <w:ind w:firstLine="640"/>
        <w:rPr>
          <w:rFonts w:eastAsia="方正仿宋_GBK"/>
          <w:sz w:val="32"/>
          <w:szCs w:val="32"/>
        </w:rPr>
      </w:pPr>
      <w:r>
        <w:rPr>
          <w:rFonts w:eastAsia="方正仿宋_GBK"/>
          <w:sz w:val="32"/>
          <w:szCs w:val="32"/>
        </w:rPr>
        <w:t>2025年度国有资本经营预算财政拨款支出0万元。</w:t>
      </w:r>
    </w:p>
    <w:p w14:paraId="3D390B69">
      <w:pPr>
        <w:spacing w:line="600" w:lineRule="exact"/>
        <w:ind w:firstLine="640" w:firstLineChars="200"/>
        <w:outlineLvl w:val="1"/>
        <w:rPr>
          <w:rStyle w:val="29"/>
          <w:rFonts w:ascii="方正黑体_GBK" w:hAnsi="方正黑体_GBK" w:eastAsia="方正黑体_GBK" w:cs="方正黑体_GBK"/>
          <w:b w:val="0"/>
        </w:rPr>
      </w:pPr>
      <w:bookmarkStart w:id="130" w:name="_Toc15396612"/>
      <w:bookmarkStart w:id="131" w:name="_Toc15377221"/>
      <w:r>
        <w:rPr>
          <w:rStyle w:val="29"/>
          <w:rFonts w:hint="eastAsia" w:ascii="方正黑体_GBK" w:hAnsi="方正黑体_GBK" w:eastAsia="方正黑体_GBK" w:cs="方正黑体_GBK"/>
          <w:b w:val="0"/>
        </w:rPr>
        <w:t>十、其他重要事项的情况说明</w:t>
      </w:r>
      <w:bookmarkEnd w:id="130"/>
      <w:bookmarkEnd w:id="131"/>
    </w:p>
    <w:p w14:paraId="6E02D32A">
      <w:pPr>
        <w:spacing w:line="600" w:lineRule="exact"/>
        <w:ind w:firstLine="643" w:firstLineChars="200"/>
        <w:outlineLvl w:val="2"/>
        <w:rPr>
          <w:rFonts w:eastAsia="楷体_GB2312" w:cs="楷体_GB2312"/>
          <w:b/>
          <w:sz w:val="32"/>
          <w:szCs w:val="32"/>
        </w:rPr>
      </w:pPr>
      <w:bookmarkStart w:id="132" w:name="_Toc15377222"/>
      <w:r>
        <w:rPr>
          <w:rFonts w:hint="eastAsia" w:eastAsia="楷体_GB2312" w:cs="楷体_GB2312"/>
          <w:b/>
          <w:sz w:val="32"/>
          <w:szCs w:val="32"/>
        </w:rPr>
        <w:t>（一）机关运行经费支出情况</w:t>
      </w:r>
      <w:bookmarkEnd w:id="132"/>
    </w:p>
    <w:p w14:paraId="207C6957">
      <w:pPr>
        <w:spacing w:line="600" w:lineRule="exact"/>
        <w:ind w:firstLine="640" w:firstLineChars="200"/>
        <w:rPr>
          <w:rFonts w:eastAsia="方正仿宋_GBK"/>
          <w:sz w:val="32"/>
          <w:szCs w:val="32"/>
        </w:rPr>
      </w:pPr>
      <w:r>
        <w:rPr>
          <w:rFonts w:eastAsia="方正仿宋_GBK"/>
          <w:sz w:val="32"/>
          <w:szCs w:val="32"/>
        </w:rPr>
        <w:t>2025年度，机关运行经费支出0万元。</w:t>
      </w:r>
    </w:p>
    <w:p w14:paraId="5D274AC0">
      <w:pPr>
        <w:spacing w:line="600" w:lineRule="exact"/>
        <w:ind w:firstLine="643" w:firstLineChars="200"/>
        <w:outlineLvl w:val="2"/>
        <w:rPr>
          <w:rFonts w:eastAsia="楷体_GB2312" w:cs="楷体_GB2312"/>
          <w:b/>
          <w:sz w:val="32"/>
          <w:szCs w:val="32"/>
        </w:rPr>
      </w:pPr>
      <w:bookmarkStart w:id="133" w:name="_Toc15377223"/>
      <w:r>
        <w:rPr>
          <w:rFonts w:hint="eastAsia" w:eastAsia="楷体_GB2312" w:cs="楷体_GB2312"/>
          <w:b/>
          <w:sz w:val="32"/>
          <w:szCs w:val="32"/>
        </w:rPr>
        <w:t>（二）政府采购支出情况</w:t>
      </w:r>
      <w:bookmarkEnd w:id="133"/>
    </w:p>
    <w:p w14:paraId="6AB44937">
      <w:pPr>
        <w:spacing w:line="600" w:lineRule="exact"/>
        <w:ind w:firstLine="640"/>
        <w:rPr>
          <w:rFonts w:eastAsia="方正仿宋_GBK"/>
          <w:sz w:val="32"/>
          <w:szCs w:val="32"/>
        </w:rPr>
      </w:pPr>
      <w:r>
        <w:rPr>
          <w:rFonts w:eastAsia="方正仿宋_GBK"/>
          <w:sz w:val="32"/>
          <w:szCs w:val="32"/>
        </w:rPr>
        <w:t>2025年度，</w:t>
      </w:r>
      <w:bookmarkStart w:id="134" w:name="OLE_LINK32"/>
      <w:bookmarkStart w:id="135" w:name="OLE_LINK31"/>
      <w:r>
        <w:rPr>
          <w:rFonts w:eastAsia="方正仿宋_GBK"/>
          <w:sz w:val="32"/>
          <w:szCs w:val="32"/>
        </w:rPr>
        <w:t>攀枝花市殡葬服务中心</w:t>
      </w:r>
      <w:bookmarkEnd w:id="134"/>
      <w:bookmarkEnd w:id="135"/>
      <w:r>
        <w:rPr>
          <w:rFonts w:eastAsia="方正仿宋_GBK"/>
          <w:sz w:val="32"/>
          <w:szCs w:val="32"/>
        </w:rPr>
        <w:t>政府采购支出总额867.57万元，其中：政府采购货物支出344万元、政府采购工程支出404.77万元、政府采购服务支出118.8万元。主要用于殡葬用品采购、火化炉环保改造、殡葬设施设备维修维护及金莲花墓区修建等支出。授予中小企业合同金额867.57万元，占政府采购支出总额的100%，其中：授予小微企业合同金额773.48万元，占政府采购支出总额的89.</w:t>
      </w:r>
      <w:r>
        <w:rPr>
          <w:rFonts w:hint="eastAsia" w:eastAsia="方正仿宋_GBK"/>
          <w:sz w:val="32"/>
          <w:szCs w:val="32"/>
        </w:rPr>
        <w:t>2</w:t>
      </w:r>
      <w:r>
        <w:rPr>
          <w:rFonts w:eastAsia="方正仿宋_GBK"/>
          <w:sz w:val="32"/>
          <w:szCs w:val="32"/>
        </w:rPr>
        <w:t>%。</w:t>
      </w:r>
    </w:p>
    <w:p w14:paraId="4591C73C">
      <w:pPr>
        <w:spacing w:line="600" w:lineRule="exact"/>
        <w:ind w:firstLine="643" w:firstLineChars="200"/>
        <w:outlineLvl w:val="2"/>
        <w:rPr>
          <w:rFonts w:eastAsia="楷体_GB2312" w:cs="楷体_GB2312"/>
          <w:b/>
          <w:sz w:val="32"/>
          <w:szCs w:val="32"/>
        </w:rPr>
      </w:pPr>
      <w:bookmarkStart w:id="136" w:name="_Toc15377224"/>
      <w:r>
        <w:rPr>
          <w:rFonts w:hint="eastAsia" w:eastAsia="楷体_GB2312" w:cs="楷体_GB2312"/>
          <w:b/>
          <w:sz w:val="32"/>
          <w:szCs w:val="32"/>
        </w:rPr>
        <w:t>（三）国有资产占有使用情况</w:t>
      </w:r>
      <w:bookmarkEnd w:id="136"/>
    </w:p>
    <w:p w14:paraId="0CD4EDD4">
      <w:pPr>
        <w:spacing w:line="600" w:lineRule="exact"/>
        <w:ind w:firstLine="640"/>
        <w:rPr>
          <w:rFonts w:eastAsia="方正仿宋_GBK"/>
          <w:sz w:val="32"/>
          <w:szCs w:val="32"/>
        </w:rPr>
      </w:pPr>
      <w:r>
        <w:rPr>
          <w:rFonts w:eastAsia="方正仿宋_GBK"/>
          <w:sz w:val="32"/>
          <w:szCs w:val="32"/>
        </w:rPr>
        <w:t>截至2025年12月31日，</w:t>
      </w:r>
      <w:bookmarkStart w:id="137" w:name="OLE_LINK35"/>
      <w:bookmarkStart w:id="138" w:name="OLE_LINK36"/>
      <w:r>
        <w:rPr>
          <w:rFonts w:eastAsia="方正仿宋_GBK"/>
          <w:sz w:val="32"/>
          <w:szCs w:val="32"/>
        </w:rPr>
        <w:t>攀枝花市殡葬服务中心</w:t>
      </w:r>
      <w:bookmarkEnd w:id="137"/>
      <w:bookmarkEnd w:id="138"/>
      <w:r>
        <w:rPr>
          <w:rFonts w:eastAsia="方正仿宋_GBK"/>
          <w:sz w:val="32"/>
          <w:szCs w:val="32"/>
        </w:rPr>
        <w:t>共有车辆10辆，其中：主要负责人用车0辆、机要通信用车0辆、应急保障用车0辆、其他用车10辆，其他用车主要用于保障殡葬业务运行。单价100万元（含）以上设备（不含车辆）0台（套）。</w:t>
      </w:r>
    </w:p>
    <w:p w14:paraId="33BAEC41">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668259EC">
      <w:pPr>
        <w:spacing w:line="600" w:lineRule="exact"/>
        <w:ind w:firstLine="640"/>
        <w:rPr>
          <w:rFonts w:eastAsia="方正仿宋_GBK"/>
          <w:sz w:val="32"/>
          <w:szCs w:val="32"/>
        </w:rPr>
      </w:pPr>
      <w:r>
        <w:rPr>
          <w:rFonts w:eastAsia="方正仿宋_GBK"/>
          <w:sz w:val="32"/>
          <w:szCs w:val="32"/>
        </w:rPr>
        <w:t>根据预算绩效管理要求，攀枝花市殡葬服务中心在2025年度，组织对火化炉环保改造等7个项目涉及金额</w:t>
      </w:r>
      <w:r>
        <w:rPr>
          <w:rFonts w:hint="eastAsia" w:eastAsia="方正仿宋_GBK"/>
          <w:sz w:val="32"/>
          <w:szCs w:val="32"/>
        </w:rPr>
        <w:t>1443.93</w:t>
      </w:r>
      <w:r>
        <w:rPr>
          <w:rFonts w:eastAsia="方正仿宋_GBK"/>
          <w:sz w:val="32"/>
          <w:szCs w:val="32"/>
        </w:rPr>
        <w:t>万元开展了事前绩效评估，对7个项目编制了绩效目标，预算执行过程中，选取7个项目开展绩效监控。</w:t>
      </w:r>
    </w:p>
    <w:p w14:paraId="215F3E8A">
      <w:pPr>
        <w:spacing w:line="600" w:lineRule="exact"/>
        <w:ind w:firstLine="640"/>
        <w:rPr>
          <w:rFonts w:eastAsia="方正仿宋_GBK"/>
          <w:sz w:val="32"/>
          <w:szCs w:val="32"/>
        </w:rPr>
      </w:pPr>
    </w:p>
    <w:p w14:paraId="547E66A4">
      <w:pPr>
        <w:pStyle w:val="13"/>
        <w:spacing w:line="600" w:lineRule="exact"/>
      </w:pPr>
    </w:p>
    <w:p w14:paraId="5F40D4DA">
      <w:pPr>
        <w:pStyle w:val="7"/>
        <w:spacing w:after="0" w:line="600" w:lineRule="exact"/>
        <w:ind w:left="0" w:leftChars="0"/>
      </w:pPr>
    </w:p>
    <w:p w14:paraId="511E8A1F">
      <w:pPr>
        <w:spacing w:line="600" w:lineRule="exact"/>
      </w:pPr>
    </w:p>
    <w:p w14:paraId="172693E9">
      <w:pPr>
        <w:pStyle w:val="13"/>
        <w:spacing w:line="600" w:lineRule="exact"/>
      </w:pPr>
    </w:p>
    <w:p w14:paraId="40A767BE">
      <w:pPr>
        <w:pStyle w:val="7"/>
        <w:spacing w:after="0" w:line="600" w:lineRule="exact"/>
        <w:ind w:left="0" w:leftChars="0"/>
      </w:pPr>
    </w:p>
    <w:p w14:paraId="13004321">
      <w:pPr>
        <w:spacing w:line="600" w:lineRule="exact"/>
      </w:pPr>
    </w:p>
    <w:p w14:paraId="45A74ADE">
      <w:pPr>
        <w:pStyle w:val="13"/>
        <w:spacing w:line="600" w:lineRule="exact"/>
      </w:pPr>
    </w:p>
    <w:p w14:paraId="0B13753A">
      <w:pPr>
        <w:pStyle w:val="7"/>
        <w:ind w:left="420"/>
      </w:pPr>
    </w:p>
    <w:p w14:paraId="4C7C249B">
      <w:pPr>
        <w:pStyle w:val="7"/>
        <w:spacing w:after="0" w:line="600" w:lineRule="exact"/>
        <w:ind w:left="0" w:leftChars="0"/>
      </w:pPr>
    </w:p>
    <w:p w14:paraId="3B116870">
      <w:pPr>
        <w:spacing w:line="600" w:lineRule="exact"/>
        <w:jc w:val="center"/>
        <w:outlineLvl w:val="0"/>
        <w:rPr>
          <w:rFonts w:ascii="方正小标宋_GBK" w:hAnsi="方正小标宋_GBK" w:eastAsia="方正小标宋_GBK" w:cs="方正小标宋_GBK"/>
          <w:b/>
          <w:bCs/>
          <w:sz w:val="44"/>
          <w:szCs w:val="44"/>
        </w:rPr>
      </w:pPr>
      <w:bookmarkStart w:id="139" w:name="_Toc15396613"/>
      <w:bookmarkStart w:id="140" w:name="_Toc15377225"/>
      <w:r>
        <w:rPr>
          <w:rFonts w:hint="eastAsia" w:ascii="方正小标宋_GBK" w:hAnsi="方正小标宋_GBK" w:eastAsia="方正小标宋_GBK" w:cs="方正小标宋_GBK"/>
          <w:b/>
          <w:bCs/>
          <w:sz w:val="44"/>
          <w:szCs w:val="44"/>
        </w:rPr>
        <w:t>第三部分  名词解释</w:t>
      </w:r>
      <w:bookmarkEnd w:id="139"/>
      <w:bookmarkEnd w:id="140"/>
    </w:p>
    <w:p w14:paraId="5943D9F5">
      <w:pPr>
        <w:spacing w:line="600" w:lineRule="exact"/>
        <w:jc w:val="left"/>
        <w:rPr>
          <w:b/>
          <w:sz w:val="44"/>
          <w:szCs w:val="44"/>
        </w:rPr>
      </w:pPr>
    </w:p>
    <w:p w14:paraId="7AD88020">
      <w:pPr>
        <w:pStyle w:val="26"/>
        <w:spacing w:line="600" w:lineRule="exact"/>
        <w:ind w:firstLine="640" w:firstLineChars="200"/>
        <w:rPr>
          <w:rFonts w:ascii="Times New Roman" w:hAnsi="Times New Roman" w:eastAsia="方正仿宋_GBK" w:cs="Times New Roman"/>
          <w:sz w:val="32"/>
          <w:szCs w:val="32"/>
        </w:rPr>
      </w:pPr>
      <w:bookmarkStart w:id="141" w:name="_Toc15377226"/>
      <w:r>
        <w:rPr>
          <w:rFonts w:ascii="Times New Roman" w:hAnsi="Times New Roman" w:eastAsia="方正仿宋_GBK" w:cs="Times New Roman"/>
          <w:sz w:val="32"/>
          <w:szCs w:val="32"/>
        </w:rPr>
        <w:t>1.财政拨款收入：指单位从同级财政部门取得的财政预算资金。</w:t>
      </w:r>
    </w:p>
    <w:p w14:paraId="29983C6E">
      <w:pPr>
        <w:pStyle w:val="26"/>
        <w:spacing w:line="60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2.一般公共服务支出（类）组织事务（款）其他组织支出（项）：反映其他用于中国共产党组织部门的事务支出。</w:t>
      </w:r>
    </w:p>
    <w:p w14:paraId="772A1494">
      <w:pPr>
        <w:spacing w:line="600" w:lineRule="exact"/>
        <w:ind w:firstLine="640" w:firstLineChars="200"/>
        <w:rPr>
          <w:rFonts w:eastAsia="方正仿宋_GBK"/>
          <w:bCs/>
          <w:sz w:val="32"/>
          <w:szCs w:val="32"/>
        </w:rPr>
      </w:pPr>
      <w:r>
        <w:rPr>
          <w:rFonts w:eastAsia="方正仿宋_GBK"/>
          <w:sz w:val="32"/>
          <w:szCs w:val="32"/>
        </w:rPr>
        <w:t>3.</w:t>
      </w:r>
      <w:r>
        <w:rPr>
          <w:rStyle w:val="17"/>
          <w:rFonts w:eastAsia="方正仿宋_GBK"/>
          <w:b w:val="0"/>
          <w:bCs/>
          <w:sz w:val="32"/>
          <w:szCs w:val="32"/>
        </w:rPr>
        <w:t>社会保障和就业支出（类）行政事业单位养老支出（款）事业单位离退休（项）</w:t>
      </w:r>
      <w:r>
        <w:rPr>
          <w:rFonts w:eastAsia="方正仿宋_GBK"/>
          <w:bCs/>
          <w:sz w:val="32"/>
          <w:szCs w:val="32"/>
        </w:rPr>
        <w:t>：反映</w:t>
      </w:r>
      <w:r>
        <w:rPr>
          <w:rStyle w:val="17"/>
          <w:rFonts w:eastAsia="方正仿宋_GBK"/>
          <w:b w:val="0"/>
          <w:bCs/>
          <w:sz w:val="32"/>
          <w:szCs w:val="32"/>
        </w:rPr>
        <w:t>事业单位开支的离退休经费。</w:t>
      </w:r>
    </w:p>
    <w:p w14:paraId="1019EE0A">
      <w:pPr>
        <w:spacing w:line="600" w:lineRule="exact"/>
        <w:ind w:firstLine="640" w:firstLineChars="200"/>
        <w:rPr>
          <w:rFonts w:ascii="方正仿宋_GBK" w:hAnsi="方正仿宋_GBK" w:eastAsia="方正仿宋_GBK" w:cs="方正仿宋_GBK"/>
          <w:bCs/>
          <w:sz w:val="32"/>
          <w:szCs w:val="32"/>
        </w:rPr>
      </w:pPr>
      <w:bookmarkStart w:id="142" w:name="OLE_LINK4"/>
      <w:bookmarkStart w:id="143" w:name="OLE_LINK3"/>
      <w:r>
        <w:rPr>
          <w:rFonts w:eastAsia="方正仿宋_GBK"/>
          <w:sz w:val="32"/>
          <w:szCs w:val="32"/>
        </w:rPr>
        <w:t>4.</w:t>
      </w:r>
      <w:r>
        <w:rPr>
          <w:rStyle w:val="17"/>
          <w:rFonts w:hint="eastAsia" w:ascii="方正仿宋_GBK" w:hAnsi="方正仿宋_GBK" w:eastAsia="方正仿宋_GBK" w:cs="方正仿宋_GBK"/>
          <w:b w:val="0"/>
          <w:bCs/>
          <w:sz w:val="32"/>
          <w:szCs w:val="32"/>
        </w:rPr>
        <w:t>社会保障和就业支出（类）行政事业单位养老支出（款）机关事业单位基本养老保险缴费支出（项）</w:t>
      </w:r>
      <w:bookmarkEnd w:id="142"/>
      <w:bookmarkEnd w:id="143"/>
      <w:r>
        <w:rPr>
          <w:rFonts w:hint="eastAsia" w:ascii="方正仿宋_GBK" w:hAnsi="方正仿宋_GBK" w:eastAsia="方正仿宋_GBK" w:cs="方正仿宋_GBK"/>
          <w:bCs/>
          <w:sz w:val="32"/>
          <w:szCs w:val="32"/>
        </w:rPr>
        <w:t>：反映机关事业单位实施养老保险制度由单位缴纳的基本养老保险费支出。</w:t>
      </w:r>
    </w:p>
    <w:p w14:paraId="538A9FDC">
      <w:pPr>
        <w:pStyle w:val="13"/>
        <w:spacing w:line="600" w:lineRule="exact"/>
        <w:ind w:firstLine="640" w:firstLineChars="200"/>
        <w:rPr>
          <w:rStyle w:val="17"/>
          <w:rFonts w:eastAsia="方正仿宋_GBK"/>
          <w:b w:val="0"/>
          <w:bCs/>
          <w:sz w:val="32"/>
          <w:szCs w:val="32"/>
        </w:rPr>
      </w:pPr>
      <w:bookmarkStart w:id="144" w:name="OLE_LINK6"/>
      <w:bookmarkStart w:id="145" w:name="OLE_LINK5"/>
      <w:r>
        <w:rPr>
          <w:rFonts w:eastAsia="方正仿宋_GBK"/>
          <w:sz w:val="32"/>
          <w:szCs w:val="32"/>
        </w:rPr>
        <w:t>5.</w:t>
      </w:r>
      <w:r>
        <w:rPr>
          <w:rStyle w:val="17"/>
          <w:rFonts w:eastAsia="方正仿宋_GBK"/>
          <w:b w:val="0"/>
          <w:bCs/>
          <w:sz w:val="32"/>
          <w:szCs w:val="32"/>
        </w:rPr>
        <w:t>社会保障和就业支出（类）行政事业单位养老支出（款）机关事业单位职业年金缴费支出（项）：</w:t>
      </w:r>
      <w:bookmarkEnd w:id="144"/>
      <w:bookmarkEnd w:id="145"/>
      <w:r>
        <w:rPr>
          <w:rStyle w:val="17"/>
          <w:rFonts w:eastAsia="方正仿宋_GBK"/>
          <w:b w:val="0"/>
          <w:bCs/>
          <w:sz w:val="32"/>
          <w:szCs w:val="32"/>
        </w:rPr>
        <w:t>反映机关事业单位实施养老保险制度由单位实际缴纳的职业年金支出（含职业年金补记支出）。</w:t>
      </w:r>
    </w:p>
    <w:p w14:paraId="7EF2E9A0">
      <w:pPr>
        <w:spacing w:line="600" w:lineRule="exact"/>
        <w:ind w:firstLine="640" w:firstLineChars="200"/>
        <w:rPr>
          <w:rStyle w:val="17"/>
          <w:rFonts w:eastAsia="方正仿宋_GBK"/>
          <w:b w:val="0"/>
          <w:bCs/>
          <w:sz w:val="32"/>
          <w:szCs w:val="32"/>
        </w:rPr>
      </w:pPr>
      <w:r>
        <w:rPr>
          <w:rFonts w:eastAsia="方正仿宋_GBK"/>
          <w:sz w:val="32"/>
          <w:szCs w:val="32"/>
        </w:rPr>
        <w:t>6.</w:t>
      </w:r>
      <w:r>
        <w:rPr>
          <w:rStyle w:val="17"/>
          <w:rFonts w:eastAsia="方正仿宋_GBK"/>
          <w:b w:val="0"/>
          <w:bCs/>
          <w:sz w:val="32"/>
          <w:szCs w:val="32"/>
        </w:rPr>
        <w:t>社会保障和就业支出（类）抚恤（款）死亡抚恤（项）：反映按规定用于烈士和牺牲、病故人员家属的一次性和定期抚恤金、丧葬补助及烈士褒扬金。</w:t>
      </w:r>
    </w:p>
    <w:p w14:paraId="2E0F7524">
      <w:pPr>
        <w:spacing w:line="600" w:lineRule="exact"/>
        <w:ind w:firstLine="640" w:firstLineChars="200"/>
        <w:rPr>
          <w:rFonts w:ascii="方正仿宋_GBK" w:hAnsi="方正仿宋_GBK" w:eastAsia="方正仿宋_GBK" w:cs="方正仿宋_GBK"/>
          <w:bCs/>
          <w:color w:val="000000"/>
          <w:sz w:val="32"/>
          <w:szCs w:val="32"/>
        </w:rPr>
      </w:pPr>
      <w:r>
        <w:rPr>
          <w:rFonts w:eastAsia="方正仿宋_GBK"/>
          <w:color w:val="000000"/>
          <w:sz w:val="32"/>
          <w:szCs w:val="32"/>
        </w:rPr>
        <w:t>7.</w:t>
      </w:r>
      <w:r>
        <w:rPr>
          <w:rStyle w:val="17"/>
          <w:rFonts w:hint="eastAsia" w:ascii="方正仿宋_GBK" w:hAnsi="方正仿宋_GBK" w:eastAsia="方正仿宋_GBK" w:cs="方正仿宋_GBK"/>
          <w:b w:val="0"/>
          <w:bCs/>
          <w:color w:val="000000"/>
          <w:sz w:val="32"/>
          <w:szCs w:val="32"/>
        </w:rPr>
        <w:t xml:space="preserve">社会保障和就业支出（类）社会福利（款）殡葬（项）: </w:t>
      </w:r>
      <w:r>
        <w:rPr>
          <w:rFonts w:hint="eastAsia" w:ascii="方正仿宋_GBK" w:hAnsi="方正仿宋_GBK" w:eastAsia="方正仿宋_GBK" w:cs="方正仿宋_GBK"/>
          <w:bCs/>
          <w:color w:val="000000"/>
          <w:sz w:val="32"/>
          <w:szCs w:val="32"/>
        </w:rPr>
        <w:t>反映殡葬管理和殡葬服务方面的支出，包括民政部门直属的殡仪馆、公墓、殡葬管理服务机构的支出。</w:t>
      </w:r>
    </w:p>
    <w:p w14:paraId="2F78A285">
      <w:pPr>
        <w:spacing w:line="600" w:lineRule="exact"/>
        <w:ind w:firstLine="643" w:firstLineChars="200"/>
        <w:rPr>
          <w:rStyle w:val="17"/>
          <w:rFonts w:ascii="方正仿宋_GBK" w:hAnsi="方正仿宋_GBK" w:eastAsia="方正仿宋_GBK" w:cs="方正仿宋_GBK"/>
          <w:b w:val="0"/>
          <w:sz w:val="32"/>
          <w:szCs w:val="32"/>
        </w:rPr>
      </w:pPr>
      <w:r>
        <w:rPr>
          <w:rStyle w:val="17"/>
          <w:rFonts w:eastAsia="方正仿宋_GBK"/>
          <w:bCs/>
          <w:sz w:val="32"/>
          <w:szCs w:val="32"/>
        </w:rPr>
        <w:t>8.</w:t>
      </w:r>
      <w:r>
        <w:rPr>
          <w:rStyle w:val="17"/>
          <w:rFonts w:hint="eastAsia" w:ascii="方正仿宋_GBK" w:hAnsi="方正仿宋_GBK" w:eastAsia="方正仿宋_GBK" w:cs="方正仿宋_GBK"/>
          <w:b w:val="0"/>
          <w:sz w:val="32"/>
          <w:szCs w:val="32"/>
        </w:rPr>
        <w:t>卫生健康支出（类）行政事业单位医疗（款）事业单位医疗（项）：反映财政部门安排的事业单位基本医疗保险缴费经费。</w:t>
      </w:r>
    </w:p>
    <w:p w14:paraId="08081496">
      <w:pPr>
        <w:spacing w:line="600" w:lineRule="exact"/>
        <w:ind w:firstLine="643" w:firstLineChars="200"/>
        <w:rPr>
          <w:rStyle w:val="17"/>
          <w:rFonts w:ascii="方正仿宋_GBK" w:hAnsi="方正仿宋_GBK" w:eastAsia="方正仿宋_GBK" w:cs="方正仿宋_GBK"/>
          <w:b w:val="0"/>
          <w:sz w:val="32"/>
          <w:szCs w:val="32"/>
        </w:rPr>
      </w:pPr>
      <w:r>
        <w:rPr>
          <w:rStyle w:val="17"/>
          <w:rFonts w:eastAsia="方正仿宋_GBK"/>
          <w:bCs/>
          <w:sz w:val="32"/>
          <w:szCs w:val="32"/>
        </w:rPr>
        <w:t>9.</w:t>
      </w:r>
      <w:r>
        <w:rPr>
          <w:rStyle w:val="17"/>
          <w:rFonts w:hint="eastAsia" w:ascii="方正仿宋_GBK" w:hAnsi="方正仿宋_GBK" w:eastAsia="方正仿宋_GBK" w:cs="方正仿宋_GBK"/>
          <w:b w:val="0"/>
          <w:sz w:val="32"/>
          <w:szCs w:val="32"/>
        </w:rPr>
        <w:t>卫生健康支出（类）行政事业单位医疗（款）公务员医疗补助（项）：反映财政部门安排的公务员医疗补助金额。</w:t>
      </w:r>
    </w:p>
    <w:p w14:paraId="30DE9889">
      <w:pPr>
        <w:spacing w:line="600" w:lineRule="exact"/>
        <w:ind w:firstLine="640" w:firstLineChars="200"/>
        <w:rPr>
          <w:rFonts w:eastAsia="方正仿宋_GBK"/>
          <w:color w:val="000000"/>
          <w:sz w:val="32"/>
          <w:szCs w:val="32"/>
        </w:rPr>
      </w:pPr>
      <w:r>
        <w:rPr>
          <w:rFonts w:eastAsia="方正仿宋_GBK"/>
          <w:color w:val="000000"/>
          <w:sz w:val="32"/>
          <w:szCs w:val="32"/>
        </w:rPr>
        <w:t>10.住房保障支出（类）住房改革支出（款）住房公积金（项）：反映行政事业单位按人力资源和社会保障部、财政部规定的基本工资和津贴补贴以及规定比例为职工缴纳的住房公积金。</w:t>
      </w:r>
    </w:p>
    <w:p w14:paraId="166A8468">
      <w:pPr>
        <w:spacing w:line="600" w:lineRule="exact"/>
        <w:ind w:firstLine="643" w:firstLineChars="200"/>
        <w:rPr>
          <w:rFonts w:ascii="方正仿宋_GBK" w:hAnsi="方正仿宋_GBK" w:eastAsia="方正仿宋_GBK" w:cs="方正仿宋_GBK"/>
          <w:color w:val="FF0000"/>
          <w:sz w:val="32"/>
          <w:szCs w:val="32"/>
        </w:rPr>
      </w:pPr>
      <w:r>
        <w:rPr>
          <w:rStyle w:val="17"/>
          <w:rFonts w:eastAsia="方正仿宋_GBK"/>
          <w:bCs/>
          <w:sz w:val="32"/>
          <w:szCs w:val="32"/>
        </w:rPr>
        <w:t>11.</w:t>
      </w:r>
      <w:r>
        <w:rPr>
          <w:rStyle w:val="17"/>
          <w:rFonts w:hint="eastAsia" w:ascii="方正仿宋_GBK" w:hAnsi="方正仿宋_GBK" w:eastAsia="方正仿宋_GBK" w:cs="方正仿宋_GBK"/>
          <w:b w:val="0"/>
          <w:sz w:val="32"/>
          <w:szCs w:val="32"/>
        </w:rPr>
        <w:t>其他支出（类）彩票公益金安排的支出（款）用于社会福利的彩票公益金支出（项）：反映用于社会福利和社会救助的彩票公益金支出。</w:t>
      </w:r>
    </w:p>
    <w:p w14:paraId="50DEF42A">
      <w:pPr>
        <w:spacing w:line="600" w:lineRule="exact"/>
        <w:ind w:firstLine="640" w:firstLineChars="200"/>
        <w:rPr>
          <w:rFonts w:eastAsia="方正仿宋_GBK"/>
          <w:color w:val="000000"/>
          <w:sz w:val="32"/>
          <w:szCs w:val="32"/>
        </w:rPr>
      </w:pPr>
      <w:r>
        <w:rPr>
          <w:rFonts w:eastAsia="方正仿宋_GBK"/>
          <w:color w:val="000000"/>
          <w:sz w:val="32"/>
          <w:szCs w:val="32"/>
        </w:rPr>
        <w:t>12.基本支出：指为保障机构正常运转、完成日常工作任务而发生的人员支出和公用支出。</w:t>
      </w:r>
    </w:p>
    <w:p w14:paraId="465319DB">
      <w:pPr>
        <w:spacing w:line="600" w:lineRule="exact"/>
        <w:ind w:firstLine="640" w:firstLineChars="200"/>
        <w:rPr>
          <w:rFonts w:eastAsia="方正仿宋_GBK"/>
          <w:color w:val="000000"/>
          <w:sz w:val="32"/>
          <w:szCs w:val="32"/>
        </w:rPr>
      </w:pPr>
      <w:r>
        <w:rPr>
          <w:rFonts w:eastAsia="方正仿宋_GBK"/>
          <w:color w:val="000000"/>
          <w:sz w:val="32"/>
          <w:szCs w:val="32"/>
        </w:rPr>
        <w:t xml:space="preserve">13.项目支出：指在基本支出之外为完成特定行政任务和事业发展目标所发生的支出。 </w:t>
      </w:r>
    </w:p>
    <w:p w14:paraId="38CAC46E">
      <w:pPr>
        <w:pStyle w:val="26"/>
        <w:spacing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14.“三公”经费：指部门用财政拨款安排的因公出国（境）费、公务用车购置及运行费和公务接待费。其中，因公出国（境）费反映单位公务出国（境）的国际旅费、国外城市间交通费、住宿费、伙食费、培训费、公杂费等支出</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公务用车购置及运行费反映单位公务用车车辆购置支出（含车辆购置税）及租用费、燃料费、维修费、过路过桥费、保险费等支出；公务接待费反映单位按规定开支的各类公务接待（含外宾接待）支出。</w:t>
      </w:r>
    </w:p>
    <w:p w14:paraId="2D6B5403">
      <w:pPr>
        <w:spacing w:line="600" w:lineRule="exact"/>
        <w:jc w:val="center"/>
        <w:rPr>
          <w:rStyle w:val="28"/>
          <w:rFonts w:ascii="方正小标宋_GBK" w:hAnsi="方正小标宋_GBK" w:eastAsia="方正小标宋_GBK" w:cs="方正小标宋_GBK"/>
        </w:rPr>
      </w:pPr>
      <w:r>
        <w:rPr>
          <w:rFonts w:eastAsia="方正仿宋_GBK"/>
          <w:sz w:val="32"/>
          <w:szCs w:val="32"/>
        </w:rPr>
        <w:br w:type="page"/>
      </w:r>
      <w:bookmarkStart w:id="146" w:name="_Toc15396614"/>
      <w:r>
        <w:rPr>
          <w:rFonts w:hint="eastAsia" w:ascii="方正小标宋_GBK" w:hAnsi="方正小标宋_GBK" w:eastAsia="方正小标宋_GBK" w:cs="方正小标宋_GBK"/>
          <w:b/>
          <w:bCs/>
          <w:sz w:val="44"/>
          <w:szCs w:val="44"/>
        </w:rPr>
        <w:t>第四部分  附件</w:t>
      </w:r>
      <w:bookmarkEnd w:id="146"/>
    </w:p>
    <w:p w14:paraId="3D75553A">
      <w:pPr>
        <w:spacing w:line="600" w:lineRule="exact"/>
        <w:jc w:val="left"/>
        <w:outlineLvl w:val="0"/>
        <w:rPr>
          <w:rFonts w:eastAsia="黑体" w:cs="黑体"/>
          <w:color w:val="FF0000"/>
          <w:sz w:val="32"/>
          <w:szCs w:val="32"/>
        </w:rPr>
      </w:pPr>
    </w:p>
    <w:p w14:paraId="6A5D5F49">
      <w:pPr>
        <w:pStyle w:val="13"/>
        <w:spacing w:line="600" w:lineRule="exact"/>
      </w:pPr>
    </w:p>
    <w:p w14:paraId="74669088">
      <w:pPr>
        <w:pStyle w:val="7"/>
        <w:spacing w:after="0" w:line="600" w:lineRule="exact"/>
        <w:ind w:left="0" w:leftChars="0"/>
      </w:pPr>
    </w:p>
    <w:p w14:paraId="16D7FDE2">
      <w:pPr>
        <w:spacing w:line="600" w:lineRule="exact"/>
      </w:pPr>
    </w:p>
    <w:p w14:paraId="27251B8C">
      <w:pPr>
        <w:pStyle w:val="13"/>
        <w:spacing w:line="600" w:lineRule="exact"/>
      </w:pPr>
    </w:p>
    <w:p w14:paraId="5B440970">
      <w:pPr>
        <w:pStyle w:val="7"/>
        <w:spacing w:after="0" w:line="600" w:lineRule="exact"/>
        <w:ind w:left="0" w:leftChars="0"/>
      </w:pPr>
    </w:p>
    <w:p w14:paraId="0D93629D">
      <w:pPr>
        <w:spacing w:line="600" w:lineRule="exact"/>
      </w:pPr>
    </w:p>
    <w:p w14:paraId="76F2C3BE">
      <w:pPr>
        <w:pStyle w:val="13"/>
        <w:spacing w:line="600" w:lineRule="exact"/>
      </w:pPr>
    </w:p>
    <w:p w14:paraId="69A4DDC6">
      <w:pPr>
        <w:pStyle w:val="7"/>
        <w:spacing w:after="0" w:line="600" w:lineRule="exact"/>
        <w:ind w:left="0" w:leftChars="0"/>
      </w:pPr>
    </w:p>
    <w:p w14:paraId="48BA1E49">
      <w:pPr>
        <w:spacing w:line="600" w:lineRule="exact"/>
      </w:pPr>
    </w:p>
    <w:p w14:paraId="7B66C8D4">
      <w:pPr>
        <w:pStyle w:val="13"/>
        <w:spacing w:line="600" w:lineRule="exact"/>
      </w:pPr>
    </w:p>
    <w:p w14:paraId="7973EDFB">
      <w:pPr>
        <w:pStyle w:val="7"/>
        <w:spacing w:after="0" w:line="600" w:lineRule="exact"/>
        <w:ind w:left="0" w:leftChars="0"/>
      </w:pPr>
    </w:p>
    <w:p w14:paraId="5AEBD82E">
      <w:pPr>
        <w:spacing w:line="600" w:lineRule="exact"/>
      </w:pPr>
    </w:p>
    <w:p w14:paraId="2DCECB21">
      <w:pPr>
        <w:pStyle w:val="13"/>
        <w:spacing w:line="600" w:lineRule="exact"/>
      </w:pPr>
    </w:p>
    <w:p w14:paraId="08F9594A">
      <w:pPr>
        <w:pStyle w:val="7"/>
        <w:spacing w:after="0" w:line="600" w:lineRule="exact"/>
        <w:ind w:left="0" w:leftChars="0"/>
      </w:pPr>
    </w:p>
    <w:p w14:paraId="35AFD796">
      <w:pPr>
        <w:spacing w:line="600" w:lineRule="exact"/>
      </w:pPr>
    </w:p>
    <w:p w14:paraId="7513DF57">
      <w:pPr>
        <w:pStyle w:val="13"/>
        <w:spacing w:line="600" w:lineRule="exact"/>
      </w:pPr>
    </w:p>
    <w:p w14:paraId="055F055B">
      <w:pPr>
        <w:pStyle w:val="7"/>
        <w:spacing w:after="0" w:line="600" w:lineRule="exact"/>
        <w:ind w:left="0" w:leftChars="0"/>
      </w:pPr>
    </w:p>
    <w:p w14:paraId="71A2AE82">
      <w:pPr>
        <w:spacing w:line="600" w:lineRule="exact"/>
      </w:pPr>
    </w:p>
    <w:p w14:paraId="1389B9A9">
      <w:pPr>
        <w:pStyle w:val="13"/>
        <w:spacing w:line="600" w:lineRule="exact"/>
      </w:pPr>
    </w:p>
    <w:p w14:paraId="34696740">
      <w:pPr>
        <w:pStyle w:val="7"/>
        <w:spacing w:after="0" w:line="600" w:lineRule="exact"/>
        <w:ind w:left="0" w:leftChars="0"/>
      </w:pPr>
    </w:p>
    <w:p w14:paraId="33232A5F">
      <w:pPr>
        <w:spacing w:line="600" w:lineRule="exact"/>
      </w:pPr>
    </w:p>
    <w:p w14:paraId="583B1DE3">
      <w:pPr>
        <w:widowControl/>
        <w:spacing w:line="600" w:lineRule="exact"/>
        <w:jc w:val="center"/>
        <w:rPr>
          <w:rFonts w:ascii="方正小标宋_GBK" w:hAnsi="方正小标宋_GBK" w:eastAsia="方正小标宋_GBK" w:cs="方正小标宋_GBK"/>
          <w:b/>
          <w:bCs/>
          <w:sz w:val="44"/>
          <w:szCs w:val="44"/>
        </w:rPr>
      </w:pPr>
      <w:bookmarkStart w:id="147" w:name="_Toc15396618"/>
      <w:r>
        <w:rPr>
          <w:rFonts w:hint="eastAsia" w:ascii="方正小标宋_GBK" w:hAnsi="方正小标宋_GBK" w:eastAsia="方正小标宋_GBK" w:cs="方正小标宋_GBK"/>
          <w:b/>
          <w:bCs/>
          <w:sz w:val="44"/>
          <w:szCs w:val="44"/>
        </w:rPr>
        <w:t>第</w:t>
      </w:r>
      <w:r>
        <w:rPr>
          <w:rStyle w:val="28"/>
          <w:rFonts w:hint="eastAsia" w:ascii="方正小标宋_GBK" w:hAnsi="方正小标宋_GBK" w:eastAsia="方正小标宋_GBK" w:cs="方正小标宋_GBK"/>
        </w:rPr>
        <w:t>五部分 附表</w:t>
      </w:r>
      <w:bookmarkEnd w:id="141"/>
      <w:bookmarkEnd w:id="147"/>
      <w:bookmarkStart w:id="148" w:name="_Toc15396619"/>
    </w:p>
    <w:p w14:paraId="51076996">
      <w:pPr>
        <w:pStyle w:val="14"/>
        <w:adjustRightInd w:val="0"/>
        <w:snapToGrid w:val="0"/>
        <w:spacing w:line="600" w:lineRule="exact"/>
        <w:ind w:left="0" w:leftChars="0"/>
        <w:jc w:val="left"/>
        <w:rPr>
          <w:rFonts w:eastAsia="仿宋_GB2312" w:cs="仿宋_GB2312"/>
          <w:sz w:val="32"/>
          <w:szCs w:val="32"/>
        </w:rPr>
      </w:pPr>
    </w:p>
    <w:p w14:paraId="2605A819">
      <w:pPr>
        <w:pStyle w:val="14"/>
        <w:adjustRightInd w:val="0"/>
        <w:snapToGrid w:val="0"/>
        <w:spacing w:line="600" w:lineRule="exact"/>
        <w:ind w:left="0" w:leftChars="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一、收入支出决算总表</w:t>
      </w:r>
      <w:bookmarkEnd w:id="148"/>
    </w:p>
    <w:p w14:paraId="3639F466">
      <w:pPr>
        <w:pStyle w:val="14"/>
        <w:adjustRightInd w:val="0"/>
        <w:snapToGrid w:val="0"/>
        <w:spacing w:line="600" w:lineRule="exact"/>
        <w:ind w:left="0" w:leftChars="0"/>
        <w:jc w:val="left"/>
        <w:rPr>
          <w:rFonts w:ascii="方正仿宋_GBK" w:hAnsi="方正仿宋_GBK" w:eastAsia="方正仿宋_GBK" w:cs="方正仿宋_GBK"/>
          <w:sz w:val="32"/>
          <w:szCs w:val="32"/>
        </w:rPr>
      </w:pPr>
      <w:bookmarkStart w:id="149" w:name="_Toc15396620"/>
      <w:r>
        <w:rPr>
          <w:rFonts w:hint="eastAsia" w:ascii="方正仿宋_GBK" w:hAnsi="方正仿宋_GBK" w:eastAsia="方正仿宋_GBK" w:cs="方正仿宋_GBK"/>
          <w:sz w:val="32"/>
          <w:szCs w:val="32"/>
        </w:rPr>
        <w:t>二、收入决算表</w:t>
      </w:r>
      <w:bookmarkEnd w:id="149"/>
    </w:p>
    <w:p w14:paraId="11B388F8">
      <w:pPr>
        <w:pStyle w:val="14"/>
        <w:adjustRightInd w:val="0"/>
        <w:snapToGrid w:val="0"/>
        <w:spacing w:line="600" w:lineRule="exact"/>
        <w:ind w:left="0" w:leftChars="0"/>
        <w:jc w:val="left"/>
        <w:rPr>
          <w:rFonts w:ascii="方正仿宋_GBK" w:hAnsi="方正仿宋_GBK" w:eastAsia="方正仿宋_GBK" w:cs="方正仿宋_GBK"/>
          <w:sz w:val="32"/>
          <w:szCs w:val="32"/>
        </w:rPr>
      </w:pPr>
      <w:bookmarkStart w:id="150" w:name="_Toc15396621"/>
      <w:r>
        <w:rPr>
          <w:rFonts w:hint="eastAsia" w:ascii="方正仿宋_GBK" w:hAnsi="方正仿宋_GBK" w:eastAsia="方正仿宋_GBK" w:cs="方正仿宋_GBK"/>
          <w:sz w:val="32"/>
          <w:szCs w:val="32"/>
        </w:rPr>
        <w:t>三、支出决算表</w:t>
      </w:r>
      <w:bookmarkEnd w:id="150"/>
    </w:p>
    <w:p w14:paraId="7F202800">
      <w:pPr>
        <w:pStyle w:val="14"/>
        <w:adjustRightInd w:val="0"/>
        <w:snapToGrid w:val="0"/>
        <w:spacing w:line="600" w:lineRule="exact"/>
        <w:ind w:left="0" w:leftChars="0"/>
        <w:jc w:val="left"/>
        <w:rPr>
          <w:rFonts w:ascii="方正仿宋_GBK" w:hAnsi="方正仿宋_GBK" w:eastAsia="方正仿宋_GBK" w:cs="方正仿宋_GBK"/>
          <w:sz w:val="32"/>
          <w:szCs w:val="32"/>
        </w:rPr>
      </w:pPr>
      <w:bookmarkStart w:id="151" w:name="_Toc15396622"/>
      <w:r>
        <w:rPr>
          <w:rFonts w:hint="eastAsia" w:ascii="方正仿宋_GBK" w:hAnsi="方正仿宋_GBK" w:eastAsia="方正仿宋_GBK" w:cs="方正仿宋_GBK"/>
          <w:sz w:val="32"/>
          <w:szCs w:val="32"/>
        </w:rPr>
        <w:t>四、财政拨款收入支出决算总表</w:t>
      </w:r>
      <w:bookmarkEnd w:id="151"/>
    </w:p>
    <w:p w14:paraId="0386E296">
      <w:pPr>
        <w:pStyle w:val="14"/>
        <w:adjustRightInd w:val="0"/>
        <w:snapToGrid w:val="0"/>
        <w:spacing w:line="600" w:lineRule="exact"/>
        <w:ind w:left="0" w:leftChars="0"/>
        <w:jc w:val="left"/>
        <w:rPr>
          <w:rFonts w:ascii="方正仿宋_GBK" w:hAnsi="方正仿宋_GBK" w:eastAsia="方正仿宋_GBK" w:cs="方正仿宋_GBK"/>
          <w:sz w:val="32"/>
          <w:szCs w:val="32"/>
        </w:rPr>
      </w:pPr>
      <w:bookmarkStart w:id="152" w:name="_Toc15396623"/>
      <w:r>
        <w:rPr>
          <w:rFonts w:hint="eastAsia" w:ascii="方正仿宋_GBK" w:hAnsi="方正仿宋_GBK" w:eastAsia="方正仿宋_GBK" w:cs="方正仿宋_GBK"/>
          <w:sz w:val="32"/>
          <w:szCs w:val="32"/>
        </w:rPr>
        <w:t>五、财政拨款支出决算明细表</w:t>
      </w:r>
      <w:bookmarkEnd w:id="152"/>
      <w:bookmarkStart w:id="153" w:name="_Toc15396624"/>
    </w:p>
    <w:p w14:paraId="14895523">
      <w:pPr>
        <w:pStyle w:val="14"/>
        <w:adjustRightInd w:val="0"/>
        <w:snapToGrid w:val="0"/>
        <w:spacing w:line="600" w:lineRule="exact"/>
        <w:ind w:left="0" w:leftChars="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六、一般公共预算财政拨款支出决算表</w:t>
      </w:r>
      <w:bookmarkEnd w:id="153"/>
    </w:p>
    <w:p w14:paraId="3534D84B">
      <w:pPr>
        <w:pStyle w:val="14"/>
        <w:adjustRightInd w:val="0"/>
        <w:snapToGrid w:val="0"/>
        <w:spacing w:line="600" w:lineRule="exact"/>
        <w:ind w:left="0" w:leftChars="0"/>
        <w:jc w:val="left"/>
        <w:rPr>
          <w:rFonts w:ascii="方正仿宋_GBK" w:hAnsi="方正仿宋_GBK" w:eastAsia="方正仿宋_GBK" w:cs="方正仿宋_GBK"/>
          <w:sz w:val="32"/>
          <w:szCs w:val="32"/>
        </w:rPr>
      </w:pPr>
      <w:bookmarkStart w:id="154" w:name="_Toc15396625"/>
      <w:r>
        <w:rPr>
          <w:rFonts w:hint="eastAsia" w:ascii="方正仿宋_GBK" w:hAnsi="方正仿宋_GBK" w:eastAsia="方正仿宋_GBK" w:cs="方正仿宋_GBK"/>
          <w:sz w:val="32"/>
          <w:szCs w:val="32"/>
        </w:rPr>
        <w:t>七、一般公共预算财政拨款支出决算明细表</w:t>
      </w:r>
      <w:bookmarkEnd w:id="154"/>
    </w:p>
    <w:p w14:paraId="15D355A0">
      <w:pPr>
        <w:pStyle w:val="14"/>
        <w:adjustRightInd w:val="0"/>
        <w:snapToGrid w:val="0"/>
        <w:spacing w:line="600" w:lineRule="exact"/>
        <w:ind w:left="0" w:leftChars="0"/>
        <w:jc w:val="left"/>
        <w:rPr>
          <w:rFonts w:ascii="方正仿宋_GBK" w:hAnsi="方正仿宋_GBK" w:eastAsia="方正仿宋_GBK" w:cs="方正仿宋_GBK"/>
          <w:sz w:val="32"/>
          <w:szCs w:val="32"/>
        </w:rPr>
      </w:pPr>
      <w:bookmarkStart w:id="155" w:name="_Toc15396626"/>
      <w:r>
        <w:rPr>
          <w:rFonts w:hint="eastAsia" w:ascii="方正仿宋_GBK" w:hAnsi="方正仿宋_GBK" w:eastAsia="方正仿宋_GBK" w:cs="方正仿宋_GBK"/>
          <w:sz w:val="32"/>
          <w:szCs w:val="32"/>
        </w:rPr>
        <w:t>八、一般公共预算财政拨款基本支出决算表</w:t>
      </w:r>
      <w:bookmarkEnd w:id="155"/>
    </w:p>
    <w:p w14:paraId="2F6941F4">
      <w:pPr>
        <w:pStyle w:val="14"/>
        <w:adjustRightInd w:val="0"/>
        <w:snapToGrid w:val="0"/>
        <w:spacing w:line="600" w:lineRule="exact"/>
        <w:ind w:left="0" w:leftChars="0"/>
        <w:jc w:val="left"/>
        <w:rPr>
          <w:rFonts w:ascii="方正仿宋_GBK" w:hAnsi="方正仿宋_GBK" w:eastAsia="方正仿宋_GBK" w:cs="方正仿宋_GBK"/>
          <w:sz w:val="32"/>
          <w:szCs w:val="32"/>
        </w:rPr>
      </w:pPr>
      <w:bookmarkStart w:id="156" w:name="_Toc15396627"/>
      <w:r>
        <w:rPr>
          <w:rFonts w:hint="eastAsia" w:ascii="方正仿宋_GBK" w:hAnsi="方正仿宋_GBK" w:eastAsia="方正仿宋_GBK" w:cs="方正仿宋_GBK"/>
          <w:sz w:val="32"/>
          <w:szCs w:val="32"/>
        </w:rPr>
        <w:t>九、一般公共预算财政拨款项目支出决算表</w:t>
      </w:r>
      <w:bookmarkEnd w:id="156"/>
    </w:p>
    <w:p w14:paraId="4DC0D0D1">
      <w:pPr>
        <w:pStyle w:val="14"/>
        <w:adjustRightInd w:val="0"/>
        <w:snapToGrid w:val="0"/>
        <w:spacing w:line="600" w:lineRule="exact"/>
        <w:ind w:left="0" w:leftChars="0"/>
        <w:jc w:val="left"/>
        <w:rPr>
          <w:rFonts w:ascii="方正仿宋_GBK" w:hAnsi="方正仿宋_GBK" w:eastAsia="方正仿宋_GBK" w:cs="方正仿宋_GBK"/>
          <w:sz w:val="32"/>
          <w:szCs w:val="32"/>
        </w:rPr>
      </w:pPr>
      <w:bookmarkStart w:id="157" w:name="_Toc15396628"/>
      <w:r>
        <w:rPr>
          <w:rFonts w:hint="eastAsia" w:ascii="方正仿宋_GBK" w:hAnsi="方正仿宋_GBK" w:eastAsia="方正仿宋_GBK" w:cs="方正仿宋_GBK"/>
          <w:sz w:val="32"/>
          <w:szCs w:val="32"/>
        </w:rPr>
        <w:t>十、</w:t>
      </w:r>
      <w:bookmarkEnd w:id="157"/>
      <w:r>
        <w:rPr>
          <w:rFonts w:hint="eastAsia" w:ascii="方正仿宋_GBK" w:hAnsi="方正仿宋_GBK" w:eastAsia="方正仿宋_GBK" w:cs="方正仿宋_GBK"/>
          <w:sz w:val="32"/>
          <w:szCs w:val="32"/>
        </w:rPr>
        <w:t>政府性基金预算财政拨款收入支出决算表</w:t>
      </w:r>
    </w:p>
    <w:p w14:paraId="26EE545D">
      <w:pPr>
        <w:pStyle w:val="14"/>
        <w:adjustRightInd w:val="0"/>
        <w:snapToGrid w:val="0"/>
        <w:spacing w:line="600" w:lineRule="exact"/>
        <w:ind w:left="0" w:leftChars="0"/>
        <w:jc w:val="left"/>
        <w:rPr>
          <w:rFonts w:ascii="方正仿宋_GBK" w:hAnsi="方正仿宋_GBK" w:eastAsia="方正仿宋_GBK" w:cs="方正仿宋_GBK"/>
          <w:sz w:val="32"/>
          <w:szCs w:val="32"/>
        </w:rPr>
      </w:pPr>
      <w:bookmarkStart w:id="158" w:name="_Toc15396629"/>
      <w:r>
        <w:rPr>
          <w:rFonts w:hint="eastAsia" w:ascii="方正仿宋_GBK" w:hAnsi="方正仿宋_GBK" w:eastAsia="方正仿宋_GBK" w:cs="方正仿宋_GBK"/>
          <w:sz w:val="32"/>
          <w:szCs w:val="32"/>
        </w:rPr>
        <w:t>十一、</w:t>
      </w:r>
      <w:bookmarkEnd w:id="158"/>
      <w:r>
        <w:rPr>
          <w:rFonts w:hint="eastAsia" w:ascii="方正仿宋_GBK" w:hAnsi="方正仿宋_GBK" w:eastAsia="方正仿宋_GBK" w:cs="方正仿宋_GBK"/>
          <w:sz w:val="32"/>
          <w:szCs w:val="32"/>
        </w:rPr>
        <w:t>国有资本经营预算财政拨款收入支出决算表</w:t>
      </w:r>
    </w:p>
    <w:p w14:paraId="7DE1D7B5">
      <w:pPr>
        <w:pStyle w:val="14"/>
        <w:adjustRightInd w:val="0"/>
        <w:snapToGrid w:val="0"/>
        <w:spacing w:line="600" w:lineRule="exact"/>
        <w:ind w:left="0" w:leftChars="0"/>
        <w:jc w:val="left"/>
        <w:rPr>
          <w:rFonts w:ascii="方正仿宋_GBK" w:hAnsi="方正仿宋_GBK" w:eastAsia="方正仿宋_GBK" w:cs="方正仿宋_GBK"/>
          <w:sz w:val="32"/>
          <w:szCs w:val="32"/>
        </w:rPr>
      </w:pPr>
      <w:bookmarkStart w:id="159" w:name="_Toc15396630"/>
      <w:r>
        <w:rPr>
          <w:rFonts w:hint="eastAsia" w:ascii="方正仿宋_GBK" w:hAnsi="方正仿宋_GBK" w:eastAsia="方正仿宋_GBK" w:cs="方正仿宋_GBK"/>
          <w:sz w:val="32"/>
          <w:szCs w:val="32"/>
        </w:rPr>
        <w:t>十二、</w:t>
      </w:r>
      <w:bookmarkEnd w:id="159"/>
      <w:r>
        <w:rPr>
          <w:rFonts w:hint="eastAsia" w:ascii="方正仿宋_GBK" w:hAnsi="方正仿宋_GBK" w:eastAsia="方正仿宋_GBK" w:cs="方正仿宋_GBK"/>
          <w:sz w:val="32"/>
          <w:szCs w:val="32"/>
        </w:rPr>
        <w:t>国有资本经营预算财政拨款支出决算表</w:t>
      </w:r>
    </w:p>
    <w:p w14:paraId="2994326F">
      <w:pPr>
        <w:pStyle w:val="14"/>
        <w:adjustRightInd w:val="0"/>
        <w:snapToGrid w:val="0"/>
        <w:spacing w:line="600" w:lineRule="exact"/>
        <w:ind w:left="0" w:leftChars="0"/>
        <w:jc w:val="left"/>
        <w:rPr>
          <w:rFonts w:ascii="方正仿宋_GBK" w:hAnsi="方正仿宋_GBK" w:eastAsia="方正仿宋_GBK" w:cs="方正仿宋_GBK"/>
          <w:sz w:val="32"/>
          <w:szCs w:val="32"/>
        </w:rPr>
      </w:pPr>
      <w:bookmarkStart w:id="160" w:name="_Toc15396631"/>
      <w:r>
        <w:rPr>
          <w:rFonts w:hint="eastAsia" w:ascii="方正仿宋_GBK" w:hAnsi="方正仿宋_GBK" w:eastAsia="方正仿宋_GBK" w:cs="方正仿宋_GBK"/>
          <w:sz w:val="32"/>
          <w:szCs w:val="32"/>
        </w:rPr>
        <w:t>十三、</w:t>
      </w:r>
      <w:bookmarkEnd w:id="160"/>
      <w:r>
        <w:rPr>
          <w:rFonts w:hint="eastAsia" w:ascii="方正仿宋_GBK" w:hAnsi="方正仿宋_GBK" w:eastAsia="方正仿宋_GBK" w:cs="方正仿宋_GBK"/>
          <w:sz w:val="32"/>
          <w:szCs w:val="32"/>
        </w:rPr>
        <w:t>财政拨款“三公”经费支出决算表</w:t>
      </w:r>
    </w:p>
    <w:p w14:paraId="1CD91364"/>
    <w:sectPr>
      <w:footerReference r:id="rId9"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hakuyoxingshu7000"/>
    <w:panose1 w:val="00000000000000000000"/>
    <w:charset w:val="00"/>
    <w:family w:val="auto"/>
    <w:pitch w:val="default"/>
    <w:sig w:usb0="00000000" w:usb1="00000000" w:usb2="00000000" w:usb3="00000000" w:csb0="00040001" w:csb1="00000000"/>
  </w:font>
  <w:font w:name="hakuyoxingshu7000">
    <w:panose1 w:val="02000600000000000000"/>
    <w:charset w:val="86"/>
    <w:family w:val="auto"/>
    <w:pitch w:val="default"/>
    <w:sig w:usb0="FFFFFFFF" w:usb1="E9FFFFFF" w:usb2="0000003F" w:usb3="00000000" w:csb0="603F00FF" w:csb1="FFFF0000"/>
  </w:font>
  <w:font w:name="方正黑体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89277">
    <w:pPr>
      <w:pStyle w:val="10"/>
      <w:jc w:val="center"/>
    </w:pPr>
  </w:p>
  <w:p w14:paraId="30473DDC">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FC911">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5D04C">
    <w:pPr>
      <w:pStyle w:val="10"/>
      <w:jc w:val="center"/>
    </w:pPr>
  </w:p>
  <w:p w14:paraId="5CDF0A21">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6EEAC">
    <w:pPr>
      <w:pStyle w:val="10"/>
      <w:jc w:val="center"/>
    </w:pPr>
  </w:p>
  <w:p w14:paraId="2AF7F144">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A59CC">
    <w:pPr>
      <w:pStyle w:val="10"/>
      <w:jc w:val="center"/>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4F6EBED">
                          <w:pPr>
                            <w:pStyle w:val="10"/>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10</w:t>
                          </w:r>
                          <w:r>
                            <w:rPr>
                              <w:sz w:val="21"/>
                              <w:szCs w:val="21"/>
                            </w:rPr>
                            <w:fldChar w:fldCharType="end"/>
                          </w:r>
                          <w:r>
                            <w:rPr>
                              <w:sz w:val="21"/>
                              <w:szCs w:val="21"/>
                            </w:rPr>
                            <w:t xml:space="preserve"> —</w:t>
                          </w:r>
                        </w:p>
                      </w:txbxContent>
                    </wps:txbx>
                    <wps:bodyPr vert="horz" wrap="none" lIns="0" tIns="0" rIns="0" bIns="0" anchor="t" anchorCtr="0" upright="0">
                      <a:spAutoFit/>
                    </wps:bodyPr>
                  </wps:wsp>
                </a:graphicData>
              </a:graphic>
            </wp:anchor>
          </w:drawing>
        </mc:Choice>
        <mc:Fallback>
          <w:pict>
            <v:shape id="文本框 5"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P52+x+IBAADMAwAADgAA&#10;AAAAAAABACAAAAAeAQAAZHJzL2Uyb0RvYy54bWxQSwUGAAAAAAYABgBZAQAAcgUAAAAA&#10;">
              <v:fill on="f" focussize="0,0"/>
              <v:stroke on="f"/>
              <v:imagedata o:title=""/>
              <o:lock v:ext="edit" aspectratio="f"/>
              <v:textbox inset="0mm,0mm,0mm,0mm" style="mso-fit-shape-to-text:t;">
                <w:txbxContent>
                  <w:p w14:paraId="64F6EBED">
                    <w:pPr>
                      <w:pStyle w:val="10"/>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10</w:t>
                    </w:r>
                    <w:r>
                      <w:rPr>
                        <w:sz w:val="21"/>
                        <w:szCs w:val="21"/>
                      </w:rPr>
                      <w:fldChar w:fldCharType="end"/>
                    </w:r>
                    <w:r>
                      <w:rPr>
                        <w:sz w:val="21"/>
                        <w:szCs w:val="21"/>
                      </w:rPr>
                      <w:t xml:space="preserve"> —</w:t>
                    </w:r>
                  </w:p>
                </w:txbxContent>
              </v:textbox>
            </v:shape>
          </w:pict>
        </mc:Fallback>
      </mc:AlternateContent>
    </w:r>
  </w:p>
  <w:p w14:paraId="6F320F89">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30C25">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12089">
    <w:pPr>
      <w:pStyle w:val="1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0693B"/>
    <w:rsid w:val="000222C6"/>
    <w:rsid w:val="0002549F"/>
    <w:rsid w:val="00044B1A"/>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0187"/>
    <w:rsid w:val="000E1143"/>
    <w:rsid w:val="000E6613"/>
    <w:rsid w:val="000E7119"/>
    <w:rsid w:val="00104BF5"/>
    <w:rsid w:val="00111CD1"/>
    <w:rsid w:val="00114E9B"/>
    <w:rsid w:val="00142216"/>
    <w:rsid w:val="00144D6A"/>
    <w:rsid w:val="0014729F"/>
    <w:rsid w:val="00157BAB"/>
    <w:rsid w:val="00161ADD"/>
    <w:rsid w:val="00163351"/>
    <w:rsid w:val="001654D1"/>
    <w:rsid w:val="00174518"/>
    <w:rsid w:val="001773F7"/>
    <w:rsid w:val="0018106D"/>
    <w:rsid w:val="001877A7"/>
    <w:rsid w:val="00191536"/>
    <w:rsid w:val="00196687"/>
    <w:rsid w:val="001C0962"/>
    <w:rsid w:val="001D05F3"/>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7443B"/>
    <w:rsid w:val="00274D9F"/>
    <w:rsid w:val="00280496"/>
    <w:rsid w:val="00294DC9"/>
    <w:rsid w:val="00295495"/>
    <w:rsid w:val="002A06B7"/>
    <w:rsid w:val="002A31DE"/>
    <w:rsid w:val="002B2613"/>
    <w:rsid w:val="002D6D05"/>
    <w:rsid w:val="002E1F26"/>
    <w:rsid w:val="002F1818"/>
    <w:rsid w:val="002F34CD"/>
    <w:rsid w:val="002F567B"/>
    <w:rsid w:val="003216A9"/>
    <w:rsid w:val="00331325"/>
    <w:rsid w:val="00335A74"/>
    <w:rsid w:val="00350862"/>
    <w:rsid w:val="0036561B"/>
    <w:rsid w:val="00366425"/>
    <w:rsid w:val="0037013F"/>
    <w:rsid w:val="00380C92"/>
    <w:rsid w:val="0038693F"/>
    <w:rsid w:val="00397DE2"/>
    <w:rsid w:val="003A167B"/>
    <w:rsid w:val="003A484F"/>
    <w:rsid w:val="003A4883"/>
    <w:rsid w:val="003B0BE0"/>
    <w:rsid w:val="003B0C1B"/>
    <w:rsid w:val="003B688C"/>
    <w:rsid w:val="003B7DC7"/>
    <w:rsid w:val="003C0291"/>
    <w:rsid w:val="003C39AE"/>
    <w:rsid w:val="003C7B60"/>
    <w:rsid w:val="003D0C0F"/>
    <w:rsid w:val="003D1FB2"/>
    <w:rsid w:val="003D66DA"/>
    <w:rsid w:val="003E1310"/>
    <w:rsid w:val="003E6F55"/>
    <w:rsid w:val="00406254"/>
    <w:rsid w:val="004223DE"/>
    <w:rsid w:val="00434489"/>
    <w:rsid w:val="00437085"/>
    <w:rsid w:val="004416E4"/>
    <w:rsid w:val="00443880"/>
    <w:rsid w:val="004464F4"/>
    <w:rsid w:val="0045620D"/>
    <w:rsid w:val="00465EC9"/>
    <w:rsid w:val="0047019A"/>
    <w:rsid w:val="00471401"/>
    <w:rsid w:val="00473F31"/>
    <w:rsid w:val="004809BC"/>
    <w:rsid w:val="0048263A"/>
    <w:rsid w:val="00487E5D"/>
    <w:rsid w:val="00493641"/>
    <w:rsid w:val="004A711F"/>
    <w:rsid w:val="004B199D"/>
    <w:rsid w:val="004B4690"/>
    <w:rsid w:val="004E0A2D"/>
    <w:rsid w:val="004E206B"/>
    <w:rsid w:val="004E6DF7"/>
    <w:rsid w:val="004F0FBD"/>
    <w:rsid w:val="00505A47"/>
    <w:rsid w:val="005114F7"/>
    <w:rsid w:val="00512FDA"/>
    <w:rsid w:val="00520DA0"/>
    <w:rsid w:val="00533DA8"/>
    <w:rsid w:val="005664BB"/>
    <w:rsid w:val="00566FFA"/>
    <w:rsid w:val="00567FA2"/>
    <w:rsid w:val="00571262"/>
    <w:rsid w:val="0057481D"/>
    <w:rsid w:val="00575C6A"/>
    <w:rsid w:val="0058486E"/>
    <w:rsid w:val="00585B33"/>
    <w:rsid w:val="0059014D"/>
    <w:rsid w:val="005A3030"/>
    <w:rsid w:val="005B4863"/>
    <w:rsid w:val="005B5C64"/>
    <w:rsid w:val="005C3D5A"/>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2E45"/>
    <w:rsid w:val="00683E73"/>
    <w:rsid w:val="00685D83"/>
    <w:rsid w:val="00692E45"/>
    <w:rsid w:val="006A3141"/>
    <w:rsid w:val="006A3D42"/>
    <w:rsid w:val="006A5E34"/>
    <w:rsid w:val="006B2422"/>
    <w:rsid w:val="006B2B9A"/>
    <w:rsid w:val="006C1937"/>
    <w:rsid w:val="006F020C"/>
    <w:rsid w:val="007127B7"/>
    <w:rsid w:val="0071798E"/>
    <w:rsid w:val="007416B6"/>
    <w:rsid w:val="00746F48"/>
    <w:rsid w:val="0075404D"/>
    <w:rsid w:val="0076006A"/>
    <w:rsid w:val="0076182A"/>
    <w:rsid w:val="00767B7E"/>
    <w:rsid w:val="007770C3"/>
    <w:rsid w:val="007802E9"/>
    <w:rsid w:val="00784D24"/>
    <w:rsid w:val="00785FBA"/>
    <w:rsid w:val="00786E4A"/>
    <w:rsid w:val="007875EB"/>
    <w:rsid w:val="0079426B"/>
    <w:rsid w:val="007B531A"/>
    <w:rsid w:val="007D1682"/>
    <w:rsid w:val="007D312A"/>
    <w:rsid w:val="007D3F19"/>
    <w:rsid w:val="007E23B0"/>
    <w:rsid w:val="007E23E5"/>
    <w:rsid w:val="007F1991"/>
    <w:rsid w:val="007F2C2F"/>
    <w:rsid w:val="007F55FC"/>
    <w:rsid w:val="007F5665"/>
    <w:rsid w:val="00800112"/>
    <w:rsid w:val="00813348"/>
    <w:rsid w:val="00816CF9"/>
    <w:rsid w:val="00824193"/>
    <w:rsid w:val="008253BB"/>
    <w:rsid w:val="0083706E"/>
    <w:rsid w:val="008408F6"/>
    <w:rsid w:val="008423A5"/>
    <w:rsid w:val="008444BF"/>
    <w:rsid w:val="00850625"/>
    <w:rsid w:val="00853718"/>
    <w:rsid w:val="00855221"/>
    <w:rsid w:val="00860645"/>
    <w:rsid w:val="00862B30"/>
    <w:rsid w:val="00871F71"/>
    <w:rsid w:val="00872FD8"/>
    <w:rsid w:val="00885AF4"/>
    <w:rsid w:val="008939CD"/>
    <w:rsid w:val="008B768C"/>
    <w:rsid w:val="008C4DB1"/>
    <w:rsid w:val="008C4EAF"/>
    <w:rsid w:val="008C5176"/>
    <w:rsid w:val="008C771C"/>
    <w:rsid w:val="008C7FD0"/>
    <w:rsid w:val="008E1DE7"/>
    <w:rsid w:val="008E707C"/>
    <w:rsid w:val="00900B08"/>
    <w:rsid w:val="00902155"/>
    <w:rsid w:val="00902FA3"/>
    <w:rsid w:val="0091162A"/>
    <w:rsid w:val="00923564"/>
    <w:rsid w:val="0092392E"/>
    <w:rsid w:val="009315F9"/>
    <w:rsid w:val="00933499"/>
    <w:rsid w:val="00935C98"/>
    <w:rsid w:val="00946945"/>
    <w:rsid w:val="00951248"/>
    <w:rsid w:val="0095152F"/>
    <w:rsid w:val="00954C49"/>
    <w:rsid w:val="00955E37"/>
    <w:rsid w:val="00967FE4"/>
    <w:rsid w:val="009703E6"/>
    <w:rsid w:val="0097099F"/>
    <w:rsid w:val="00971997"/>
    <w:rsid w:val="00971FFC"/>
    <w:rsid w:val="0098660A"/>
    <w:rsid w:val="00987D95"/>
    <w:rsid w:val="009931C3"/>
    <w:rsid w:val="009A1776"/>
    <w:rsid w:val="009B2C43"/>
    <w:rsid w:val="009B4EAE"/>
    <w:rsid w:val="009B7573"/>
    <w:rsid w:val="009C22F4"/>
    <w:rsid w:val="009C2A4B"/>
    <w:rsid w:val="009C2E98"/>
    <w:rsid w:val="009D185C"/>
    <w:rsid w:val="009D3447"/>
    <w:rsid w:val="009D4711"/>
    <w:rsid w:val="009F1185"/>
    <w:rsid w:val="009F18CD"/>
    <w:rsid w:val="009F2A13"/>
    <w:rsid w:val="009F7527"/>
    <w:rsid w:val="009F7CFB"/>
    <w:rsid w:val="00A04EB0"/>
    <w:rsid w:val="00A13CC1"/>
    <w:rsid w:val="00A16847"/>
    <w:rsid w:val="00A237D8"/>
    <w:rsid w:val="00A268C4"/>
    <w:rsid w:val="00A307CD"/>
    <w:rsid w:val="00A331C8"/>
    <w:rsid w:val="00A40A00"/>
    <w:rsid w:val="00A4142F"/>
    <w:rsid w:val="00A422EB"/>
    <w:rsid w:val="00A4430D"/>
    <w:rsid w:val="00A45BB7"/>
    <w:rsid w:val="00A56DF2"/>
    <w:rsid w:val="00A56E6E"/>
    <w:rsid w:val="00A67AB5"/>
    <w:rsid w:val="00A733B2"/>
    <w:rsid w:val="00A741C2"/>
    <w:rsid w:val="00A91760"/>
    <w:rsid w:val="00A93B00"/>
    <w:rsid w:val="00A93C21"/>
    <w:rsid w:val="00AB64C9"/>
    <w:rsid w:val="00AC3C6A"/>
    <w:rsid w:val="00AD1F97"/>
    <w:rsid w:val="00AD5620"/>
    <w:rsid w:val="00AD656B"/>
    <w:rsid w:val="00AD7C1B"/>
    <w:rsid w:val="00AE16BA"/>
    <w:rsid w:val="00AE1EBE"/>
    <w:rsid w:val="00B03C9D"/>
    <w:rsid w:val="00B05EA2"/>
    <w:rsid w:val="00B060AE"/>
    <w:rsid w:val="00B10517"/>
    <w:rsid w:val="00B10A44"/>
    <w:rsid w:val="00B14E76"/>
    <w:rsid w:val="00B161B8"/>
    <w:rsid w:val="00B169B5"/>
    <w:rsid w:val="00B2048C"/>
    <w:rsid w:val="00B2331A"/>
    <w:rsid w:val="00B310B9"/>
    <w:rsid w:val="00B35F3F"/>
    <w:rsid w:val="00B36CBB"/>
    <w:rsid w:val="00B40848"/>
    <w:rsid w:val="00B425E0"/>
    <w:rsid w:val="00B440AA"/>
    <w:rsid w:val="00B44B70"/>
    <w:rsid w:val="00B46162"/>
    <w:rsid w:val="00B53C56"/>
    <w:rsid w:val="00B57DAF"/>
    <w:rsid w:val="00B753C1"/>
    <w:rsid w:val="00B77EA6"/>
    <w:rsid w:val="00B81598"/>
    <w:rsid w:val="00B841F1"/>
    <w:rsid w:val="00B944D6"/>
    <w:rsid w:val="00BB4B80"/>
    <w:rsid w:val="00BB4DF0"/>
    <w:rsid w:val="00BC289F"/>
    <w:rsid w:val="00BC2D50"/>
    <w:rsid w:val="00BC5361"/>
    <w:rsid w:val="00BC5460"/>
    <w:rsid w:val="00BC67CA"/>
    <w:rsid w:val="00BC6B50"/>
    <w:rsid w:val="00BD0E25"/>
    <w:rsid w:val="00BD4197"/>
    <w:rsid w:val="00BD77E9"/>
    <w:rsid w:val="00BE1A9E"/>
    <w:rsid w:val="00BF5BD6"/>
    <w:rsid w:val="00C03E31"/>
    <w:rsid w:val="00C04583"/>
    <w:rsid w:val="00C1562F"/>
    <w:rsid w:val="00C33E72"/>
    <w:rsid w:val="00C354B2"/>
    <w:rsid w:val="00C35554"/>
    <w:rsid w:val="00C42709"/>
    <w:rsid w:val="00C533CC"/>
    <w:rsid w:val="00C5751C"/>
    <w:rsid w:val="00C61BFC"/>
    <w:rsid w:val="00C62B85"/>
    <w:rsid w:val="00C63272"/>
    <w:rsid w:val="00C65438"/>
    <w:rsid w:val="00C87FD8"/>
    <w:rsid w:val="00C91381"/>
    <w:rsid w:val="00C91CBB"/>
    <w:rsid w:val="00CB036E"/>
    <w:rsid w:val="00CB050E"/>
    <w:rsid w:val="00CB4E70"/>
    <w:rsid w:val="00CC09B6"/>
    <w:rsid w:val="00CC666F"/>
    <w:rsid w:val="00CD1E3F"/>
    <w:rsid w:val="00CD2578"/>
    <w:rsid w:val="00CE44F6"/>
    <w:rsid w:val="00CE49DA"/>
    <w:rsid w:val="00CE7B61"/>
    <w:rsid w:val="00CF21D3"/>
    <w:rsid w:val="00D00095"/>
    <w:rsid w:val="00D114F0"/>
    <w:rsid w:val="00D20620"/>
    <w:rsid w:val="00D254F7"/>
    <w:rsid w:val="00D26091"/>
    <w:rsid w:val="00D2685C"/>
    <w:rsid w:val="00D34E7C"/>
    <w:rsid w:val="00D35489"/>
    <w:rsid w:val="00D36886"/>
    <w:rsid w:val="00D36AFE"/>
    <w:rsid w:val="00D43BF5"/>
    <w:rsid w:val="00D51247"/>
    <w:rsid w:val="00D51276"/>
    <w:rsid w:val="00D7035F"/>
    <w:rsid w:val="00DA634F"/>
    <w:rsid w:val="00DA65AC"/>
    <w:rsid w:val="00DB1913"/>
    <w:rsid w:val="00DB6425"/>
    <w:rsid w:val="00DC410D"/>
    <w:rsid w:val="00DC5A81"/>
    <w:rsid w:val="00DC68CA"/>
    <w:rsid w:val="00DC7CBA"/>
    <w:rsid w:val="00DD73B7"/>
    <w:rsid w:val="00DF28BC"/>
    <w:rsid w:val="00DF34B9"/>
    <w:rsid w:val="00E01053"/>
    <w:rsid w:val="00E0539F"/>
    <w:rsid w:val="00E07ACF"/>
    <w:rsid w:val="00E11CBB"/>
    <w:rsid w:val="00E13816"/>
    <w:rsid w:val="00E331A1"/>
    <w:rsid w:val="00E33202"/>
    <w:rsid w:val="00E336A9"/>
    <w:rsid w:val="00E41741"/>
    <w:rsid w:val="00E472B1"/>
    <w:rsid w:val="00E50624"/>
    <w:rsid w:val="00E54633"/>
    <w:rsid w:val="00E568DF"/>
    <w:rsid w:val="00E64269"/>
    <w:rsid w:val="00E82267"/>
    <w:rsid w:val="00E853CE"/>
    <w:rsid w:val="00E867B6"/>
    <w:rsid w:val="00EA010F"/>
    <w:rsid w:val="00EC4643"/>
    <w:rsid w:val="00ED1B63"/>
    <w:rsid w:val="00ED3C1F"/>
    <w:rsid w:val="00ED4085"/>
    <w:rsid w:val="00ED420E"/>
    <w:rsid w:val="00ED6FBE"/>
    <w:rsid w:val="00EE2F57"/>
    <w:rsid w:val="00EF1226"/>
    <w:rsid w:val="00EF4C34"/>
    <w:rsid w:val="00EF77C6"/>
    <w:rsid w:val="00F05438"/>
    <w:rsid w:val="00F1361C"/>
    <w:rsid w:val="00F156F0"/>
    <w:rsid w:val="00F160C7"/>
    <w:rsid w:val="00F2354C"/>
    <w:rsid w:val="00F2408F"/>
    <w:rsid w:val="00F240E9"/>
    <w:rsid w:val="00F36D8F"/>
    <w:rsid w:val="00F417B1"/>
    <w:rsid w:val="00F45853"/>
    <w:rsid w:val="00F602DF"/>
    <w:rsid w:val="00F754A1"/>
    <w:rsid w:val="00F81FD9"/>
    <w:rsid w:val="00F841AA"/>
    <w:rsid w:val="00F84A94"/>
    <w:rsid w:val="00F87E96"/>
    <w:rsid w:val="00FA23E8"/>
    <w:rsid w:val="00FD3CC1"/>
    <w:rsid w:val="00FE3D95"/>
    <w:rsid w:val="00FF1E02"/>
    <w:rsid w:val="00FF30B4"/>
    <w:rsid w:val="00FF5443"/>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AC97195"/>
    <w:rsid w:val="1B7D550C"/>
    <w:rsid w:val="1BE8440E"/>
    <w:rsid w:val="1D155CEE"/>
    <w:rsid w:val="1E740ACF"/>
    <w:rsid w:val="1FF35744"/>
    <w:rsid w:val="1FF6BC77"/>
    <w:rsid w:val="21962A9E"/>
    <w:rsid w:val="21AE7C77"/>
    <w:rsid w:val="22BC3C41"/>
    <w:rsid w:val="23860B96"/>
    <w:rsid w:val="240371BF"/>
    <w:rsid w:val="260F557C"/>
    <w:rsid w:val="281408E2"/>
    <w:rsid w:val="28BF6D81"/>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D5218D"/>
    <w:rsid w:val="44E268DA"/>
    <w:rsid w:val="453F7E5B"/>
    <w:rsid w:val="47D59BE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AE33AD"/>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EF28987"/>
    <w:rsid w:val="BF3735D5"/>
    <w:rsid w:val="BF7F09AC"/>
    <w:rsid w:val="BFD475C3"/>
    <w:rsid w:val="BFDE5EA6"/>
    <w:rsid w:val="CF6FC6F3"/>
    <w:rsid w:val="CFD3D3D7"/>
    <w:rsid w:val="CFDF1009"/>
    <w:rsid w:val="D77CFFDC"/>
    <w:rsid w:val="D7D7B16A"/>
    <w:rsid w:val="D8D6DB89"/>
    <w:rsid w:val="DB6F4CAB"/>
    <w:rsid w:val="DB777682"/>
    <w:rsid w:val="DD1FB521"/>
    <w:rsid w:val="DE76D405"/>
    <w:rsid w:val="DEFBFEAE"/>
    <w:rsid w:val="DF1F3B80"/>
    <w:rsid w:val="DF6F9789"/>
    <w:rsid w:val="DFFFA9E8"/>
    <w:rsid w:val="E5F4E9DC"/>
    <w:rsid w:val="E70FE695"/>
    <w:rsid w:val="ECFED1BC"/>
    <w:rsid w:val="ED1D69BB"/>
    <w:rsid w:val="ED7FD312"/>
    <w:rsid w:val="EF53993F"/>
    <w:rsid w:val="EF6FD633"/>
    <w:rsid w:val="EFBFB2F4"/>
    <w:rsid w:val="EFBFFA21"/>
    <w:rsid w:val="EFFBA316"/>
    <w:rsid w:val="F2BEBCB8"/>
    <w:rsid w:val="F36FB518"/>
    <w:rsid w:val="F3DE1A04"/>
    <w:rsid w:val="F3F722E5"/>
    <w:rsid w:val="F7FE5F3C"/>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next w:val="1"/>
    <w:link w:val="35"/>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character" w:customStyle="1" w:styleId="35">
    <w:name w:val="正文首行缩进 2 Char"/>
    <w:basedOn w:val="16"/>
    <w:link w:val="7"/>
    <w:qFormat/>
    <w:uiPriority w:val="99"/>
    <w:rPr>
      <w:rFonts w:ascii="仿宋_GB2312"/>
      <w:kern w:val="2"/>
      <w:sz w:val="21"/>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025&#24180;&#20915;&#31639;&#20844;&#24320;\2025&#24180;&#20915;&#31639;&#39292;&#29366;&#2227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025&#24180;&#20915;&#31639;&#20844;&#24320;\2025&#24180;&#20915;&#31639;&#39292;&#29366;&#2227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025&#24180;&#20915;&#31639;&#20844;&#24320;\2025&#24180;&#20915;&#31639;&#39292;&#29366;&#2227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2025&#24180;&#20915;&#31639;&#20844;&#24320;\2025&#24180;&#20915;&#31639;&#39292;&#29366;&#2227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025&#24180;&#20915;&#31639;&#20844;&#24320;\2025&#24180;&#20915;&#31639;&#39292;&#29366;&#2227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025&#24180;&#20915;&#31639;&#20844;&#24320;\2025&#24180;&#20915;&#31639;&#39292;&#29366;&#22270;.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istrator\Desktop\2025&#24180;&#20915;&#31639;&#20844;&#24320;\2025&#24180;&#20915;&#31639;&#39292;&#29366;&#2227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chemeClr val="bg1"/>
                </a:solidFill>
                <a:latin typeface="+mn-lt"/>
                <a:ea typeface="+mn-ea"/>
                <a:cs typeface="+mn-cs"/>
              </a:defRPr>
            </a:pPr>
            <a:r>
              <a:rPr lang="zh-CN" altLang="en-US" sz="1200" baseline="0">
                <a:solidFill>
                  <a:schemeClr val="bg1"/>
                </a:solidFill>
              </a:rPr>
              <a:t>收入、支出决算总计变动情况图（单位：万元）</a:t>
            </a:r>
            <a:endParaRPr lang="zh-CN" altLang="en-US" sz="1200" baseline="0">
              <a:solidFill>
                <a:schemeClr val="bg1"/>
              </a:solidFill>
            </a:endParaRPr>
          </a:p>
        </c:rich>
      </c:tx>
      <c:layout>
        <c:manualLayout>
          <c:xMode val="edge"/>
          <c:yMode val="edge"/>
          <c:x val="0.138597091347189"/>
          <c:y val="0.0277777777777782"/>
        </c:manualLayout>
      </c:layout>
      <c:overlay val="0"/>
      <c:spPr>
        <a:noFill/>
        <a:ln w="25400">
          <a:noFill/>
        </a:ln>
      </c:spPr>
    </c:title>
    <c:autoTitleDeleted val="0"/>
    <c:plotArea>
      <c:layout/>
      <c:barChart>
        <c:barDir val="col"/>
        <c:grouping val="clustered"/>
        <c:varyColors val="0"/>
        <c:ser>
          <c:idx val="0"/>
          <c:order val="0"/>
          <c:spPr>
            <a:solidFill>
              <a:srgbClr val="7E0000"/>
            </a:solidFill>
          </c:spPr>
          <c:invertIfNegative val="0"/>
          <c:dPt>
            <c:idx val="1"/>
            <c:invertIfNegative val="0"/>
            <c:bubble3D val="0"/>
            <c:spPr>
              <a:solidFill>
                <a:srgbClr val="FFC000"/>
              </a:solidFill>
            </c:spPr>
          </c:dPt>
          <c:dPt>
            <c:idx val="2"/>
            <c:invertIfNegative val="0"/>
            <c:bubble3D val="0"/>
            <c:spPr>
              <a:solidFill>
                <a:schemeClr val="accent1">
                  <a:lumMod val="75000"/>
                </a:schemeClr>
              </a:solidFill>
            </c:spPr>
          </c:dPt>
          <c:dPt>
            <c:idx val="3"/>
            <c:invertIfNegative val="0"/>
            <c:bubble3D val="0"/>
            <c:spPr>
              <a:solidFill>
                <a:schemeClr val="accent6">
                  <a:lumMod val="75000"/>
                </a:schemeClr>
              </a:solidFill>
            </c:spPr>
          </c:dPt>
          <c:dLbls>
            <c:spPr>
              <a:noFill/>
              <a:ln w="25400">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bg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Sheet1!$I$2:$I$5</c:f>
              <c:strCache>
                <c:ptCount val="4"/>
                <c:pt idx="0">
                  <c:v>2024年收入</c:v>
                </c:pt>
                <c:pt idx="1">
                  <c:v>2025年收入</c:v>
                </c:pt>
                <c:pt idx="2">
                  <c:v>2024年支出</c:v>
                </c:pt>
                <c:pt idx="3">
                  <c:v>2025年支出</c:v>
                </c:pt>
              </c:strCache>
            </c:strRef>
          </c:cat>
          <c:val>
            <c:numRef>
              <c:f>Sheet1!$J$2:$J$5</c:f>
              <c:numCache>
                <c:formatCode>General</c:formatCode>
                <c:ptCount val="4"/>
                <c:pt idx="0">
                  <c:v>1448.34</c:v>
                </c:pt>
                <c:pt idx="1">
                  <c:v>1234.05</c:v>
                </c:pt>
                <c:pt idx="2">
                  <c:v>1448.34</c:v>
                </c:pt>
                <c:pt idx="3">
                  <c:v>1234.05</c:v>
                </c:pt>
              </c:numCache>
            </c:numRef>
          </c:val>
        </c:ser>
        <c:dLbls>
          <c:showLegendKey val="0"/>
          <c:showVal val="1"/>
          <c:showCatName val="0"/>
          <c:showSerName val="0"/>
          <c:showPercent val="0"/>
          <c:showBubbleSize val="0"/>
        </c:dLbls>
        <c:gapWidth val="150"/>
        <c:axId val="71075328"/>
        <c:axId val="71077248"/>
      </c:barChart>
      <c:catAx>
        <c:axId val="71075328"/>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bg1"/>
                </a:solidFill>
                <a:latin typeface="+mn-lt"/>
                <a:ea typeface="+mn-ea"/>
                <a:cs typeface="+mn-cs"/>
              </a:defRPr>
            </a:pPr>
          </a:p>
        </c:txPr>
        <c:crossAx val="71077248"/>
        <c:crosses val="autoZero"/>
        <c:auto val="1"/>
        <c:lblAlgn val="ctr"/>
        <c:lblOffset val="100"/>
        <c:noMultiLvlLbl val="0"/>
      </c:catAx>
      <c:valAx>
        <c:axId val="71077248"/>
        <c:scaling>
          <c:orientation val="minMax"/>
        </c:scaling>
        <c:delete val="0"/>
        <c:axPos val="l"/>
        <c:majorGridlines/>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bg1"/>
                </a:solidFill>
                <a:latin typeface="+mn-lt"/>
                <a:ea typeface="+mn-ea"/>
                <a:cs typeface="+mn-cs"/>
              </a:defRPr>
            </a:pPr>
          </a:p>
        </c:txPr>
        <c:crossAx val="71075328"/>
        <c:crosses val="autoZero"/>
        <c:crossBetween val="between"/>
      </c:valAx>
      <c:spPr>
        <a:solidFill>
          <a:srgbClr val="E7E6E6">
            <a:lumMod val="25000"/>
          </a:srgbClr>
        </a:solidFill>
      </c:spPr>
    </c:plotArea>
    <c:legend>
      <c:legendPos val="r"/>
      <c:layout>
        <c:manualLayout>
          <c:xMode val="edge"/>
          <c:yMode val="edge"/>
          <c:x val="0.787431693989072"/>
          <c:y val="0.387152777777781"/>
        </c:manualLayout>
      </c:layout>
      <c:overlay val="0"/>
      <c:txPr>
        <a:bodyPr rot="0" spcFirstLastPara="0" vertOverflow="ellipsis" vert="horz" wrap="square" anchor="ctr" anchorCtr="1"/>
        <a:lstStyle/>
        <a:p>
          <a:pPr>
            <a:defRPr lang="zh-CN" sz="1000" b="0" i="0" u="none" strike="noStrike" kern="1200" baseline="0">
              <a:solidFill>
                <a:schemeClr val="bg1"/>
              </a:solidFill>
              <a:latin typeface="+mn-lt"/>
              <a:ea typeface="+mn-ea"/>
              <a:cs typeface="+mn-cs"/>
            </a:defRPr>
          </a:pPr>
        </a:p>
      </c:txPr>
    </c:legend>
    <c:plotVisOnly val="1"/>
    <c:dispBlanksAs val="gap"/>
    <c:showDLblsOverMax val="0"/>
    <c:extLst>
      <c:ext uri="{0b15fc19-7d7d-44ad-8c2d-2c3a37ce22c3}">
        <chartProps xmlns="https://web.wps.cn/et/2018/main" chartId="{64fe4285-4e49-4185-9e9e-b01a779b6986}"/>
      </c:ext>
    </c:extLst>
  </c:chart>
  <c:spPr>
    <a:solidFill>
      <a:schemeClr val="bg2">
        <a:lumMod val="25000"/>
      </a:schemeClr>
    </a:solidFill>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600" b="1" i="0" u="none" strike="noStrike" kern="1200" baseline="0">
                <a:solidFill>
                  <a:schemeClr val="bg1"/>
                </a:solidFill>
                <a:latin typeface="+mn-lt"/>
                <a:ea typeface="+mn-ea"/>
                <a:cs typeface="+mn-cs"/>
              </a:defRPr>
            </a:pPr>
            <a:r>
              <a:rPr lang="zh-CN" altLang="en-US" sz="1600" baseline="0">
                <a:solidFill>
                  <a:schemeClr val="bg1"/>
                </a:solidFill>
              </a:rPr>
              <a:t>收入决算结构图（单位：万元）</a:t>
            </a:r>
            <a:endParaRPr lang="zh-CN" altLang="en-US" sz="1600" baseline="0">
              <a:solidFill>
                <a:schemeClr val="bg1"/>
              </a:solidFill>
            </a:endParaRPr>
          </a:p>
        </c:rich>
      </c:tx>
      <c:layout/>
      <c:overlay val="0"/>
      <c:spPr>
        <a:noFill/>
        <a:ln w="25400">
          <a:noFill/>
        </a:ln>
      </c:spPr>
    </c:title>
    <c:autoTitleDeleted val="0"/>
    <c:plotArea>
      <c:layout/>
      <c:pieChart>
        <c:varyColors val="1"/>
        <c:ser>
          <c:idx val="0"/>
          <c:order val="0"/>
          <c:explosion val="0"/>
          <c:dPt>
            <c:idx val="0"/>
            <c:bubble3D val="0"/>
            <c:spPr>
              <a:solidFill>
                <a:srgbClr val="860000"/>
              </a:solidFill>
            </c:spPr>
          </c:dPt>
          <c:dPt>
            <c:idx val="1"/>
            <c:bubble3D val="0"/>
            <c:spPr>
              <a:solidFill>
                <a:schemeClr val="accent1">
                  <a:lumMod val="50000"/>
                </a:schemeClr>
              </a:solidFill>
            </c:spPr>
          </c:dPt>
          <c:dLbls>
            <c:dLbl>
              <c:idx val="0"/>
              <c:layout/>
              <c:tx>
                <c:rich>
                  <a:bodyPr rot="0" spcFirstLastPara="0" vertOverflow="ellipsis" vert="horz" wrap="square" lIns="38100" tIns="19050" rIns="38100" bIns="19050" anchor="ctr" anchorCtr="1"/>
                  <a:lstStyle/>
                  <a:p>
                    <a:pPr>
                      <a:defRPr lang="zh-CN" sz="1000" b="0" i="0" u="none" strike="noStrike" kern="1200" baseline="0">
                        <a:solidFill>
                          <a:schemeClr val="bg1"/>
                        </a:solidFill>
                        <a:latin typeface="+mn-lt"/>
                        <a:ea typeface="+mn-ea"/>
                        <a:cs typeface="+mn-cs"/>
                      </a:defRPr>
                    </a:pPr>
                    <a:r>
                      <a:rPr lang="en-US" altLang="zh-CN"/>
                      <a:t>98%</a:t>
                    </a:r>
                    <a:endParaRPr lang="en-US" altLang="zh-CN"/>
                  </a:p>
                </c:rich>
              </c:tx>
              <c:dLblPos val="bestFit"/>
              <c:showLegendKey val="0"/>
              <c:showVal val="0"/>
              <c:showCatName val="0"/>
              <c:showSerName val="1"/>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1000" b="0" i="0" u="none" strike="noStrike" kern="1200" baseline="0">
                        <a:solidFill>
                          <a:schemeClr val="bg1"/>
                        </a:solidFill>
                        <a:latin typeface="+mn-lt"/>
                        <a:ea typeface="+mn-ea"/>
                        <a:cs typeface="+mn-cs"/>
                      </a:defRPr>
                    </a:pPr>
                    <a:r>
                      <a:rPr lang="en-US" altLang="zh-CN"/>
                      <a:t>2%</a:t>
                    </a:r>
                    <a:endParaRPr lang="en-US" altLang="zh-CN"/>
                  </a:p>
                </c:rich>
              </c:tx>
              <c:dLblPos val="bestFit"/>
              <c:showLegendKey val="0"/>
              <c:showVal val="0"/>
              <c:showCatName val="0"/>
              <c:showSerName val="1"/>
              <c:showPercent val="1"/>
              <c:showBubbleSize val="0"/>
              <c:extLst>
                <c:ext xmlns:c15="http://schemas.microsoft.com/office/drawing/2012/chart" uri="{CE6537A1-D6FC-4f65-9D91-7224C49458BB}"/>
              </c:extLst>
            </c:dLbl>
            <c:numFmt formatCode="#,##0.0_);\(#,##0.0\)" sourceLinked="0"/>
            <c:spPr>
              <a:noFill/>
              <a:ln w="25400">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bg1"/>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Sheet1!$I$28:$I$29</c:f>
              <c:strCache>
                <c:ptCount val="2"/>
                <c:pt idx="0">
                  <c:v>一般公共预算财政拨款收入</c:v>
                </c:pt>
                <c:pt idx="1">
                  <c:v>政府性基金预算财政拨款收入</c:v>
                </c:pt>
              </c:strCache>
            </c:strRef>
          </c:cat>
          <c:val>
            <c:numRef>
              <c:f>Sheet1!$J$28:$J$29</c:f>
              <c:numCache>
                <c:formatCode>General</c:formatCode>
                <c:ptCount val="2"/>
                <c:pt idx="0">
                  <c:v>1209.65</c:v>
                </c:pt>
                <c:pt idx="1">
                  <c:v>24.4</c:v>
                </c:pt>
              </c:numCache>
            </c:numRef>
          </c:val>
        </c:ser>
        <c:dLbls>
          <c:showLegendKey val="0"/>
          <c:showVal val="0"/>
          <c:showCatName val="0"/>
          <c:showSerName val="0"/>
          <c:showPercent val="1"/>
          <c:showBubbleSize val="0"/>
          <c:showLeaderLines val="1"/>
        </c:dLbls>
        <c:firstSliceAng val="0"/>
      </c:pieChart>
      <c:spPr>
        <a:noFill/>
        <a:ln w="25400">
          <a:noFill/>
        </a:ln>
      </c:spPr>
    </c:plotArea>
    <c:legend>
      <c:legendPos val="b"/>
      <c:layout/>
      <c:overlay val="0"/>
      <c:txPr>
        <a:bodyPr rot="0" spcFirstLastPara="0" vertOverflow="ellipsis" vert="horz" wrap="square" anchor="ctr" anchorCtr="1"/>
        <a:lstStyle/>
        <a:p>
          <a:pPr>
            <a:defRPr lang="zh-CN" sz="1000" b="0" i="0" u="none" strike="noStrike" kern="1200" baseline="0">
              <a:solidFill>
                <a:schemeClr val="bg1"/>
              </a:solidFill>
              <a:latin typeface="+mn-lt"/>
              <a:ea typeface="+mn-ea"/>
              <a:cs typeface="+mn-cs"/>
            </a:defRPr>
          </a:pPr>
        </a:p>
      </c:txPr>
    </c:legend>
    <c:plotVisOnly val="1"/>
    <c:dispBlanksAs val="zero"/>
    <c:showDLblsOverMax val="0"/>
    <c:extLst>
      <c:ext uri="{0b15fc19-7d7d-44ad-8c2d-2c3a37ce22c3}">
        <chartProps xmlns="https://web.wps.cn/et/2018/main" chartId="{8b96acea-13fc-46c0-abc6-16a26c32c450}"/>
      </c:ext>
    </c:extLst>
  </c:chart>
  <c:spPr>
    <a:solidFill>
      <a:schemeClr val="bg2">
        <a:lumMod val="25000"/>
      </a:schemeClr>
    </a:solidFill>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600" b="1" i="0" u="none" strike="noStrike" kern="1200" baseline="0">
                <a:solidFill>
                  <a:schemeClr val="bg1"/>
                </a:solidFill>
                <a:latin typeface="+mn-lt"/>
                <a:ea typeface="+mn-ea"/>
                <a:cs typeface="+mn-cs"/>
              </a:defRPr>
            </a:pPr>
            <a:r>
              <a:rPr lang="zh-CN" altLang="en-US" sz="1600" baseline="0">
                <a:solidFill>
                  <a:schemeClr val="bg1"/>
                </a:solidFill>
              </a:rPr>
              <a:t>支出决算结构图（单位：万元）</a:t>
            </a:r>
            <a:endParaRPr lang="zh-CN" altLang="en-US" sz="1600" baseline="0">
              <a:solidFill>
                <a:schemeClr val="bg1"/>
              </a:solidFill>
            </a:endParaRPr>
          </a:p>
        </c:rich>
      </c:tx>
      <c:layout/>
      <c:overlay val="0"/>
      <c:spPr>
        <a:noFill/>
        <a:ln w="25400">
          <a:noFill/>
        </a:ln>
      </c:spPr>
    </c:title>
    <c:autoTitleDeleted val="0"/>
    <c:plotArea>
      <c:layout/>
      <c:pieChart>
        <c:varyColors val="1"/>
        <c:ser>
          <c:idx val="0"/>
          <c:order val="0"/>
          <c:spPr>
            <a:solidFill>
              <a:schemeClr val="accent6">
                <a:lumMod val="75000"/>
              </a:schemeClr>
            </a:solidFill>
          </c:spPr>
          <c:explosion val="0"/>
          <c:dPt>
            <c:idx val="0"/>
            <c:bubble3D val="0"/>
            <c:spPr>
              <a:solidFill>
                <a:schemeClr val="accent6">
                  <a:lumMod val="75000"/>
                </a:schemeClr>
              </a:solidFill>
            </c:spPr>
          </c:dPt>
          <c:dPt>
            <c:idx val="1"/>
            <c:bubble3D val="0"/>
            <c:spPr>
              <a:solidFill>
                <a:schemeClr val="accent1">
                  <a:lumMod val="75000"/>
                </a:schemeClr>
              </a:solidFill>
            </c:spPr>
          </c:dPt>
          <c:dLbls>
            <c:dLbl>
              <c:idx val="0"/>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zh-CN"/>
                      <a:t>45.5%</a:t>
                    </a:r>
                    <a:endParaRPr lang="en-US" altLang="zh-CN"/>
                  </a:p>
                </c:rich>
              </c:tx>
              <c:numFmt formatCode="#,##0.00_);\(#,##0.00\)" sourceLinked="0"/>
              <c:spPr>
                <a:noFill/>
                <a:ln w="25400">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1"/>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zh-CN"/>
                      <a:t>54.5%</a:t>
                    </a:r>
                    <a:endParaRPr lang="en-US" altLang="zh-CN"/>
                  </a:p>
                </c:rich>
              </c:tx>
              <c:numFmt formatCode="#,##0.00_);\(#,##0.00\)" sourceLinked="0"/>
              <c:spPr>
                <a:noFill/>
                <a:ln w="25400">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1"/>
              <c:showPercent val="1"/>
              <c:showBubbleSize val="0"/>
              <c:extLst>
                <c:ext xmlns:c15="http://schemas.microsoft.com/office/drawing/2012/chart" uri="{CE6537A1-D6FC-4f65-9D91-7224C49458BB}"/>
              </c:extLst>
            </c:dLbl>
            <c:numFmt formatCode="#,##0.00_);\(#,##0.00\)" sourceLinked="0"/>
            <c:spPr>
              <a:noFill/>
              <a:ln w="25400">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in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Sheet1!$I$49:$I$50</c:f>
              <c:strCache>
                <c:ptCount val="2"/>
                <c:pt idx="0">
                  <c:v>基本支出</c:v>
                </c:pt>
                <c:pt idx="1">
                  <c:v>项目支出</c:v>
                </c:pt>
              </c:strCache>
            </c:strRef>
          </c:cat>
          <c:val>
            <c:numRef>
              <c:f>Sheet1!$J$49:$J$50</c:f>
              <c:numCache>
                <c:formatCode>General</c:formatCode>
                <c:ptCount val="2"/>
                <c:pt idx="0">
                  <c:v>672.02</c:v>
                </c:pt>
                <c:pt idx="1">
                  <c:v>562.03</c:v>
                </c:pt>
              </c:numCache>
            </c:numRef>
          </c:val>
        </c:ser>
        <c:dLbls>
          <c:showLegendKey val="0"/>
          <c:showVal val="0"/>
          <c:showCatName val="0"/>
          <c:showSerName val="0"/>
          <c:showPercent val="1"/>
          <c:showBubbleSize val="0"/>
          <c:showLeaderLines val="1"/>
        </c:dLbls>
        <c:firstSliceAng val="0"/>
      </c:pieChart>
      <c:spPr>
        <a:noFill/>
        <a:ln w="25400">
          <a:noFill/>
        </a:ln>
      </c:spPr>
    </c:plotArea>
    <c:legend>
      <c:legendPos val="b"/>
      <c:layout/>
      <c:overlay val="0"/>
      <c:txPr>
        <a:bodyPr rot="0" spcFirstLastPara="0" vertOverflow="ellipsis" vert="horz" wrap="square" anchor="ctr" anchorCtr="1"/>
        <a:lstStyle/>
        <a:p>
          <a:pPr>
            <a:defRPr lang="zh-CN" sz="1000" b="0" i="0" u="none" strike="noStrike" kern="1200" baseline="0">
              <a:solidFill>
                <a:schemeClr val="bg1"/>
              </a:solidFill>
              <a:latin typeface="+mn-lt"/>
              <a:ea typeface="+mn-ea"/>
              <a:cs typeface="+mn-cs"/>
            </a:defRPr>
          </a:pPr>
        </a:p>
      </c:txPr>
    </c:legend>
    <c:plotVisOnly val="1"/>
    <c:dispBlanksAs val="zero"/>
    <c:showDLblsOverMax val="0"/>
    <c:extLst>
      <c:ext uri="{0b15fc19-7d7d-44ad-8c2d-2c3a37ce22c3}">
        <chartProps xmlns="https://web.wps.cn/et/2018/main" chartId="{7370cd04-7612-434d-ab6a-3a49678df56a}"/>
      </c:ext>
    </c:extLst>
  </c:chart>
  <c:spPr>
    <a:solidFill>
      <a:schemeClr val="bg2">
        <a:lumMod val="25000"/>
      </a:schemeClr>
    </a:solidFill>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200" b="1" i="0" u="none" strike="noStrike" kern="1200" baseline="0">
                <a:solidFill>
                  <a:schemeClr val="bg1"/>
                </a:solidFill>
                <a:latin typeface="+mn-lt"/>
                <a:ea typeface="+mn-ea"/>
                <a:cs typeface="+mn-cs"/>
              </a:defRPr>
            </a:pPr>
            <a:r>
              <a:rPr lang="zh-CN" altLang="en-US" sz="1200" baseline="0">
                <a:solidFill>
                  <a:schemeClr val="bg1"/>
                </a:solidFill>
              </a:rPr>
              <a:t>财政拨款收、支决算总计变动情况（单位：万元）</a:t>
            </a:r>
            <a:endParaRPr lang="zh-CN" altLang="en-US" sz="1200" baseline="0">
              <a:solidFill>
                <a:schemeClr val="bg1"/>
              </a:solidFill>
            </a:endParaRPr>
          </a:p>
        </c:rich>
      </c:tx>
      <c:layout>
        <c:manualLayout>
          <c:xMode val="edge"/>
          <c:yMode val="edge"/>
          <c:x val="0.117916612882406"/>
          <c:y val="0.027777777777778"/>
        </c:manualLayout>
      </c:layout>
      <c:overlay val="0"/>
      <c:spPr>
        <a:noFill/>
        <a:ln w="25400">
          <a:noFill/>
        </a:ln>
      </c:spPr>
    </c:title>
    <c:autoTitleDeleted val="0"/>
    <c:plotArea>
      <c:layout/>
      <c:barChart>
        <c:barDir val="col"/>
        <c:grouping val="clustered"/>
        <c:varyColors val="0"/>
        <c:ser>
          <c:idx val="0"/>
          <c:order val="0"/>
          <c:spPr>
            <a:solidFill>
              <a:srgbClr val="FFFF00"/>
            </a:solidFill>
          </c:spPr>
          <c:invertIfNegative val="0"/>
          <c:dPt>
            <c:idx val="0"/>
            <c:invertIfNegative val="0"/>
            <c:bubble3D val="0"/>
            <c:spPr>
              <a:solidFill>
                <a:schemeClr val="accent2">
                  <a:lumMod val="75000"/>
                </a:schemeClr>
              </a:solidFill>
            </c:spPr>
          </c:dPt>
          <c:dPt>
            <c:idx val="1"/>
            <c:invertIfNegative val="0"/>
            <c:bubble3D val="0"/>
            <c:spPr>
              <a:solidFill>
                <a:schemeClr val="accent6">
                  <a:lumMod val="75000"/>
                </a:schemeClr>
              </a:solidFill>
            </c:spPr>
          </c:dPt>
          <c:dLbls>
            <c:spPr>
              <a:noFill/>
              <a:ln w="25400">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bg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Sheet1!$I$70:$I$71</c:f>
              <c:strCache>
                <c:ptCount val="2"/>
                <c:pt idx="0">
                  <c:v>2024年财政拨款收、支</c:v>
                </c:pt>
                <c:pt idx="1">
                  <c:v>2025年财政拨款收、支</c:v>
                </c:pt>
              </c:strCache>
            </c:strRef>
          </c:cat>
          <c:val>
            <c:numRef>
              <c:f>Sheet1!$J$70:$J$71</c:f>
              <c:numCache>
                <c:formatCode>General</c:formatCode>
                <c:ptCount val="2"/>
                <c:pt idx="0">
                  <c:v>2896.68</c:v>
                </c:pt>
                <c:pt idx="1">
                  <c:v>2468.1</c:v>
                </c:pt>
              </c:numCache>
            </c:numRef>
          </c:val>
        </c:ser>
        <c:dLbls>
          <c:showLegendKey val="0"/>
          <c:showVal val="1"/>
          <c:showCatName val="0"/>
          <c:showSerName val="0"/>
          <c:showPercent val="0"/>
          <c:showBubbleSize val="0"/>
        </c:dLbls>
        <c:gapWidth val="150"/>
        <c:overlap val="-25"/>
        <c:axId val="149766528"/>
        <c:axId val="149768064"/>
      </c:barChart>
      <c:catAx>
        <c:axId val="149766528"/>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bg1"/>
                </a:solidFill>
                <a:latin typeface="+mn-lt"/>
                <a:ea typeface="+mn-ea"/>
                <a:cs typeface="+mn-cs"/>
              </a:defRPr>
            </a:pPr>
          </a:p>
        </c:txPr>
        <c:crossAx val="149768064"/>
        <c:crosses val="autoZero"/>
        <c:auto val="1"/>
        <c:lblAlgn val="ctr"/>
        <c:lblOffset val="100"/>
        <c:noMultiLvlLbl val="0"/>
      </c:catAx>
      <c:valAx>
        <c:axId val="149768064"/>
        <c:scaling>
          <c:orientation val="minMax"/>
        </c:scaling>
        <c:delete val="1"/>
        <c:axPos val="l"/>
        <c:numFmt formatCode="General" sourceLinked="1"/>
        <c:majorTickMark val="out"/>
        <c:minorTickMark val="none"/>
        <c:tickLblPos val="none"/>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49766528"/>
        <c:crosses val="autoZero"/>
        <c:crossBetween val="between"/>
      </c:valAx>
      <c:spPr>
        <a:solidFill>
          <a:srgbClr val="E7E6E6">
            <a:lumMod val="25000"/>
          </a:srgbClr>
        </a:solidFill>
      </c:spPr>
    </c:plotArea>
    <c:legend>
      <c:legendPos val="b"/>
      <c:layout/>
      <c:overlay val="0"/>
      <c:txPr>
        <a:bodyPr rot="0" spcFirstLastPara="0" vertOverflow="ellipsis" vert="horz" wrap="square" anchor="ctr" anchorCtr="1"/>
        <a:lstStyle/>
        <a:p>
          <a:pPr>
            <a:defRPr lang="zh-CN" sz="1000" b="0" i="0" u="none" strike="noStrike" kern="1200" baseline="0">
              <a:solidFill>
                <a:schemeClr val="bg1"/>
              </a:solidFill>
              <a:latin typeface="+mn-lt"/>
              <a:ea typeface="+mn-ea"/>
              <a:cs typeface="+mn-cs"/>
            </a:defRPr>
          </a:pPr>
        </a:p>
      </c:txPr>
    </c:legend>
    <c:plotVisOnly val="1"/>
    <c:dispBlanksAs val="gap"/>
    <c:showDLblsOverMax val="0"/>
    <c:extLst>
      <c:ext uri="{0b15fc19-7d7d-44ad-8c2d-2c3a37ce22c3}">
        <chartProps xmlns="https://web.wps.cn/et/2018/main" chartId="{d680b905-ba83-4564-af80-0da8f6ba09e0}"/>
      </c:ext>
    </c:extLst>
  </c:chart>
  <c:spPr>
    <a:solidFill>
      <a:schemeClr val="bg2">
        <a:lumMod val="25000"/>
      </a:schemeClr>
    </a:solidFill>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100" b="1" i="0" u="none" strike="noStrike" kern="1200" baseline="0">
                <a:solidFill>
                  <a:schemeClr val="bg1"/>
                </a:solidFill>
                <a:latin typeface="+mn-lt"/>
                <a:ea typeface="+mn-ea"/>
                <a:cs typeface="+mn-cs"/>
              </a:defRPr>
            </a:pPr>
            <a:r>
              <a:rPr lang="zh-CN" altLang="en-US" sz="1100" baseline="0">
                <a:solidFill>
                  <a:schemeClr val="bg1"/>
                </a:solidFill>
              </a:rPr>
              <a:t>一般公共预算财政拨款支出决算变动情况（单位：万元）</a:t>
            </a:r>
            <a:endParaRPr lang="zh-CN" altLang="en-US" sz="1100" baseline="0">
              <a:solidFill>
                <a:schemeClr val="bg1"/>
              </a:solidFill>
            </a:endParaRPr>
          </a:p>
        </c:rich>
      </c:tx>
      <c:layout>
        <c:manualLayout>
          <c:xMode val="edge"/>
          <c:yMode val="edge"/>
          <c:x val="0.112430403166817"/>
          <c:y val="0.0370370370370373"/>
        </c:manualLayout>
      </c:layout>
      <c:overlay val="0"/>
      <c:spPr>
        <a:noFill/>
        <a:ln w="25400">
          <a:noFill/>
        </a:ln>
      </c:spPr>
    </c:title>
    <c:autoTitleDeleted val="0"/>
    <c:plotArea>
      <c:layout/>
      <c:barChart>
        <c:barDir val="col"/>
        <c:grouping val="stacked"/>
        <c:varyColors val="0"/>
        <c:ser>
          <c:idx val="0"/>
          <c:order val="0"/>
          <c:spPr>
            <a:solidFill>
              <a:srgbClr val="860000"/>
            </a:solidFill>
          </c:spPr>
          <c:invertIfNegative val="0"/>
          <c:dPt>
            <c:idx val="0"/>
            <c:invertIfNegative val="0"/>
            <c:bubble3D val="0"/>
            <c:spPr>
              <a:solidFill>
                <a:schemeClr val="accent1">
                  <a:lumMod val="50000"/>
                </a:schemeClr>
              </a:solidFill>
            </c:spPr>
          </c:dPt>
          <c:dLbls>
            <c:spPr>
              <a:noFill/>
              <a:ln w="25400">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bg1"/>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Sheet1!$I$91:$I$92</c:f>
              <c:strCache>
                <c:ptCount val="2"/>
                <c:pt idx="0">
                  <c:v>2024年一般公共预算拨款支出</c:v>
                </c:pt>
                <c:pt idx="1">
                  <c:v>2025年一般公共预算拨款支出</c:v>
                </c:pt>
              </c:strCache>
            </c:strRef>
          </c:cat>
          <c:val>
            <c:numRef>
              <c:f>Sheet1!$J$91:$J$92</c:f>
              <c:numCache>
                <c:formatCode>General</c:formatCode>
                <c:ptCount val="2"/>
                <c:pt idx="0">
                  <c:v>1388.34</c:v>
                </c:pt>
                <c:pt idx="1">
                  <c:v>1209.65</c:v>
                </c:pt>
              </c:numCache>
            </c:numRef>
          </c:val>
        </c:ser>
        <c:dLbls>
          <c:showLegendKey val="0"/>
          <c:showVal val="1"/>
          <c:showCatName val="0"/>
          <c:showSerName val="0"/>
          <c:showPercent val="0"/>
          <c:showBubbleSize val="0"/>
        </c:dLbls>
        <c:gapWidth val="150"/>
        <c:overlap val="100"/>
        <c:axId val="96990720"/>
        <c:axId val="96992256"/>
      </c:barChart>
      <c:catAx>
        <c:axId val="96990720"/>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bg1"/>
                </a:solidFill>
                <a:latin typeface="+mn-lt"/>
                <a:ea typeface="+mn-ea"/>
                <a:cs typeface="+mn-cs"/>
              </a:defRPr>
            </a:pPr>
          </a:p>
        </c:txPr>
        <c:crossAx val="96992256"/>
        <c:crosses val="autoZero"/>
        <c:auto val="1"/>
        <c:lblAlgn val="ctr"/>
        <c:lblOffset val="100"/>
        <c:noMultiLvlLbl val="0"/>
      </c:catAx>
      <c:valAx>
        <c:axId val="9699225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bg1"/>
                </a:solidFill>
                <a:latin typeface="+mn-lt"/>
                <a:ea typeface="+mn-ea"/>
                <a:cs typeface="+mn-cs"/>
              </a:defRPr>
            </a:pPr>
          </a:p>
        </c:txPr>
        <c:crossAx val="96990720"/>
        <c:crosses val="autoZero"/>
        <c:crossBetween val="between"/>
      </c:valAx>
      <c:spPr>
        <a:solidFill>
          <a:schemeClr val="bg2">
            <a:lumMod val="25000"/>
          </a:schemeClr>
        </a:solidFill>
      </c:spPr>
    </c:plotArea>
    <c:legend>
      <c:legendPos val="b"/>
      <c:layout/>
      <c:overlay val="0"/>
      <c:txPr>
        <a:bodyPr rot="0" spcFirstLastPara="0" vertOverflow="ellipsis" vert="horz" wrap="square" anchor="ctr" anchorCtr="1"/>
        <a:lstStyle/>
        <a:p>
          <a:pPr>
            <a:defRPr lang="zh-CN" sz="1000" b="0" i="0" u="none" strike="noStrike" kern="1200" baseline="0">
              <a:solidFill>
                <a:schemeClr val="bg1"/>
              </a:solidFill>
              <a:latin typeface="+mn-lt"/>
              <a:ea typeface="+mn-ea"/>
              <a:cs typeface="+mn-cs"/>
            </a:defRPr>
          </a:pPr>
        </a:p>
      </c:txPr>
    </c:legend>
    <c:plotVisOnly val="1"/>
    <c:dispBlanksAs val="gap"/>
    <c:showDLblsOverMax val="0"/>
    <c:extLst>
      <c:ext uri="{0b15fc19-7d7d-44ad-8c2d-2c3a37ce22c3}">
        <chartProps xmlns="https://web.wps.cn/et/2018/main" chartId="{43e0d1d4-ec43-480e-8acc-5d3455d26e98}"/>
      </c:ext>
    </c:extLst>
  </c:chart>
  <c:spPr>
    <a:solidFill>
      <a:schemeClr val="bg2">
        <a:lumMod val="25000"/>
      </a:schemeClr>
    </a:solidFill>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100" b="1" i="0" u="none" strike="noStrike" kern="1200" baseline="0">
                <a:solidFill>
                  <a:schemeClr val="bg1"/>
                </a:solidFill>
                <a:latin typeface="+mn-lt"/>
                <a:ea typeface="+mn-ea"/>
                <a:cs typeface="+mn-cs"/>
              </a:defRPr>
            </a:pPr>
            <a:r>
              <a:rPr lang="zh-CN" altLang="en-US" sz="1100">
                <a:solidFill>
                  <a:schemeClr val="bg1"/>
                </a:solidFill>
              </a:rPr>
              <a:t>一般公共预算财政拨款支出决算结构（单位：万元）</a:t>
            </a:r>
            <a:endParaRPr lang="zh-CN" altLang="en-US" sz="1100">
              <a:solidFill>
                <a:schemeClr val="bg1"/>
              </a:solidFill>
            </a:endParaRPr>
          </a:p>
        </c:rich>
      </c:tx>
      <c:layout/>
      <c:overlay val="0"/>
      <c:spPr>
        <a:noFill/>
        <a:ln w="25400">
          <a:noFill/>
        </a:ln>
      </c:spPr>
    </c:title>
    <c:autoTitleDeleted val="0"/>
    <c:plotArea>
      <c:layout/>
      <c:pieChart>
        <c:varyColors val="1"/>
        <c:ser>
          <c:idx val="0"/>
          <c:order val="0"/>
          <c:spPr>
            <a:solidFill>
              <a:srgbClr val="70AD47">
                <a:lumMod val="75000"/>
              </a:srgbClr>
            </a:solidFill>
          </c:spPr>
          <c:explosion val="0"/>
          <c:dPt>
            <c:idx val="0"/>
            <c:bubble3D val="0"/>
            <c:spPr>
              <a:solidFill>
                <a:schemeClr val="accent5">
                  <a:lumMod val="75000"/>
                </a:schemeClr>
              </a:solidFill>
            </c:spPr>
          </c:dPt>
          <c:dPt>
            <c:idx val="1"/>
            <c:bubble3D val="0"/>
            <c:spPr>
              <a:solidFill>
                <a:schemeClr val="accent2"/>
              </a:solidFill>
            </c:spPr>
          </c:dPt>
          <c:dPt>
            <c:idx val="2"/>
            <c:bubble3D val="0"/>
            <c:spPr>
              <a:solidFill>
                <a:schemeClr val="accent1">
                  <a:lumMod val="75000"/>
                </a:schemeClr>
              </a:solidFill>
            </c:spPr>
          </c:dPt>
          <c:dPt>
            <c:idx val="3"/>
            <c:bubble3D val="0"/>
            <c:spPr>
              <a:solidFill>
                <a:srgbClr val="70AD47">
                  <a:lumMod val="75000"/>
                </a:srgbClr>
              </a:solidFill>
            </c:spPr>
          </c:dPt>
          <c:dLbls>
            <c:dLbl>
              <c:idx val="0"/>
              <c:layout>
                <c:manualLayout>
                  <c:x val="0.0416666666666667"/>
                  <c:y val="0.00825593395252842"/>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zh-CN"/>
                      <a:t>0.2%</a:t>
                    </a:r>
                    <a:endParaRPr lang="en-US" altLang="zh-CN"/>
                  </a:p>
                </c:rich>
              </c:tx>
              <c:numFmt formatCode="0.00%" sourceLinked="0"/>
              <c:spPr>
                <a:solidFill>
                  <a:schemeClr val="bg1"/>
                </a:solid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zh-CN"/>
                      <a:t>93.1%</a:t>
                    </a:r>
                    <a:endParaRPr lang="en-US" altLang="zh-CN"/>
                  </a:p>
                </c:rich>
              </c:tx>
              <c:dLblPos val="outEnd"/>
              <c:showLegendKey val="0"/>
              <c:showVal val="0"/>
              <c:showCatName val="0"/>
              <c:showSerName val="0"/>
              <c:showPercent val="1"/>
              <c:showBubbleSize val="0"/>
              <c:extLst>
                <c:ext xmlns:c15="http://schemas.microsoft.com/office/drawing/2012/chart" uri="{CE6537A1-D6FC-4f65-9D91-7224C49458BB}"/>
              </c:extLst>
            </c:dLbl>
            <c:dLbl>
              <c:idx val="2"/>
              <c:layout>
                <c:manualLayout>
                  <c:x val="-0.0666666666666667"/>
                  <c:y val="0.0247678018575852"/>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en-US"/>
                      <a:t>3.9%</a:t>
                    </a:r>
                    <a:endParaRPr lang="en-US" altLang="en-US"/>
                  </a:p>
                </c:rich>
              </c:tx>
              <c:numFmt formatCode="0.00%" sourceLinked="0"/>
              <c:spPr>
                <a:solidFill>
                  <a:schemeClr val="bg1"/>
                </a:solid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1"/>
              <c:showPercent val="1"/>
              <c:showBubbleSize val="0"/>
              <c:extLst>
                <c:ext xmlns:c15="http://schemas.microsoft.com/office/drawing/2012/chart" uri="{CE6537A1-D6FC-4f65-9D91-7224C49458BB}">
                  <c15:layout/>
                </c:ext>
              </c:extLst>
            </c:dLbl>
            <c:dLbl>
              <c:idx val="3"/>
              <c:layout>
                <c:manualLayout>
                  <c:x val="-0.0305555555555556"/>
                  <c:y val="-0.00825593395252842"/>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zh-CN"/>
                      <a:t>2.8%</a:t>
                    </a:r>
                    <a:endParaRPr lang="en-US" altLang="zh-CN"/>
                  </a:p>
                </c:rich>
              </c:tx>
              <c:numFmt formatCode="0.00%" sourceLinked="0"/>
              <c:spPr>
                <a:solidFill>
                  <a:schemeClr val="bg1"/>
                </a:solid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solidFill>
                <a:schemeClr val="bg1"/>
              </a:solid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Sheet1!$I$113:$I$116</c:f>
              <c:strCache>
                <c:ptCount val="4"/>
                <c:pt idx="0">
                  <c:v>一般公共服务支出</c:v>
                </c:pt>
                <c:pt idx="1">
                  <c:v>社会保障和就业支出</c:v>
                </c:pt>
                <c:pt idx="2">
                  <c:v>卫生健康支出</c:v>
                </c:pt>
                <c:pt idx="3">
                  <c:v>住房保障支出</c:v>
                </c:pt>
              </c:strCache>
            </c:strRef>
          </c:cat>
          <c:val>
            <c:numRef>
              <c:f>Sheet1!$J$113:$J$116</c:f>
              <c:numCache>
                <c:formatCode>General</c:formatCode>
                <c:ptCount val="4"/>
                <c:pt idx="0">
                  <c:v>2.43</c:v>
                </c:pt>
                <c:pt idx="1">
                  <c:v>1126.05</c:v>
                </c:pt>
                <c:pt idx="2">
                  <c:v>46.86</c:v>
                </c:pt>
                <c:pt idx="3">
                  <c:v>34.31</c:v>
                </c:pt>
              </c:numCache>
            </c:numRef>
          </c:val>
        </c:ser>
        <c:dLbls>
          <c:showLegendKey val="0"/>
          <c:showVal val="0"/>
          <c:showCatName val="0"/>
          <c:showSerName val="0"/>
          <c:showPercent val="1"/>
          <c:showBubbleSize val="0"/>
          <c:showLeaderLines val="1"/>
        </c:dLbls>
        <c:firstSliceAng val="0"/>
      </c:pieChart>
      <c:spPr>
        <a:noFill/>
        <a:ln w="25400">
          <a:noFill/>
        </a:ln>
      </c:spPr>
    </c:plotArea>
    <c:legend>
      <c:legendPos val="r"/>
      <c:layout/>
      <c:overlay val="0"/>
      <c:txPr>
        <a:bodyPr rot="0" spcFirstLastPara="0" vertOverflow="ellipsis" vert="horz" wrap="square" anchor="ctr" anchorCtr="1"/>
        <a:lstStyle/>
        <a:p>
          <a:pPr>
            <a:defRPr lang="zh-CN" sz="1000" b="0" i="0" u="none" strike="noStrike" kern="1200" baseline="0">
              <a:solidFill>
                <a:schemeClr val="bg1"/>
              </a:solidFill>
              <a:latin typeface="+mn-lt"/>
              <a:ea typeface="+mn-ea"/>
              <a:cs typeface="+mn-cs"/>
            </a:defRPr>
          </a:pPr>
        </a:p>
      </c:txPr>
    </c:legend>
    <c:plotVisOnly val="1"/>
    <c:dispBlanksAs val="zero"/>
    <c:showDLblsOverMax val="0"/>
    <c:extLst>
      <c:ext uri="{0b15fc19-7d7d-44ad-8c2d-2c3a37ce22c3}">
        <chartProps xmlns="https://web.wps.cn/et/2018/main" chartId="{c1c0c3b7-2d59-4e78-b29d-ce4952a1a5bb}"/>
      </c:ext>
    </c:extLst>
  </c:chart>
  <c:spPr>
    <a:solidFill>
      <a:schemeClr val="tx1">
        <a:lumMod val="85000"/>
        <a:lumOff val="15000"/>
      </a:schemeClr>
    </a:solidFill>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200" b="1" i="0" u="none" strike="noStrike" kern="1200" baseline="0">
                <a:solidFill>
                  <a:schemeClr val="bg1"/>
                </a:solidFill>
                <a:latin typeface="+mn-lt"/>
                <a:ea typeface="+mn-ea"/>
                <a:cs typeface="+mn-cs"/>
              </a:defRPr>
            </a:pPr>
            <a:r>
              <a:rPr lang="en-US" altLang="en-US" sz="1200" baseline="0">
                <a:solidFill>
                  <a:schemeClr val="bg1"/>
                </a:solidFill>
              </a:rPr>
              <a:t>“</a:t>
            </a:r>
            <a:r>
              <a:rPr lang="zh-CN" altLang="en-US" sz="1200" baseline="0">
                <a:solidFill>
                  <a:schemeClr val="bg1"/>
                </a:solidFill>
              </a:rPr>
              <a:t>三公</a:t>
            </a:r>
            <a:r>
              <a:rPr lang="en-US" altLang="zh-CN" sz="1200" baseline="0">
                <a:solidFill>
                  <a:schemeClr val="bg1"/>
                </a:solidFill>
              </a:rPr>
              <a:t>”</a:t>
            </a:r>
            <a:r>
              <a:rPr lang="zh-CN" altLang="en-US" sz="1200" baseline="0">
                <a:solidFill>
                  <a:schemeClr val="bg1"/>
                </a:solidFill>
              </a:rPr>
              <a:t>经费财政拨款支出结构（单位：万元）</a:t>
            </a:r>
            <a:endParaRPr lang="en-US" altLang="en-US" sz="1200" baseline="0">
              <a:solidFill>
                <a:schemeClr val="bg1"/>
              </a:solidFill>
            </a:endParaRPr>
          </a:p>
        </c:rich>
      </c:tx>
      <c:layout/>
      <c:overlay val="0"/>
      <c:spPr>
        <a:noFill/>
        <a:ln w="25400">
          <a:noFill/>
        </a:ln>
      </c:spPr>
    </c:title>
    <c:autoTitleDeleted val="0"/>
    <c:plotArea>
      <c:layout/>
      <c:pieChart>
        <c:varyColors val="1"/>
        <c:ser>
          <c:idx val="0"/>
          <c:order val="0"/>
          <c:explosion val="0"/>
          <c:dPt>
            <c:idx val="0"/>
            <c:bubble3D val="0"/>
            <c:spPr>
              <a:solidFill>
                <a:schemeClr val="accent1">
                  <a:lumMod val="50000"/>
                </a:schemeClr>
              </a:solidFill>
            </c:spPr>
          </c:dPt>
          <c:dPt>
            <c:idx val="1"/>
            <c:bubble3D val="0"/>
          </c:dPt>
          <c:dPt>
            <c:idx val="2"/>
            <c:bubble3D val="0"/>
          </c:dPt>
          <c:dLbls>
            <c:dLbl>
              <c:idx val="0"/>
              <c:layout/>
              <c:tx>
                <c:rich>
                  <a:bodyPr rot="0" spcFirstLastPara="0" vertOverflow="ellipsis" vert="horz" wrap="square" lIns="38100" tIns="19050" rIns="38100" bIns="19050" anchor="ctr" anchorCtr="1"/>
                  <a:lstStyle/>
                  <a:p>
                    <a:pPr>
                      <a:defRPr lang="zh-CN" sz="1000" b="0" i="0" u="none" strike="noStrike" kern="1200" baseline="0">
                        <a:solidFill>
                          <a:schemeClr val="bg1"/>
                        </a:solidFill>
                        <a:latin typeface="+mn-lt"/>
                        <a:ea typeface="+mn-ea"/>
                        <a:cs typeface="+mn-cs"/>
                      </a:defRPr>
                    </a:pPr>
                    <a:r>
                      <a:rPr lang="en-US" altLang="zh-CN"/>
                      <a:t>99.9%</a:t>
                    </a:r>
                    <a:endParaRPr lang="en-US" altLang="zh-CN"/>
                  </a:p>
                </c:rich>
              </c:tx>
              <c:dLblPos val="bestFit"/>
              <c:showLegendKey val="0"/>
              <c:showVal val="0"/>
              <c:showCatName val="0"/>
              <c:showSerName val="0"/>
              <c:showPercent val="1"/>
              <c:showBubbleSize val="0"/>
              <c:extLst>
                <c:ext xmlns:c15="http://schemas.microsoft.com/office/drawing/2012/chart" uri="{CE6537A1-D6FC-4f65-9D91-7224C49458BB}"/>
              </c:extLst>
            </c:dLbl>
            <c:dLbl>
              <c:idx val="1"/>
              <c:delete val="1"/>
            </c:dLbl>
            <c:dLbl>
              <c:idx val="2"/>
              <c:layout>
                <c:manualLayout>
                  <c:x val="0.00717116303085081"/>
                  <c:y val="0.0249121463983669"/>
                </c:manualLayout>
              </c:layout>
              <c:tx>
                <c:rich>
                  <a:bodyPr rot="0" spcFirstLastPara="0" vertOverflow="ellipsis" vert="horz" wrap="square" lIns="38100" tIns="19050" rIns="38100" bIns="19050" anchor="ctr" anchorCtr="1"/>
                  <a:lstStyle/>
                  <a:p>
                    <a:pPr>
                      <a:defRPr lang="zh-CN" sz="1000" b="0" i="0" u="none" strike="noStrike" kern="1200" baseline="0">
                        <a:solidFill>
                          <a:schemeClr val="bg1"/>
                        </a:solidFill>
                        <a:latin typeface="+mn-lt"/>
                        <a:ea typeface="+mn-ea"/>
                        <a:cs typeface="+mn-cs"/>
                      </a:defRPr>
                    </a:pPr>
                    <a:r>
                      <a:rPr lang="en-US" altLang="zh-CN"/>
                      <a:t>0.1%</a:t>
                    </a:r>
                    <a:endParaRPr lang="en-US" altLang="zh-CN"/>
                  </a:p>
                </c:rich>
              </c:tx>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w="25400">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bg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Sheet1!$I$135:$I$137</c:f>
              <c:strCache>
                <c:ptCount val="3"/>
                <c:pt idx="0">
                  <c:v>公务用车购置及运行维护费</c:v>
                </c:pt>
                <c:pt idx="1">
                  <c:v>公务接待费</c:v>
                </c:pt>
                <c:pt idx="2">
                  <c:v>因公出国（境）费</c:v>
                </c:pt>
              </c:strCache>
            </c:strRef>
          </c:cat>
          <c:val>
            <c:numRef>
              <c:f>Sheet1!$J$135:$J$137</c:f>
              <c:numCache>
                <c:formatCode>General</c:formatCode>
                <c:ptCount val="3"/>
                <c:pt idx="0">
                  <c:v>9.22</c:v>
                </c:pt>
                <c:pt idx="1">
                  <c:v>0.1</c:v>
                </c:pt>
                <c:pt idx="2">
                  <c:v>0</c:v>
                </c:pt>
              </c:numCache>
            </c:numRef>
          </c:val>
        </c:ser>
        <c:dLbls>
          <c:showLegendKey val="0"/>
          <c:showVal val="0"/>
          <c:showCatName val="0"/>
          <c:showSerName val="0"/>
          <c:showPercent val="1"/>
          <c:showBubbleSize val="0"/>
          <c:showLeaderLines val="1"/>
        </c:dLbls>
        <c:firstSliceAng val="0"/>
      </c:pieChart>
      <c:spPr>
        <a:noFill/>
        <a:ln w="25400">
          <a:noFill/>
        </a:ln>
      </c:spPr>
    </c:plotArea>
    <c:legend>
      <c:legendPos val="b"/>
      <c:layout/>
      <c:overlay val="0"/>
      <c:spPr>
        <a:solidFill>
          <a:schemeClr val="bg2">
            <a:lumMod val="25000"/>
          </a:schemeClr>
        </a:solidFill>
      </c:spPr>
      <c:txPr>
        <a:bodyPr rot="0" spcFirstLastPara="0" vertOverflow="ellipsis" vert="horz" wrap="square" anchor="ctr" anchorCtr="1"/>
        <a:lstStyle/>
        <a:p>
          <a:pPr>
            <a:defRPr lang="zh-CN" sz="1000" b="0" i="0" u="none" strike="noStrike" kern="1200" baseline="0">
              <a:solidFill>
                <a:schemeClr val="bg1"/>
              </a:solidFill>
              <a:latin typeface="+mn-lt"/>
              <a:ea typeface="+mn-ea"/>
              <a:cs typeface="+mn-cs"/>
            </a:defRPr>
          </a:pPr>
        </a:p>
      </c:txPr>
    </c:legend>
    <c:plotVisOnly val="1"/>
    <c:dispBlanksAs val="zero"/>
    <c:showDLblsOverMax val="0"/>
    <c:extLst>
      <c:ext uri="{0b15fc19-7d7d-44ad-8c2d-2c3a37ce22c3}">
        <chartProps xmlns="https://web.wps.cn/et/2018/main" chartId="{6acd1148-3e57-44f2-b714-5910553bdf06}"/>
      </c:ext>
    </c:extLst>
  </c:chart>
  <c:spPr>
    <a:solidFill>
      <a:schemeClr val="bg2">
        <a:lumMod val="25000"/>
      </a:schemeClr>
    </a:solidFill>
  </c:spPr>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18</Pages>
  <Words>4450</Words>
  <Characters>5970</Characters>
  <Lines>42</Lines>
  <Paragraphs>11</Paragraphs>
  <TotalTime>43</TotalTime>
  <ScaleCrop>false</ScaleCrop>
  <LinksUpToDate>false</LinksUpToDate>
  <CharactersWithSpaces>6005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2020-08-09T17:49:00Z</dcterms:created>
  <dc:creator>曹颖</dc:creator>
  <cp:lastModifiedBy>Administrator</cp:lastModifiedBy>
  <cp:lastPrinted>2026-08-28T00:27:00Z</cp:lastPrinted>
  <dcterms:modified xsi:type="dcterms:W3CDTF">2026-09-14T09:35:11Z</dcterms:modified>
  <dc:title>四川省***</dc:title>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C99E03B8FA83BEC180269E6A9C5DAC7F_43</vt:lpwstr>
  </property>
  <property fmtid="{D5CDD505-2E9C-101B-9397-08002B2CF9AE}" pid="4" name="KSOTemplateDocerSaveRecord">
    <vt:lpwstr>eyJoZGlkIjoiOWY2ZDliODJkYTYxYWUyNTY0NjYxMjQ5YTEwOGU4N2QiLCJ1c2VySWQiOiI1NTIxNjQ2OTkifQ==</vt:lpwstr>
  </property>
</Properties>
</file>